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a8a27f484148bd8d58c93a3021df69"/>
        <w:lock w:val="sdtLocked"/>
        <w:richText/>
      </w:sdtPr>
      <w:sdtContent>
        <w:p>
          <w:pPr>
            <w:tabs>
              <w:tab w:val="center" w:pos="4153"/>
              <w:tab w:val="right" w:pos="8306"/>
            </w:tabs>
            <w:rPr>
              <w:rFonts w:ascii="TimesLT" w:hAnsi="TimesLT"/>
              <w:sz w:val="26"/>
              <w:lang w:eastAsia="lt-LT"/>
            </w:rPr>
          </w:pPr>
        </w:p>
        <w:p>
          <w:pPr>
            <w:jc w:val="center"/>
            <w:rPr>
              <w:lang w:eastAsia="lt-LT"/>
            </w:rPr>
          </w:pPr>
          <w:r>
            <w:rPr>
              <w:b/>
              <w:lang w:val="en-US"/>
            </w:rPr>
            <mc:AlternateContent>
              <mc:Choice Requires="wps">
                <w:drawing>
                  <wp:anchor distT="0" distB="0" distL="114300" distR="114300" simplePos="0" relativeHeight="251658240" behindDoc="0" locked="0" layoutInCell="1" allowOverlap="1" wp14:anchorId="4566A6DB" wp14:editId="3F2F96DC">
                    <wp:simplePos x="0" y="0"/>
                    <wp:positionH relativeFrom="column">
                      <wp:posOffset>4416425</wp:posOffset>
                    </wp:positionH>
                    <wp:positionV relativeFrom="paragraph">
                      <wp:posOffset>26035</wp:posOffset>
                    </wp:positionV>
                    <wp:extent cx="2400300" cy="342900"/>
                    <wp:effectExtent l="0" t="0" r="0" b="0"/>
                    <wp:wrapNone/>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b/>
                                  </w:rPr>
                                </w:pPr>
                                <w:r>
                                  <w:rPr>
                                    <w:b/>
                                  </w:rPr>
                                  <w:t>Projektas Nr. 12TS-79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66A6DB" id="_x0000_t202" coordsize="21600,21600" o:spt="202" path="m,l,21600r21600,l21600,xe">
                    <v:stroke joinstyle="miter"/>
                    <v:path gradientshapeok="t" o:connecttype="rect"/>
                  </v:shapetype>
                  <v:shape id="Teksto laukas 1" o:spid="_x0000_s1026" type="#_x0000_t202" style="position:absolute;left:0;text-align:left;margin-left:347.75pt;margin-top:2.05pt;width:189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Pcl9twIAAL4FAAAOAAAAZHJzL2Uyb0RvYy54bWysVNtu2zAMfR+wfxD07vpS5WKjztDG8TCg uwDtPkCx5VioLHmSEqcb9u+j5CRNWwwYtvlBkETqkIc85tW7fSfQjmnDlcxxfBFhxGSlai43Of56 XwZzjIylsqZCSZbjR2bwu8XbN1dDn7FEtUrUTCMAkSYb+hy31vZZGJqqZR01F6pnEoyN0h21cNSb sNZ0APROhEkUTcNB6brXqmLGwG0xGvHC4zcNq+znpjHMIpFjyM36Vft17dZwcUWzjaZ9y6tDGvQv sugolxD0BFVQS9FW81dQHa+0MqqxF5XqQtU0vGKeA7CJoxds7lraM88FimP6U5nM/4OtPu2+aMRr 6B1GknbQonv2YKxCgm4fqEGxK9HQmww873rwtfsbtXfujq7pb1X1YJBUy5bKDbvWWg0tozWk6F+G Z09HHONA1sNHVUMsurXKA+0b3TlAqAgCdGjV46k9bG9RBZcJiaLLCEwV2C5JksIekgtpdnzda2Pf M9Uht8mxhvZ7dLq7NXZ0Pbq4YFKVXAgvASGfXQDmeAOx4amzuSx8R3+kUbqar+YkIMl0FZCoKILr ckmCaRnPJsVlsVwW8U8XNyZZy+uaSRfmqK6Y/Fn3DjofdXHSl1GC1w7OpWT0Zr0UGu0oqLv036Eg Z27h8zR8vYDLC0oxFPcmSYNyOp8FpCSTIJ1F8yCK05t0GpGUFOVzSrdcsn+nhIYcp5NkMorpt9wi /73mRrOOW5gfgnc5np+caOYkuJK1b62lXIz7s1K49J9KAe0+NtoL1ml0VKvdr/eA4lS8VvUjSFcr UBaIEIYebFqlv2M0wADJsfm2pZphJD5IkH8aE+Imjj+QySyBgz63rM8tVFYAlWOL0bhd2nFKbXvN Ny1EGn84qa7hl2m4V/NTVkDFHWBIeFKHgeam0PnZez2N3cUvAAAA//8DAFBLAwQUAAYACAAAACEA O+/FWt0AAAAJAQAADwAAAGRycy9kb3ducmV2LnhtbEyPS0/DMBCE70j8B2srcaN2oOkjzaZCIK4g +kDi5sbbJCJeR7HbhH+Pe4Lj7Ixmvs03o23FhXrfOEZIpgoEcelMwxXCfvd6vwThg2ajW8eE8EMe NsXtTa4z4wb+oMs2VCKWsM80Qh1Cl0npy5qs9lPXEUfv5HqrQ5R9JU2vh1huW/mg1Fxa3XBcqHVH zzWV39uzRTi8nb4+Z+q9erFpN7hRSbYriXg3GZ/WIAKN4S8MV/yIDkVkOrozGy9ahPkqTWMUYZaA uPpq8RgPR4R0mYAscvn/g+IXAAD//wMAUEsBAi0AFAAGAAgAAAAhALaDOJL+AAAA4QEAABMAAAAA AAAAAAAAAAAAAAAAAFtDb250ZW50X1R5cGVzXS54bWxQSwECLQAUAAYACAAAACEAOP0h/9YAAACU AQAACwAAAAAAAAAAAAAAAAAvAQAAX3JlbHMvLnJlbHNQSwECLQAUAAYACAAAACEA0T3JfbcCAAC+ BQAADgAAAAAAAAAAAAAAAAAuAgAAZHJzL2Uyb0RvYy54bWxQSwECLQAUAAYACAAAACEAO+/FWt0A AAAJAQAADwAAAAAAAAAAAAAAAAARBQAAZHJzL2Rvd25yZXYueG1sUEsFBgAAAAAEAAQA8wAAABsG AAAAAA== " filled="f" stroked="f">
                    <v:textbox>
                      <w:txbxContent>
                        <w:p w14:paraId="2487D2F0" w14:textId="125FA5F6">
                          <w:pPr>
                            <w:rPr>
                              <w:rFonts w:ascii="Times New Roman" w:hAnsi="Times New Roman" w:eastAsia="Times New Roman" w:cs="Times New Roman"/>
                              <w:b/>
                            </w:rPr>
                          </w:pPr>
                          <w:r>
                            <w:rPr>
                              <w:rFonts w:ascii="Times New Roman" w:hAnsi="Times New Roman" w:eastAsia="Times New Roman" w:cs="Times New Roman"/>
                              <w:b/>
                            </w:rPr>
                            <w:t>Projektas Nr. 12TS-79</w:t>
                          </w:r>
                        </w:p>
                      </w:txbxContent>
                    </v:textbox>
                  </v:shape>
                </w:pict>
              </mc:Fallback>
            </mc:AlternateContent>
          </w:r>
          <w:r>
            <w:rPr>
              <w:b/>
              <w:szCs w:val="24"/>
              <w:highlight w:val="yellow"/>
              <w:lang w:val="en-US"/>
            </w:rPr>
            <w:drawing>
              <wp:anchor distT="0" distB="0" distL="114300" distR="114300" simplePos="0" relativeHeight="251660288" behindDoc="1" locked="0" layoutInCell="1" allowOverlap="1" wp14:anchorId="7D8D4072" wp14:editId="4913AA66">
                <wp:simplePos x="0" y="0"/>
                <wp:positionH relativeFrom="column">
                  <wp:posOffset>2781300</wp:posOffset>
                </wp:positionH>
                <wp:positionV relativeFrom="paragraph">
                  <wp:posOffset>-19685</wp:posOffset>
                </wp:positionV>
                <wp:extent cx="446405" cy="540385"/>
                <wp:effectExtent l="0" t="0" r="0" b="0"/>
                <wp:wrapNone/>
                <wp:docPr id="7" name="Paveikslėlis 7" descr="Gulbe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ulbe2 "/>
                        <pic:cNvPicPr>
                          <a:picLocks noChangeAspect="1" noChangeArrowheads="1"/>
                        </pic:cNvPicPr>
                      </pic:nvPicPr>
                      <pic:blipFill>
                        <a:blip r:embed="rId7" cstate="print">
                          <a:lum bright="-18000" contrast="100000"/>
                          <a:extLst>
                            <a:ext uri="{28A0092B-C50C-407E-A947-70E740481C1C}">
                              <a14:useLocalDpi xmlns:a14="http://schemas.microsoft.com/office/drawing/2010/main" val="0"/>
                            </a:ext>
                          </a:extLst>
                        </a:blip>
                        <a:srcRect/>
                        <a:stretch>
                          <a:fillRect/>
                        </a:stretch>
                      </pic:blipFill>
                      <pic:spPr bwMode="auto">
                        <a:xfrm>
                          <a:off x="0" y="0"/>
                          <a:ext cx="446405" cy="540385"/>
                        </a:xfrm>
                        <a:prstGeom prst="rect">
                          <a:avLst/>
                        </a:prstGeom>
                        <a:noFill/>
                        <a:ln>
                          <a:noFill/>
                        </a:ln>
                      </pic:spPr>
                    </pic:pic>
                  </a:graphicData>
                </a:graphic>
                <wp14:sizeRelH relativeFrom="page">
                  <wp14:pctWidth>0</wp14:pctWidth>
                </wp14:sizeRelH>
                <wp14:sizeRelV relativeFrom="page">
                  <wp14:pctHeight>0</wp14:pctHeight>
                </wp14:sizeRelV>
              </wp:anchor>
            </w:drawing>
          </w:r>
        </w:p>
        <w:p>
          <w:pPr>
            <w:ind w:left="7920"/>
            <w:jc w:val="center"/>
            <w:rPr>
              <w:b/>
              <w:lang w:eastAsia="lt-LT"/>
            </w:rPr>
          </w:pPr>
        </w:p>
        <w:p>
          <w:pPr>
            <w:rPr>
              <w:rFonts w:ascii="TimesLT" w:hAnsi="TimesLT"/>
              <w:sz w:val="16"/>
              <w:szCs w:val="16"/>
              <w:lang w:eastAsia="lt-LT"/>
            </w:rPr>
          </w:pPr>
        </w:p>
        <w:p>
          <w:pPr>
            <w:jc w:val="center"/>
            <w:rPr>
              <w:b/>
              <w:sz w:val="28"/>
              <w:lang w:eastAsia="lt-LT"/>
            </w:rPr>
          </w:pPr>
        </w:p>
        <w:p>
          <w:pPr>
            <w:jc w:val="center"/>
            <w:rPr>
              <w:b/>
              <w:sz w:val="28"/>
              <w:szCs w:val="28"/>
              <w:lang w:eastAsia="lt-LT"/>
            </w:rPr>
          </w:pPr>
          <w:r>
            <w:rPr>
              <w:b/>
              <w:sz w:val="28"/>
              <w:szCs w:val="28"/>
              <w:lang w:eastAsia="lt-LT"/>
            </w:rPr>
            <w:t xml:space="preserve">JONAVOS RAJONO SAVIVALDYBĖS TARYBA </w:t>
          </w:r>
        </w:p>
        <w:tbl>
          <w:tblPr>
            <w:tblW w:w="0" w:type="auto"/>
            <w:tblLook w:val="0000" w:firstRow="0" w:lastRow="0" w:firstColumn="0" w:lastColumn="0" w:noHBand="0" w:noVBand="0"/>
          </w:tblPr>
          <w:tblGrid>
            <w:gridCol w:w="9639"/>
          </w:tblGrid>
          <w:tr>
            <w:tc>
              <w:tcPr>
                <w:tcW w:w="9854" w:type="dxa"/>
              </w:tcPr>
              <w:p>
                <w:pPr>
                  <w:rPr>
                    <w:b/>
                    <w:bCs/>
                    <w:highlight w:val="yellow"/>
                  </w:rPr>
                </w:pPr>
              </w:p>
              <w:p>
                <w:pPr>
                  <w:jc w:val="center"/>
                  <w:rPr>
                    <w:b/>
                    <w:bCs/>
                  </w:rPr>
                </w:pPr>
                <w:r>
                  <w:rPr>
                    <w:b/>
                    <w:bCs/>
                  </w:rPr>
                  <w:t>SPRENDIMAS</w:t>
                </w:r>
              </w:p>
              <w:p>
                <w:pPr>
                  <w:snapToGrid w:val="0"/>
                  <w:jc w:val="center"/>
                  <w:rPr>
                    <w:b/>
                    <w:bCs/>
                    <w:highlight w:val="yellow"/>
                  </w:rPr>
                </w:pPr>
                <w:r>
                  <w:rPr>
                    <w:b/>
                    <w:bCs/>
                  </w:rPr>
                  <w:t>DĖL JONAVOS RAJONO SAVIVALDYBĖS TARYBOS 2019 M. GRUODŽIO 19 D. SPRENDIMO NR. 1TS-260 „DĖL UAB „JONAVOS PASLAUGOS“ ADMINISTRUOJAMŲ DAUGIABUČIŲ NAMŲ BENDROJO NAUDOJIMO PATALPŲ VALYMO IR PRISKIRTŲ TERITORIJŲ TVARKYMO MOKESČIŲ TARIFŲ PATVIRTINIMO“ PRIPAŽINIMO NETEKUSIU GALIOS</w:t>
                </w:r>
              </w:p>
            </w:tc>
          </w:tr>
          <w:tr>
            <w:tc>
              <w:tcPr>
                <w:tcW w:w="9854" w:type="dxa"/>
                <w:vAlign w:val="bottom"/>
              </w:tcPr>
              <w:p>
                <w:pPr>
                  <w:snapToGrid w:val="0"/>
                  <w:rPr>
                    <w:b/>
                    <w:szCs w:val="24"/>
                    <w:highlight w:val="yellow"/>
                  </w:rPr>
                </w:pPr>
              </w:p>
            </w:tc>
          </w:tr>
          <w:tr>
            <w:tc>
              <w:tcPr>
                <w:tcW w:w="9854" w:type="dxa"/>
                <w:vAlign w:val="bottom"/>
              </w:tcPr>
              <w:p>
                <w:pPr>
                  <w:rPr>
                    <w:sz w:val="6"/>
                    <w:szCs w:val="6"/>
                  </w:rPr>
                </w:pPr>
              </w:p>
              <w:p>
                <w:pPr>
                  <w:jc w:val="center"/>
                </w:pPr>
                <w:r>
                  <w:t xml:space="preserve">2026 m. birželio 25 d.  Nr. 1TS - </w:t>
                </w:r>
              </w:p>
            </w:tc>
          </w:tr>
          <w:tr>
            <w:tc>
              <w:tcPr>
                <w:tcW w:w="9854" w:type="dxa"/>
                <w:vAlign w:val="bottom"/>
              </w:tcPr>
              <w:p>
                <w:pPr>
                  <w:rPr>
                    <w:sz w:val="6"/>
                    <w:szCs w:val="6"/>
                  </w:rPr>
                </w:pPr>
              </w:p>
              <w:p>
                <w:pPr>
                  <w:jc w:val="center"/>
                </w:pPr>
                <w:r>
                  <w:t>Jonava</w:t>
                </w:r>
              </w:p>
            </w:tc>
          </w:tr>
        </w:tbl>
        <w:p>
          <w:pPr>
            <w:tabs>
              <w:tab w:val="left" w:pos="1134"/>
            </w:tabs>
            <w:ind w:firstLine="851"/>
            <w:jc w:val="both"/>
            <w:rPr>
              <w:szCs w:val="24"/>
            </w:rPr>
          </w:pPr>
        </w:p>
        <w:p>
          <w:pPr>
            <w:tabs>
              <w:tab w:val="left" w:pos="1134"/>
            </w:tabs>
            <w:ind w:firstLine="851"/>
            <w:jc w:val="both"/>
            <w:rPr>
              <w:szCs w:val="24"/>
            </w:rPr>
          </w:pPr>
        </w:p>
        <w:p>
          <w:pPr>
            <w:tabs>
              <w:tab w:val="left" w:pos="1134"/>
            </w:tabs>
            <w:ind w:firstLine="851"/>
            <w:jc w:val="both"/>
            <w:rPr>
              <w:szCs w:val="24"/>
            </w:rPr>
          </w:pPr>
          <w:r>
            <w:rPr>
              <w:szCs w:val="24"/>
            </w:rPr>
            <w:t xml:space="preserve">Vadovaudamasi Lietuvos Respublikos vietos savivaldos įstatymo 15 straipsnio 4 dalimi ir Lietuvos Respublikos Vyriausybės 2001 m. gegužės 23 d. nutarimu Nr. 603 „Dėl daugiabučio namo bendrojo naudojimo objektų administravimo nuostatų patvirtinimo“ patvirtintais Daugiabučio namo bendrojo naudojimo objektų administravimo nuostatais, Jonavos rajono savivaldybės taryba </w:t>
          </w:r>
          <w:r>
            <w:rPr>
              <w:spacing w:val="40"/>
              <w:szCs w:val="24"/>
            </w:rPr>
            <w:t>nusprendžia:</w:t>
          </w:r>
        </w:p>
        <w:p>
          <w:pPr>
            <w:tabs>
              <w:tab w:val="left" w:pos="1134"/>
            </w:tabs>
            <w:ind w:firstLine="851"/>
            <w:jc w:val="both"/>
          </w:pPr>
          <w:r>
            <w:rPr>
              <w:szCs w:val="24"/>
            </w:rPr>
            <w:t>Pripažinti</w:t>
          </w:r>
          <w:r>
            <w:t xml:space="preserve"> </w:t>
          </w:r>
          <w:r>
            <w:rPr>
              <w:szCs w:val="24"/>
            </w:rPr>
            <w:t>netekusiu</w:t>
          </w:r>
          <w:r>
            <w:t xml:space="preserve"> galios Jonavos rajono savivaldybės tarybos 2019 m. gruodžio 19 d. sprendimą Nr. 1TS-260 „Dėl UAB „Jonavos paslaugos“ administruojamų daugiabučių namų bendrojo naudojimo patalpų valymo ir priskirtų teritorijų tvarkymo mokesčių tarifų patvirtinimo“.</w:t>
          </w:r>
        </w:p>
        <w:p>
          <w:pPr>
            <w:ind w:firstLine="851"/>
            <w:jc w:val="both"/>
            <w:rPr>
              <w:szCs w:val="24"/>
            </w:rPr>
          </w:pPr>
          <w:r>
            <w:rPr>
              <w:szCs w:val="24"/>
            </w:rPr>
            <w:t>Šis sprendimas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rPr>
              <w:szCs w:val="24"/>
            </w:rPr>
          </w:pPr>
        </w:p>
        <w:p>
          <w:pPr>
            <w:rPr>
              <w:szCs w:val="24"/>
            </w:rPr>
          </w:pPr>
        </w:p>
        <w:p>
          <w:pPr>
            <w:rPr>
              <w:szCs w:val="24"/>
            </w:rPr>
          </w:pPr>
        </w:p>
        <w:p>
          <w:pPr>
            <w:rPr>
              <w:szCs w:val="24"/>
            </w:rPr>
          </w:pPr>
          <w:r>
            <w:rPr>
              <w:szCs w:val="24"/>
            </w:rPr>
            <w:t>Savivaldybės meras</w:t>
            <w:tab/>
            <w:tab/>
            <w:tab/>
            <w:t xml:space="preserve">                                                                  Mindaugas Sinkevičius</w:t>
          </w:r>
        </w:p>
        <w:p>
          <w:pPr>
            <w:jc w:val="both"/>
          </w:pPr>
        </w:p>
        <w:p>
          <w:pPr>
            <w:jc w:val="both"/>
          </w:pPr>
        </w:p>
        <w:p>
          <w:pPr>
            <w:jc w:val="both"/>
          </w:pPr>
        </w:p>
        <w:p>
          <w:pPr>
            <w:jc w:val="both"/>
          </w:pPr>
        </w:p>
        <w:p>
          <w:pPr>
            <w:jc w:val="both"/>
          </w:pPr>
          <w:r>
            <w:t>Parengė</w:t>
          </w:r>
        </w:p>
        <w:p>
          <w:pPr>
            <w:rPr>
              <w:sz w:val="22"/>
              <w:szCs w:val="22"/>
            </w:rPr>
          </w:pPr>
          <w:r>
            <w:t xml:space="preserve">Vitalija Bublytė  </w:t>
            <w:tab/>
            <w:tab/>
            <w:tab/>
            <w:t xml:space="preserve">                 Valdas Majauskas </w:t>
            <w:tab/>
            <w:t xml:space="preserve">                                       Justas Budriūnas</w:t>
          </w:r>
        </w:p>
        <w:p>
          <w:pPr>
            <w:jc w:val="both"/>
          </w:pPr>
        </w:p>
        <w:p>
          <w:pPr>
            <w:jc w:val="both"/>
          </w:pPr>
        </w:p>
        <w:p>
          <w:pPr>
            <w:jc w:val="both"/>
          </w:pPr>
        </w:p>
        <w:p>
          <w:pPr>
            <w:jc w:val="both"/>
            <w:rPr>
              <w:szCs w:val="24"/>
            </w:rPr>
          </w:pPr>
          <w:r>
            <w:t xml:space="preserve">Rasa Kasputienė                                      Valda Koženiauskienė                                     </w:t>
          </w:r>
        </w:p>
        <w:p>
          <w:pPr>
            <w:jc w:val="both"/>
            <w:rPr>
              <w:sz w:val="22"/>
              <w:szCs w:val="22"/>
              <w:lang w:eastAsia="lt-LT"/>
            </w:rPr>
          </w:pPr>
        </w:p>
        <w:p>
          <w:pPr>
            <w:jc w:val="both"/>
            <w:rPr>
              <w:sz w:val="22"/>
              <w:szCs w:val="22"/>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 xml:space="preserve">Ekonomikos ir inovacijų komitetas </w:t>
          </w:r>
        </w:p>
        <w:p>
          <w:pPr>
            <w:jc w:val="both"/>
            <w:rPr>
              <w:szCs w:val="24"/>
              <w:lang w:eastAsia="lt-LT"/>
            </w:rPr>
          </w:pPr>
          <w:r>
            <w:rPr>
              <w:szCs w:val="24"/>
              <w:lang w:eastAsia="lt-LT"/>
            </w:rPr>
            <w:t xml:space="preserve">Kaimo reikalų komitetas </w:t>
          </w:r>
        </w:p>
        <w:p>
          <w:pPr>
            <w:jc w:val="both"/>
            <w:rPr>
              <w:szCs w:val="24"/>
            </w:rPr>
          </w:pPr>
          <w:r>
            <w:rPr>
              <w:szCs w:val="24"/>
              <w:lang w:eastAsia="lt-LT"/>
            </w:rPr>
            <w:t>Miesto ir infrastruktūros plėtros komitetas</w:t>
            <w:br w:type="page"/>
          </w:r>
        </w:p>
        <w:sdt>
          <w:sdtPr>
            <w:alias w:val="skirsnis"/>
            <w:tag w:val="part_aad28ebb1af1478dbc66951882048882"/>
            <w:lock w:val="sdtLocked"/>
            <w:richText/>
          </w:sdtPr>
          <w:sdtContent>
            <w:sdt>
              <w:sdtPr>
                <w:alias w:val="Pavadinimas"/>
                <w:tag w:val="title_aad28ebb1af1478dbc66951882048882"/>
                <w:lock w:val="sdtLocked"/>
                <w:richText/>
              </w:sdtPr>
              <w:sdtContent>
                <w:p>
                  <w:pPr>
                    <w:jc w:val="center"/>
                    <w:rPr>
                      <w:szCs w:val="24"/>
                      <w:lang w:eastAsia="lt-LT"/>
                    </w:rPr>
                  </w:pPr>
                  <w:r>
                    <w:rPr>
                      <w:b/>
                      <w:szCs w:val="24"/>
                      <w:lang w:eastAsia="lt-LT"/>
                    </w:rPr>
                    <w:t>JONAVOS RAJONO SAVIVALDYBĖS TARYBAI</w:t>
                  </w:r>
                </w:p>
                <w:p>
                  <w:pPr>
                    <w:jc w:val="center"/>
                    <w:rPr>
                      <w:b/>
                      <w:szCs w:val="24"/>
                      <w:lang w:eastAsia="lt-LT"/>
                    </w:rPr>
                  </w:pPr>
                  <w:r>
                    <w:rPr>
                      <w:b/>
                      <w:szCs w:val="24"/>
                      <w:lang w:eastAsia="lt-LT"/>
                    </w:rPr>
                    <w:t>AIŠKINAMASIS RAŠTAS</w:t>
                  </w:r>
                </w:p>
              </w:sdtContent>
            </w:sdt>
            <w:p>
              <w:pPr>
                <w:jc w:val="center"/>
                <w:rPr>
                  <w:szCs w:val="24"/>
                  <w:lang w:eastAsia="lt-LT"/>
                </w:rPr>
              </w:pPr>
              <w:r>
                <w:rPr>
                  <w:b/>
                  <w:szCs w:val="24"/>
                  <w:lang w:eastAsia="lt-LT"/>
                </w:rPr>
                <w:t>(</w:t>
              </w:r>
              <w:r>
                <w:rPr>
                  <w:szCs w:val="24"/>
                  <w:lang w:eastAsia="lt-LT"/>
                </w:rPr>
                <w:t>prie sprendimo projekto)</w:t>
              </w:r>
            </w:p>
            <w:p>
              <w:pPr>
                <w:tabs>
                  <w:tab w:val="left" w:pos="851"/>
                </w:tabs>
                <w:jc w:val="center"/>
                <w:rPr>
                  <w:b/>
                  <w:bCs/>
                </w:rPr>
              </w:pPr>
            </w:p>
          </w:sdtContent>
        </w:sdt>
        <w:sdt>
          <w:sdtPr>
            <w:alias w:val="skirsnis"/>
            <w:tag w:val="part_32387a08f39943888befb2d452a27e3e"/>
            <w:lock w:val="sdtLocked"/>
            <w:richText/>
          </w:sdtPr>
          <w:sdtContent>
            <w:p>
              <w:pPr>
                <w:tabs>
                  <w:tab w:val="left" w:pos="851"/>
                </w:tabs>
                <w:jc w:val="center"/>
                <w:rPr>
                  <w:szCs w:val="24"/>
                  <w:lang w:eastAsia="lt-LT"/>
                </w:rPr>
              </w:pPr>
              <w:sdt>
                <w:sdtPr>
                  <w:alias w:val="Pavadinimas"/>
                  <w:tag w:val="title_32387a08f39943888befb2d452a27e3e"/>
                  <w:lock w:val="sdtLocked"/>
                  <w:richText/>
                </w:sdtPr>
                <w:sdtContent>
                  <w:r>
                    <w:rPr>
                      <w:b/>
                      <w:bCs/>
                    </w:rPr>
                    <w:t>DĖL JONAVOS RAJONO SAVIVALDYBĖS TARYBOS 2019 M. GRUODŽIO 19 D. SPRENDIMO NR. 1TS-260 „DĖL UAB „JONAVOS PASLAUGOS“ ADMINISTRUOJAMŲ DAUGIABUČIŲ NAMŲ BENDROJO NAUDOJIMO PATALPŲ VALYMO IR PRISKIRTŲ TERITORIJŲ TVARKYMO MOKESČIŲ TARIFŲ PATVIRTINIMO“ PRIPAŽINIMO NETEKUSIU GALIOS</w:t>
                  </w:r>
                </w:sdtContent>
              </w:sdt>
            </w:p>
            <w:p>
              <w:pPr>
                <w:tabs>
                  <w:tab w:val="left" w:pos="851"/>
                </w:tabs>
                <w:jc w:val="center"/>
                <w:rPr>
                  <w:szCs w:val="24"/>
                  <w:lang w:eastAsia="lt-LT"/>
                </w:rPr>
              </w:pPr>
            </w:p>
            <w:p>
              <w:pPr>
                <w:tabs>
                  <w:tab w:val="left" w:pos="851"/>
                </w:tabs>
                <w:jc w:val="center"/>
                <w:rPr>
                  <w:szCs w:val="24"/>
                  <w:lang w:eastAsia="lt-LT"/>
                </w:rPr>
              </w:pPr>
              <w:r>
                <w:rPr>
                  <w:szCs w:val="24"/>
                  <w:lang w:eastAsia="lt-LT"/>
                </w:rPr>
                <w:t>2026 m. birželio ___ d.</w:t>
              </w:r>
            </w:p>
            <w:p>
              <w:pPr>
                <w:tabs>
                  <w:tab w:val="left" w:pos="851"/>
                </w:tabs>
                <w:ind w:left="4820" w:hanging="4820"/>
                <w:jc w:val="center"/>
                <w:rPr>
                  <w:bCs/>
                  <w:szCs w:val="24"/>
                  <w:lang w:eastAsia="lt-LT"/>
                </w:rPr>
              </w:pPr>
              <w:r>
                <w:rPr>
                  <w:bCs/>
                  <w:szCs w:val="24"/>
                  <w:lang w:eastAsia="lt-LT"/>
                </w:rPr>
                <w:t>Jonava</w:t>
              </w:r>
            </w:p>
            <w:p>
              <w:pPr>
                <w:tabs>
                  <w:tab w:val="left" w:pos="851"/>
                </w:tabs>
                <w:ind w:left="4820" w:hanging="4820"/>
                <w:rPr>
                  <w:szCs w:val="24"/>
                  <w:lang w:eastAsia="lt-LT"/>
                </w:rPr>
              </w:pPr>
            </w:p>
            <w:sdt>
              <w:sdtPr>
                <w:alias w:val="1 p."/>
                <w:tag w:val="part_d75d8e20bcc44f99bef8104c75ed6280"/>
                <w:lock w:val="sdtLocked"/>
                <w:richText/>
              </w:sdtPr>
              <w:sdtContent>
                <w:p>
                  <w:pPr>
                    <w:overflowPunct w:val="0"/>
                    <w:ind w:left="1069" w:hanging="360"/>
                    <w:jc w:val="both"/>
                    <w:outlineLvl w:val="5"/>
                    <w:rPr>
                      <w:rFonts w:eastAsia="Calibri"/>
                      <w:b/>
                      <w:szCs w:val="24"/>
                      <w:lang w:eastAsia="lt-LT"/>
                    </w:rPr>
                  </w:pPr>
                  <w:sdt>
                    <w:sdtPr>
                      <w:alias w:val="Numeris"/>
                      <w:tag w:val="nr_d75d8e20bcc44f99bef8104c75ed6280"/>
                      <w:lock w:val="sdtLocked"/>
                      <w:richText/>
                    </w:sdtPr>
                    <w:sdtContent>
                      <w:r>
                        <w:rPr>
                          <w:rFonts w:eastAsia="Calibri"/>
                          <w:b/>
                          <w:szCs w:val="24"/>
                          <w:lang w:eastAsia="lt-LT"/>
                        </w:rPr>
                        <w:t>1</w:t>
                      </w:r>
                    </w:sdtContent>
                  </w:sdt>
                  <w:r>
                    <w:rPr>
                      <w:rFonts w:eastAsia="Calibri"/>
                      <w:b/>
                      <w:szCs w:val="24"/>
                      <w:lang w:eastAsia="lt-LT"/>
                    </w:rPr>
                    <w:t>.</w:t>
                    <w:tab/>
                    <w:t>Sprendimo projekto tikslai ir uždaviniai, kiti sprendimui priimti reikalingi pagrindimai.</w:t>
                  </w:r>
                </w:p>
                <w:p>
                  <w:pPr>
                    <w:tabs>
                      <w:tab w:val="left" w:pos="1134"/>
                    </w:tabs>
                    <w:ind w:firstLine="851"/>
                    <w:jc w:val="both"/>
                  </w:pPr>
                  <w:r>
                    <w:rPr>
                      <w:rFonts w:eastAsia="Calibri"/>
                      <w:szCs w:val="24"/>
                      <w:lang w:eastAsia="lt-LT"/>
                    </w:rPr>
                    <w:t xml:space="preserve">Sprendimo projekto tikslas – </w:t>
                  </w:r>
                  <w:r>
                    <w:rPr>
                      <w:szCs w:val="24"/>
                    </w:rPr>
                    <w:t>pripažinti</w:t>
                  </w:r>
                  <w:r>
                    <w:t xml:space="preserve"> </w:t>
                  </w:r>
                  <w:r>
                    <w:rPr>
                      <w:szCs w:val="24"/>
                    </w:rPr>
                    <w:t>netekusiu</w:t>
                  </w:r>
                  <w:r>
                    <w:t xml:space="preserve"> galios Jonavos rajono savivaldybės tarybos 2019 m. gruodžio 19 d. sprendimą Nr. 1TS-260 „Dėl UAB „Jonavos paslaugos“ administruojamų daugiabučių namų bendrojo naudojimo patalpų valymo ir priskirtų teritorijų tvarkymo mokesčių tarifų patvirtinimo“, nes sprendimo 1 punkte </w:t>
                  </w:r>
                  <w:r>
                    <w:rPr>
                      <w:rFonts w:eastAsia="Calibri"/>
                      <w:szCs w:val="24"/>
                      <w:lang w:eastAsia="lt-LT"/>
                    </w:rPr>
                    <w:t>patvirtinti UAB „Jonavos paslaugos“ administruojamų daugiabučių namų bendrojo naudojimo patalpų valymo ir priskirtų teritorijų tvarkymo mokesčių tarifai šiuo metu neatitinka galiojančių teisės aktų.</w:t>
                  </w:r>
                </w:p>
                <w:p>
                  <w:pPr>
                    <w:ind w:firstLine="720"/>
                    <w:jc w:val="both"/>
                    <w:rPr>
                      <w:rFonts w:eastAsia="Calibri"/>
                      <w:szCs w:val="24"/>
                      <w:lang w:eastAsia="lt-LT"/>
                    </w:rPr>
                  </w:pPr>
                  <w:r>
                    <w:rPr>
                      <w:rFonts w:eastAsia="Calibri"/>
                      <w:szCs w:val="24"/>
                      <w:lang w:eastAsia="lt-LT"/>
                    </w:rPr>
                    <w:t>Daugiabučio namo administratorius (toliau – administratorius), paskirtas Lietuvos Respublikos civilinio kodekso 4.84 straipsnyje nustatyta tvarka savo veikloje, administruojant daugiabučio namo bendrojo naudojimo objektus, vadovaujasi Lietuvos Respublikos Vyriausybės 2001 m. gegužės 23 d. nutarimu Nr. 603 „Dėl daugiabučio namo bendrojo naudojimo objektų administravimo nuostatų patvirtinimo“ patvirtintais Daugiabučio namo bendrojo naudojimo objektų administravimo nuostatais (toliau – Nuostatai)</w:t>
                  </w:r>
                  <w:r>
                    <w:rPr>
                      <w:rFonts w:eastAsia="Calibri"/>
                      <w:i/>
                      <w:szCs w:val="24"/>
                      <w:lang w:eastAsia="lt-LT"/>
                    </w:rPr>
                    <w:t xml:space="preserve"> (redakcija galiojanti nuo 2025-11-01).</w:t>
                  </w:r>
                  <w:r>
                    <w:rPr>
                      <w:rFonts w:eastAsia="Calibri"/>
                      <w:szCs w:val="24"/>
                      <w:lang w:eastAsia="lt-LT"/>
                    </w:rPr>
                    <w:t xml:space="preserve"> </w:t>
                  </w:r>
                </w:p>
                <w:p>
                  <w:pPr>
                    <w:ind w:firstLine="720"/>
                    <w:jc w:val="both"/>
                    <w:rPr>
                      <w:rFonts w:eastAsia="Calibri"/>
                      <w:szCs w:val="24"/>
                      <w:lang w:eastAsia="lt-LT"/>
                    </w:rPr>
                  </w:pPr>
                  <w:r>
                    <w:rPr>
                      <w:rFonts w:eastAsia="Calibri"/>
                      <w:szCs w:val="24"/>
                      <w:lang w:eastAsia="lt-LT"/>
                    </w:rPr>
                    <w:t xml:space="preserve">Atsižvelgiant į galiojančius teisės aktus sprendimus dėl daugiabučio namo bendrojo naudojimo patalpų valymo ir žemės sklypo priežiūros paslaugų kainų ir tarifų dydžių suderinę su administratoriumi priima daugiabučio namo patalpų savininkai. </w:t>
                  </w:r>
                </w:p>
                <w:p>
                  <w:pPr>
                    <w:ind w:firstLine="720"/>
                    <w:jc w:val="both"/>
                    <w:rPr>
                      <w:rFonts w:eastAsia="Calibri"/>
                      <w:szCs w:val="24"/>
                      <w:lang w:eastAsia="lt-LT"/>
                    </w:rPr>
                  </w:pPr>
                  <w:r>
                    <w:rPr>
                      <w:rFonts w:eastAsia="Calibri"/>
                      <w:szCs w:val="24"/>
                      <w:lang w:eastAsia="lt-LT"/>
                    </w:rPr>
                    <w:t>Administratorius kas mėnesį, vadovaudamasis daugiabučio namo patalpų savininkų sprendimu ir Nuostatų 8.6 papunkčiu apskaičiuoja įmoką už bendrojo naudojimo patalpų valymą ir vadovaudamasis Nuostatų 9 punktu apskaičiuoja mokėjimą žemės sklypo priežiūrą.</w:t>
                  </w:r>
                </w:p>
                <w:p>
                  <w:pPr>
                    <w:jc w:val="both"/>
                    <w:rPr>
                      <w:rFonts w:eastAsia="Calibri"/>
                      <w:szCs w:val="24"/>
                      <w:lang w:eastAsia="lt-LT"/>
                    </w:rPr>
                  </w:pPr>
                </w:p>
              </w:sdtContent>
            </w:sdt>
            <w:sdt>
              <w:sdtPr>
                <w:alias w:val="2 p."/>
                <w:tag w:val="part_c0c397a7b06f4cbb9ca54035b3ca2322"/>
                <w:lock w:val="sdtLocked"/>
                <w:richText/>
              </w:sdtPr>
              <w:sdtContent>
                <w:p>
                  <w:pPr>
                    <w:overflowPunct w:val="0"/>
                    <w:ind w:left="1069" w:hanging="360"/>
                    <w:jc w:val="both"/>
                    <w:outlineLvl w:val="5"/>
                    <w:rPr>
                      <w:rFonts w:eastAsia="Calibri"/>
                      <w:b/>
                      <w:szCs w:val="24"/>
                      <w:lang w:eastAsia="lt-LT"/>
                    </w:rPr>
                  </w:pPr>
                  <w:sdt>
                    <w:sdtPr>
                      <w:alias w:val="Numeris"/>
                      <w:tag w:val="nr_c0c397a7b06f4cbb9ca54035b3ca2322"/>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pPr>
                    <w:ind w:firstLine="720"/>
                    <w:jc w:val="both"/>
                    <w:rPr>
                      <w:szCs w:val="24"/>
                    </w:rPr>
                  </w:pPr>
                  <w:r>
                    <w:rPr>
                      <w:szCs w:val="24"/>
                      <w:lang w:eastAsia="lt-LT"/>
                    </w:rPr>
                    <w:t>Sprendimo projektas teikiamas vadovaujantis Lietuvos Respublikos vietos savivaldos įstatymo 15 straipsnio 4 dalimi, kuri</w:t>
                  </w:r>
                  <w:r>
                    <w:rPr>
                      <w:szCs w:val="24"/>
                    </w:rPr>
                    <w:t xml:space="preserve"> numato, kad jeigu teisės aktuose yra nustatyta papildomų įgaliojimų savivaldybei, sprendimų dėl tokių įgaliojimų vykdymo priėmimo iniciatyva, neperžengiant nustatytų įgaliojimų, priklauso savivaldybės tarybai.</w:t>
                  </w:r>
                </w:p>
                <w:p>
                  <w:pPr>
                    <w:ind w:firstLine="720"/>
                    <w:jc w:val="both"/>
                    <w:rPr>
                      <w:szCs w:val="24"/>
                    </w:rPr>
                  </w:pPr>
                  <w:r>
                    <w:rPr>
                      <w:szCs w:val="24"/>
                    </w:rPr>
                    <w:t xml:space="preserve">Patalpų savininkams įmoka už bendrojo naudojimo patalpų valymą ir mokėjimas už žemės sklypo priežiūrą (priskirtos teritorijos tvarkymą) apskaičiuojami vadovaujantis Lietuvos Respublikos Vyriausybės 2001 m. gegužės 23 d. nutarimo Nr. 603 „Dėl daugiabučio namo bendrojo naudojimo objektų administravimo nuostatų patvirtinimo“ patvirtintų Daugiabučio namo bendrojo naudojimo objektų administravimo nuostatų 8.6 papunkčiu ir 9 punktu. </w:t>
                  </w:r>
                </w:p>
                <w:p>
                  <w:pPr>
                    <w:ind w:firstLine="720"/>
                    <w:jc w:val="both"/>
                  </w:pPr>
                  <w:r>
                    <w:rPr>
                      <w:szCs w:val="24"/>
                      <w:lang w:eastAsia="lt-LT"/>
                    </w:rPr>
                    <w:t>Priėmus</w:t>
                  </w:r>
                  <w:r>
                    <w:rPr>
                      <w:szCs w:val="24"/>
                    </w:rPr>
                    <w:t xml:space="preserve"> sprendimą bus panaikintas</w:t>
                  </w:r>
                  <w:r>
                    <w:t xml:space="preserve"> Jonavos rajono savivaldybės tarybos 2019 m. gruodžio 19 d. sprendimas Nr. 1TS-260 „Dėl UAB „Jonavos paslaugos“ administruojamų daugiabučių namų bendrojo naudojimo patalpų valymo ir priskirtų teritorijų tvarkymo mokesčių tarifų patvirtinimo“.</w:t>
                  </w:r>
                </w:p>
                <w:p>
                  <w:pPr>
                    <w:tabs>
                      <w:tab w:val="left" w:pos="1134"/>
                    </w:tabs>
                    <w:ind w:firstLine="851"/>
                    <w:jc w:val="both"/>
                  </w:pPr>
                </w:p>
              </w:sdtContent>
            </w:sdt>
            <w:sdt>
              <w:sdtPr>
                <w:alias w:val="3 p."/>
                <w:tag w:val="part_ba1c707befdb4ad4a406c65b459c7e31"/>
                <w:lock w:val="sdtLocked"/>
                <w:richText/>
              </w:sdtPr>
              <w:sdtContent>
                <w:p>
                  <w:pPr>
                    <w:ind w:left="1069" w:hanging="360"/>
                    <w:jc w:val="both"/>
                    <w:outlineLvl w:val="5"/>
                    <w:rPr>
                      <w:rFonts w:eastAsia="Calibri"/>
                      <w:b/>
                      <w:szCs w:val="24"/>
                      <w:lang w:eastAsia="lt-LT"/>
                    </w:rPr>
                  </w:pPr>
                  <w:sdt>
                    <w:sdtPr>
                      <w:alias w:val="Numeris"/>
                      <w:tag w:val="nr_ba1c707befdb4ad4a406c65b459c7e31"/>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pPr>
                    <w:ind w:firstLine="720"/>
                    <w:jc w:val="both"/>
                    <w:rPr>
                      <w:rFonts w:eastAsia="Calibri"/>
                      <w:szCs w:val="24"/>
                      <w:lang w:eastAsia="lt-LT"/>
                    </w:rPr>
                  </w:pPr>
                  <w:r>
                    <w:rPr>
                      <w:szCs w:val="24"/>
                    </w:rPr>
                    <w:t>Savivaldybės</w:t>
                  </w:r>
                  <w:r>
                    <w:rPr>
                      <w:rFonts w:eastAsia="Calibri"/>
                      <w:szCs w:val="24"/>
                      <w:lang w:eastAsia="lt-LT"/>
                    </w:rPr>
                    <w:t xml:space="preserve"> tarybai priėmus sprendimą bus įgyvendinti nuo 2025-11-01 galiojantys  Lietuvos Respublikos Vyriausybės 2001 m. gegužės 23 d. nutarimu Nr. 603 „Dėl daugiabučio namo bendrojo naudojimo objektų administravimo nuostatų patvirtinimo“ patvirtinti Daugiabučio namo bendrojo naudojimo objektų administravimo nuostatų reikalavimai.</w:t>
                  </w:r>
                </w:p>
                <w:p>
                  <w:pPr>
                    <w:jc w:val="both"/>
                  </w:pPr>
                </w:p>
              </w:sdtContent>
            </w:sdt>
            <w:sdt>
              <w:sdtPr>
                <w:alias w:val="4 p."/>
                <w:tag w:val="part_fe9dfd14bbb745948f4b0e260740f221"/>
                <w:lock w:val="sdtLocked"/>
                <w:richText/>
              </w:sdtPr>
              <w:sdtContent>
                <w:p>
                  <w:pPr>
                    <w:ind w:left="1069" w:hanging="360"/>
                    <w:jc w:val="both"/>
                    <w:outlineLvl w:val="5"/>
                    <w:rPr>
                      <w:rFonts w:eastAsia="Calibri"/>
                      <w:b/>
                      <w:szCs w:val="24"/>
                      <w:lang w:eastAsia="lt-LT"/>
                    </w:rPr>
                  </w:pPr>
                  <w:sdt>
                    <w:sdtPr>
                      <w:alias w:val="Numeris"/>
                      <w:tag w:val="nr_fe9dfd14bbb745948f4b0e260740f221"/>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pPr>
                    <w:ind w:firstLine="709"/>
                    <w:jc w:val="both"/>
                    <w:rPr>
                      <w:szCs w:val="24"/>
                      <w:lang w:eastAsia="lt-LT"/>
                    </w:rPr>
                  </w:pPr>
                  <w:r>
                    <w:rPr>
                      <w:szCs w:val="24"/>
                      <w:lang w:eastAsia="lt-LT"/>
                    </w:rPr>
                    <w:t>Sprendimo priėmimui papildomų lėšų poreikio nėra.</w:t>
                  </w:r>
                </w:p>
                <w:p>
                  <w:pPr>
                    <w:jc w:val="both"/>
                    <w:outlineLvl w:val="5"/>
                    <w:rPr>
                      <w:rFonts w:eastAsia="Calibri"/>
                      <w:b/>
                      <w:bCs/>
                      <w:szCs w:val="24"/>
                      <w:lang w:eastAsia="lt-LT"/>
                    </w:rPr>
                  </w:pPr>
                </w:p>
              </w:sdtContent>
            </w:sdt>
            <w:sdt>
              <w:sdtPr>
                <w:alias w:val="5 p."/>
                <w:tag w:val="part_b3d5c2ac0d0745bf895bab513d71d72e"/>
                <w:lock w:val="sdtLocked"/>
                <w:richText/>
              </w:sdtPr>
              <w:sdtContent>
                <w:p>
                  <w:pPr>
                    <w:ind w:left="1069" w:hanging="360"/>
                    <w:jc w:val="both"/>
                    <w:outlineLvl w:val="5"/>
                    <w:rPr>
                      <w:rFonts w:eastAsia="Calibri"/>
                      <w:b/>
                      <w:bCs/>
                      <w:szCs w:val="24"/>
                      <w:lang w:eastAsia="lt-LT"/>
                    </w:rPr>
                  </w:pPr>
                  <w:sdt>
                    <w:sdtPr>
                      <w:alias w:val="Numeris"/>
                      <w:tag w:val="nr_b3d5c2ac0d0745bf895bab513d71d72e"/>
                      <w:lock w:val="sdtLocked"/>
                      <w:richText/>
                    </w:sdtPr>
                    <w:sdtContent>
                      <w:r>
                        <w:rPr>
                          <w:rFonts w:eastAsia="Calibri"/>
                          <w:b/>
                          <w:bCs/>
                          <w:szCs w:val="24"/>
                          <w:lang w:eastAsia="lt-LT"/>
                        </w:rPr>
                        <w:t>5</w:t>
                      </w:r>
                    </w:sdtContent>
                  </w:sdt>
                  <w:r>
                    <w:rPr>
                      <w:rFonts w:eastAsia="Calibri"/>
                      <w:b/>
                      <w:bCs/>
                      <w:szCs w:val="24"/>
                      <w:lang w:eastAsia="lt-LT"/>
                    </w:rPr>
                    <w:t>.</w:t>
                    <w:tab/>
                    <w:t xml:space="preserve">Antikorupcinis vertinimas.         </w:t>
                  </w:r>
                </w:p>
                <w:p>
                  <w:pPr>
                    <w:ind w:firstLine="709"/>
                    <w:jc w:val="both"/>
                    <w:rPr>
                      <w:szCs w:val="24"/>
                    </w:rPr>
                  </w:pPr>
                  <w:r>
                    <w:rPr>
                      <w:szCs w:val="24"/>
                    </w:rPr>
                    <w:t xml:space="preserve">Vadovaujantis LR korupcijos prevencijos įstatymo nuostatomis, sprendimo projekto antikorupcinis vertinimas neatliekamas, nes sprendime nenumatoma reguliuoti visuomeninius santykius, numatytus šio įstatymo 8 straipsnio 1 dalyje. </w:t>
                  </w:r>
                </w:p>
                <w:p>
                  <w:pPr>
                    <w:ind w:firstLine="709"/>
                    <w:jc w:val="both"/>
                    <w:rPr>
                      <w:szCs w:val="24"/>
                    </w:rPr>
                  </w:pPr>
                </w:p>
                <w:p>
                  <w:pPr>
                    <w:tabs>
                      <w:tab w:val="left" w:pos="851"/>
                    </w:tabs>
                    <w:jc w:val="both"/>
                    <w:rPr>
                      <w:szCs w:val="24"/>
                      <w:lang w:eastAsia="lt-LT"/>
                    </w:rPr>
                  </w:pPr>
                </w:p>
                <w:p>
                  <w:pPr>
                    <w:tabs>
                      <w:tab w:val="left" w:pos="851"/>
                    </w:tabs>
                    <w:jc w:val="both"/>
                    <w:rPr>
                      <w:szCs w:val="24"/>
                      <w:lang w:eastAsia="lt-LT"/>
                    </w:rPr>
                  </w:pPr>
                </w:p>
              </w:sdtContent>
            </w:sdt>
          </w:sdtContent>
        </w:sdt>
        <w:sdt>
          <w:sdtPr>
            <w:alias w:val="signatura"/>
            <w:tag w:val="part_00144fb6296f4b23a909333b380469a2"/>
            <w:lock w:val="sdtLocked"/>
            <w:richText/>
          </w:sdtPr>
          <w:sdtContent>
            <w:p>
              <w:pPr>
                <w:tabs>
                  <w:tab w:val="left" w:pos="851"/>
                </w:tabs>
                <w:rPr>
                  <w:szCs w:val="24"/>
                  <w:lang w:eastAsia="lt-LT"/>
                </w:rPr>
              </w:pPr>
              <w:r>
                <w:rPr>
                  <w:szCs w:val="24"/>
                  <w:lang w:eastAsia="lt-LT"/>
                </w:rPr>
                <w:t xml:space="preserve">Turto ir aplinkos apsaugos skyriaus vyriausioji specialistė                                          Vitalija Bublytė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851" w:left="1134" w:header="709" w:footer="709" w:gutter="0"/>
      <w:pgNumType w:start="2"/>
      <w:cols w:space="1296"/>
      <w:titlePg/>
      <w:docGrid w:linePitch="354"/>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590F848" w16cid:durableId="5590F848"/>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6"/>
          <w:lang w:eastAsia="lt-LT"/>
        </w:rPr>
      </w:pPr>
      <w:r>
        <w:rPr>
          <w:rFonts w:ascii="TimesLT" w:hAnsi="TimesLT"/>
          <w:sz w:val="26"/>
          <w:lang w:eastAsia="lt-LT"/>
        </w:rPr>
        <w:separator/>
      </w:r>
    </w:p>
  </w:endnote>
  <w:endnote w:type="continuationSeparator" w:id="0">
    <w:p>
      <w:pPr>
        <w:rPr>
          <w:rFonts w:ascii="TimesLT" w:hAnsi="TimesLT"/>
          <w:sz w:val="26"/>
          <w:lang w:eastAsia="lt-LT"/>
        </w:rPr>
      </w:pPr>
      <w:r>
        <w:rPr>
          <w:rFonts w:ascii="TimesLT" w:hAnsi="TimesLT"/>
          <w:sz w:val="26"/>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6"/>
          <w:lang w:eastAsia="lt-LT"/>
        </w:rPr>
      </w:pPr>
      <w:r>
        <w:rPr>
          <w:rFonts w:ascii="TimesLT" w:hAnsi="TimesLT"/>
          <w:sz w:val="26"/>
          <w:lang w:eastAsia="lt-LT"/>
        </w:rPr>
        <w:separator/>
      </w:r>
    </w:p>
  </w:footnote>
  <w:footnote w:type="continuationSeparator" w:id="0">
    <w:p>
      <w:pPr>
        <w:rPr>
          <w:rFonts w:ascii="TimesLT" w:hAnsi="TimesLT"/>
          <w:sz w:val="26"/>
          <w:lang w:eastAsia="lt-LT"/>
        </w:rPr>
      </w:pPr>
      <w:r>
        <w:rPr>
          <w:rFonts w:ascii="TimesLT" w:hAnsi="TimesLT"/>
          <w:sz w:val="26"/>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5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CBDE8C17-485E-4C54-8148-A1379482D08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972917">
      <w:bodyDiv w:val="1"/>
      <w:marLeft w:val="0"/>
      <w:marRight w:val="0"/>
      <w:marTop w:val="0"/>
      <w:marBottom w:val="0"/>
      <w:divBdr>
        <w:top w:val="none" w:sz="0" w:space="0" w:color="auto"/>
        <w:left w:val="none" w:sz="0" w:space="0" w:color="auto"/>
        <w:bottom w:val="none" w:sz="0" w:space="0" w:color="auto"/>
        <w:right w:val="none" w:sz="0" w:space="0" w:color="auto"/>
      </w:divBdr>
      <w:divsChild>
        <w:div w:id="1717002417">
          <w:marLeft w:val="0"/>
          <w:marRight w:val="0"/>
          <w:marTop w:val="0"/>
          <w:marBottom w:val="0"/>
          <w:divBdr>
            <w:top w:val="none" w:sz="0" w:space="0" w:color="auto"/>
            <w:left w:val="none" w:sz="0" w:space="0" w:color="auto"/>
            <w:bottom w:val="none" w:sz="0" w:space="0" w:color="auto"/>
            <w:right w:val="none" w:sz="0" w:space="0" w:color="auto"/>
          </w:divBdr>
          <w:divsChild>
            <w:div w:id="186655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55053">
      <w:bodyDiv w:val="1"/>
      <w:marLeft w:val="0"/>
      <w:marRight w:val="0"/>
      <w:marTop w:val="0"/>
      <w:marBottom w:val="0"/>
      <w:divBdr>
        <w:top w:val="none" w:sz="0" w:space="0" w:color="auto"/>
        <w:left w:val="none" w:sz="0" w:space="0" w:color="auto"/>
        <w:bottom w:val="none" w:sz="0" w:space="0" w:color="auto"/>
        <w:right w:val="none" w:sz="0" w:space="0" w:color="auto"/>
      </w:divBdr>
    </w:div>
    <w:div w:id="263077378">
      <w:bodyDiv w:val="1"/>
      <w:marLeft w:val="0"/>
      <w:marRight w:val="0"/>
      <w:marTop w:val="0"/>
      <w:marBottom w:val="0"/>
      <w:divBdr>
        <w:top w:val="none" w:sz="0" w:space="0" w:color="auto"/>
        <w:left w:val="none" w:sz="0" w:space="0" w:color="auto"/>
        <w:bottom w:val="none" w:sz="0" w:space="0" w:color="auto"/>
        <w:right w:val="none" w:sz="0" w:space="0" w:color="auto"/>
      </w:divBdr>
    </w:div>
    <w:div w:id="521553602">
      <w:bodyDiv w:val="1"/>
      <w:marLeft w:val="0"/>
      <w:marRight w:val="0"/>
      <w:marTop w:val="0"/>
      <w:marBottom w:val="0"/>
      <w:divBdr>
        <w:top w:val="none" w:sz="0" w:space="0" w:color="auto"/>
        <w:left w:val="none" w:sz="0" w:space="0" w:color="auto"/>
        <w:bottom w:val="none" w:sz="0" w:space="0" w:color="auto"/>
        <w:right w:val="none" w:sz="0" w:space="0" w:color="auto"/>
      </w:divBdr>
    </w:div>
    <w:div w:id="1081676582">
      <w:bodyDiv w:val="1"/>
      <w:marLeft w:val="0"/>
      <w:marRight w:val="0"/>
      <w:marTop w:val="0"/>
      <w:marBottom w:val="0"/>
      <w:divBdr>
        <w:top w:val="none" w:sz="0" w:space="0" w:color="auto"/>
        <w:left w:val="none" w:sz="0" w:space="0" w:color="auto"/>
        <w:bottom w:val="none" w:sz="0" w:space="0" w:color="auto"/>
        <w:right w:val="none" w:sz="0" w:space="0" w:color="auto"/>
      </w:divBdr>
    </w:div>
    <w:div w:id="1111897044">
      <w:bodyDiv w:val="1"/>
      <w:marLeft w:val="0"/>
      <w:marRight w:val="0"/>
      <w:marTop w:val="0"/>
      <w:marBottom w:val="0"/>
      <w:divBdr>
        <w:top w:val="none" w:sz="0" w:space="0" w:color="auto"/>
        <w:left w:val="none" w:sz="0" w:space="0" w:color="auto"/>
        <w:bottom w:val="none" w:sz="0" w:space="0" w:color="auto"/>
        <w:right w:val="none" w:sz="0" w:space="0" w:color="auto"/>
      </w:divBdr>
      <w:divsChild>
        <w:div w:id="68502514">
          <w:marLeft w:val="0"/>
          <w:marRight w:val="0"/>
          <w:marTop w:val="0"/>
          <w:marBottom w:val="0"/>
          <w:divBdr>
            <w:top w:val="none" w:sz="0" w:space="0" w:color="auto"/>
            <w:left w:val="none" w:sz="0" w:space="0" w:color="auto"/>
            <w:bottom w:val="none" w:sz="0" w:space="0" w:color="auto"/>
            <w:right w:val="none" w:sz="0" w:space="0" w:color="auto"/>
          </w:divBdr>
        </w:div>
      </w:divsChild>
    </w:div>
    <w:div w:id="1180583870">
      <w:bodyDiv w:val="1"/>
      <w:marLeft w:val="0"/>
      <w:marRight w:val="0"/>
      <w:marTop w:val="0"/>
      <w:marBottom w:val="0"/>
      <w:divBdr>
        <w:top w:val="none" w:sz="0" w:space="0" w:color="auto"/>
        <w:left w:val="none" w:sz="0" w:space="0" w:color="auto"/>
        <w:bottom w:val="none" w:sz="0" w:space="0" w:color="auto"/>
        <w:right w:val="none" w:sz="0" w:space="0" w:color="auto"/>
      </w:divBdr>
    </w:div>
    <w:div w:id="1400053223">
      <w:bodyDiv w:val="1"/>
      <w:marLeft w:val="0"/>
      <w:marRight w:val="0"/>
      <w:marTop w:val="0"/>
      <w:marBottom w:val="0"/>
      <w:divBdr>
        <w:top w:val="none" w:sz="0" w:space="0" w:color="auto"/>
        <w:left w:val="none" w:sz="0" w:space="0" w:color="auto"/>
        <w:bottom w:val="none" w:sz="0" w:space="0" w:color="auto"/>
        <w:right w:val="none" w:sz="0" w:space="0" w:color="auto"/>
      </w:divBdr>
      <w:divsChild>
        <w:div w:id="1532373407">
          <w:marLeft w:val="0"/>
          <w:marRight w:val="0"/>
          <w:marTop w:val="0"/>
          <w:marBottom w:val="0"/>
          <w:divBdr>
            <w:top w:val="none" w:sz="0" w:space="0" w:color="auto"/>
            <w:left w:val="none" w:sz="0" w:space="0" w:color="auto"/>
            <w:bottom w:val="none" w:sz="0" w:space="0" w:color="auto"/>
            <w:right w:val="none" w:sz="0" w:space="0" w:color="auto"/>
          </w:divBdr>
        </w:div>
      </w:divsChild>
    </w:div>
    <w:div w:id="1483235144">
      <w:bodyDiv w:val="1"/>
      <w:marLeft w:val="0"/>
      <w:marRight w:val="0"/>
      <w:marTop w:val="0"/>
      <w:marBottom w:val="0"/>
      <w:divBdr>
        <w:top w:val="none" w:sz="0" w:space="0" w:color="auto"/>
        <w:left w:val="none" w:sz="0" w:space="0" w:color="auto"/>
        <w:bottom w:val="none" w:sz="0" w:space="0" w:color="auto"/>
        <w:right w:val="none" w:sz="0" w:space="0" w:color="auto"/>
      </w:divBdr>
    </w:div>
    <w:div w:id="1538661839">
      <w:bodyDiv w:val="1"/>
      <w:marLeft w:val="0"/>
      <w:marRight w:val="0"/>
      <w:marTop w:val="0"/>
      <w:marBottom w:val="0"/>
      <w:divBdr>
        <w:top w:val="none" w:sz="0" w:space="0" w:color="auto"/>
        <w:left w:val="none" w:sz="0" w:space="0" w:color="auto"/>
        <w:bottom w:val="none" w:sz="0" w:space="0" w:color="auto"/>
        <w:right w:val="none" w:sz="0" w:space="0" w:color="auto"/>
      </w:divBdr>
    </w:div>
    <w:div w:id="1746419511">
      <w:bodyDiv w:val="1"/>
      <w:marLeft w:val="0"/>
      <w:marRight w:val="0"/>
      <w:marTop w:val="0"/>
      <w:marBottom w:val="0"/>
      <w:divBdr>
        <w:top w:val="none" w:sz="0" w:space="0" w:color="auto"/>
        <w:left w:val="none" w:sz="0" w:space="0" w:color="auto"/>
        <w:bottom w:val="none" w:sz="0" w:space="0" w:color="auto"/>
        <w:right w:val="none" w:sz="0" w:space="0" w:color="auto"/>
      </w:divBdr>
    </w:div>
    <w:div w:id="1922830818">
      <w:bodyDiv w:val="1"/>
      <w:marLeft w:val="0"/>
      <w:marRight w:val="0"/>
      <w:marTop w:val="0"/>
      <w:marBottom w:val="0"/>
      <w:divBdr>
        <w:top w:val="none" w:sz="0" w:space="0" w:color="auto"/>
        <w:left w:val="none" w:sz="0" w:space="0" w:color="auto"/>
        <w:bottom w:val="none" w:sz="0" w:space="0" w:color="auto"/>
        <w:right w:val="none" w:sz="0" w:space="0" w:color="auto"/>
      </w:divBdr>
    </w:div>
    <w:div w:id="1953974866">
      <w:bodyDiv w:val="1"/>
      <w:marLeft w:val="0"/>
      <w:marRight w:val="0"/>
      <w:marTop w:val="0"/>
      <w:marBottom w:val="0"/>
      <w:divBdr>
        <w:top w:val="none" w:sz="0" w:space="0" w:color="auto"/>
        <w:left w:val="none" w:sz="0" w:space="0" w:color="auto"/>
        <w:bottom w:val="none" w:sz="0" w:space="0" w:color="auto"/>
        <w:right w:val="none" w:sz="0" w:space="0" w:color="auto"/>
      </w:divBdr>
    </w:div>
    <w:div w:id="2127767393">
      <w:bodyDiv w:val="1"/>
      <w:marLeft w:val="0"/>
      <w:marRight w:val="0"/>
      <w:marTop w:val="0"/>
      <w:marBottom w:val="0"/>
      <w:divBdr>
        <w:top w:val="none" w:sz="0" w:space="0" w:color="auto"/>
        <w:left w:val="none" w:sz="0" w:space="0" w:color="auto"/>
        <w:bottom w:val="none" w:sz="0" w:space="0" w:color="auto"/>
        <w:right w:val="none" w:sz="0" w:space="0" w:color="auto"/>
      </w:divBdr>
    </w:div>
    <w:div w:id="214580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openxmlformats.org/officeDocument/2006/relationships/customXml" Target="../customXml/item2.xml"/>
  <Relationship Id="rId18" Type="http://schemas.microsoft.com/office/2016/09/relationships/commentsIds" Target="commentsId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67a689d50f048c8b3d84d648d9b2582" PartId="12a8a27f484148bd8d58c93a3021df69">
    <Part Type="skirsnis" Title="JONAVOS RAJONO SAVIVALDYBĖS TARYBAI AIŠKINAMASIS RAŠTAS" DocPartId="c30c1214d53c4be5842e8dd01c10f3c8" PartId="aad28ebb1af1478dbc66951882048882"/>
    <Part Type="skirsnis" Title="DĖL JONAVOS RAJONO SAVIVALDYBĖS TARYBOS 2019 M. GRUODŽIO 19 D. SPRENDIMO NR. 1TS-260 „DĖL UAB „JONAVOS PASLAUGOS“ ADMINISTRUOJAMŲ DAUGIABUČIŲ NAMŲ BENDROJO NAUDOJIMO PATALPŲ VALYMO IR PRISKIRTŲ TERITORIJŲ TVARKYMO MOKESČIŲ TARIFŲ PATVIRTINIMO“ PRIPAŽINIMO NETEKUSIU GALIOS" DocPartId="4fac4228b7164ebd8ebfa06a642125fb" PartId="32387a08f39943888befb2d452a27e3e">
      <Part Type="punktas" Nr="1" Abbr="1 p." DocPartId="1c43efbb466446fc82436ba99148b4d8" PartId="d75d8e20bcc44f99bef8104c75ed6280"/>
      <Part Type="punktas" Nr="2" Abbr="2 p." DocPartId="47293327809f488f8dca445f3525c132" PartId="c0c397a7b06f4cbb9ca54035b3ca2322"/>
      <Part Type="punktas" Nr="3" Abbr="3 p." DocPartId="2447db277bf14d7a986cf1e54108d0f6" PartId="ba1c707befdb4ad4a406c65b459c7e31"/>
      <Part Type="punktas" Nr="4" Abbr="4 p." DocPartId="86bb83de48b043a0931bfa80eff6817d" PartId="fe9dfd14bbb745948f4b0e260740f221"/>
      <Part Type="punktas" Nr="5" Abbr="5 p." DocPartId="e0755ded28994947998bd225993bbcec" PartId="b3d5c2ac0d0745bf895bab513d71d72e"/>
    </Part>
    <Part Type="signatura" DocPartId="62b4015ffe7d479e8cfce09fd92a35a8" PartId="00144fb6296f4b23a909333b380469a2"/>
  </Part>
</Parts>
</file>

<file path=customXml/itemProps1.xml><?xml version="1.0" encoding="utf-8"?>
<ds:datastoreItem xmlns:ds="http://schemas.openxmlformats.org/officeDocument/2006/customXml" ds:itemID="{46423DB6-B925-4240-B612-C311DB926D3B}">
  <ds:schemaRefs>
    <ds:schemaRef ds:uri="http://schemas.openxmlformats.org/officeDocument/2006/bibliography"/>
  </ds:schemaRefs>
</ds:datastoreItem>
</file>

<file path=customXml/itemProps2.xml><?xml version="1.0" encoding="utf-8"?>
<ds:datastoreItem xmlns:ds="http://schemas.openxmlformats.org/officeDocument/2006/customXml" ds:itemID="{4CD8CC28-20EE-47CB-BD11-78C0CA3869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728</Words>
  <Characters>5381</Characters>
  <Application>Microsoft Office Word</Application>
  <DocSecurity>4</DocSecurity>
  <Lines>125</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6066</CharactersWithSpaces>
  <SharedDoc>false</SharedDoc>
  <HyperlinkBase/>
  <HLinks>
    <vt:vector size="6" baseType="variant">
      <vt:variant>
        <vt:i4>1638514</vt:i4>
      </vt:variant>
      <vt:variant>
        <vt:i4>0</vt:i4>
      </vt:variant>
      <vt:variant>
        <vt:i4>0</vt:i4>
      </vt:variant>
      <vt:variant>
        <vt:i4>5</vt:i4>
      </vt:variant>
      <vt:variant>
        <vt:lpwstr>mailto:milda.labasauskaite@krs.lt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2026-06-12T09:44:00Z</dcterms:created>
  <dc:creator>Valda Koženiauskienė</dc:creator>
  <lastModifiedBy>adlibuser</lastModifiedBy>
  <lastPrinted>2026-04-07T07:00:00Z</lastPrinted>
  <dcterms:modified xsi:type="dcterms:W3CDTF">2026-06-12T09:44:00Z</dcterms:modified>
  <revision>2</revision>
</coreProperties>
</file>