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keepNext/>
        <w:spacing w:line="360" w:lineRule="auto"/>
        <w:jc w:val="right"/>
        <w:outlineLvl w:val="1"/>
        <w:rPr>
          <w:b/>
        </w:rPr>
      </w:pPr>
      <w:r>
        <w:rPr>
          <w:b/>
        </w:rPr>
        <w:t>Projektas</w:t>
      </w:r>
    </w:p>
    <w:p>
      <w:pPr>
        <w:keepNext/>
        <w:spacing w:line="360" w:lineRule="auto"/>
        <w:jc w:val="center"/>
        <w:rPr>
          <w:b/>
          <w:caps/>
        </w:rPr>
      </w:pPr>
      <w:r>
        <w:rPr>
          <w:b/>
          <w:caps/>
        </w:rPr>
        <w:t>PRIENŲ RAJONO savivaldybės TARYBA</w:t>
      </w:r>
    </w:p>
    <w:p>
      <w:pPr>
        <w:rPr>
          <w:sz w:val="20"/>
        </w:rPr>
      </w:pPr>
    </w:p>
    <w:p>
      <w:pPr>
        <w:keepNext/>
        <w:spacing w:line="360" w:lineRule="auto"/>
        <w:jc w:val="center"/>
        <w:rPr>
          <w:b/>
          <w:sz w:val="20"/>
        </w:rPr>
      </w:pPr>
      <w:r>
        <w:rPr>
          <w:b/>
        </w:rPr>
        <w:t>SPRENDIMAS</w:t>
      </w:r>
    </w:p>
    <w:p>
      <w:pPr>
        <w:spacing w:line="360" w:lineRule="auto"/>
        <w:jc w:val="center"/>
        <w:rPr>
          <w:b/>
          <w:caps/>
        </w:rPr>
      </w:pPr>
      <w:r>
        <w:rPr>
          <w:b/>
          <w:caps/>
        </w:rPr>
        <w:t>Dėl Sutikimo perimti valstybės turtą prienų rajono savivaldybės nuosavybėn ir jo perdavimo prienų justino marcinkevičiaus viešajai bibliotekai</w:t>
      </w:r>
    </w:p>
    <w:p>
      <w:pPr>
        <w:spacing w:line="360" w:lineRule="auto"/>
        <w:ind w:firstLine="62"/>
        <w:jc w:val="center"/>
        <w:rPr>
          <w:b/>
          <w:caps/>
        </w:rPr>
      </w:pPr>
    </w:p>
    <w:p>
      <w:pPr>
        <w:spacing w:line="360" w:lineRule="auto"/>
        <w:jc w:val="center"/>
        <w:rPr>
          <w:bCs/>
        </w:rPr>
      </w:pPr>
      <w:r>
        <w:rPr>
          <w:bCs/>
          <w:caps/>
        </w:rPr>
        <w:t xml:space="preserve">2016 </w:t>
      </w:r>
      <w:r>
        <w:rPr>
          <w:bCs/>
        </w:rPr>
        <w:t>m. sausio 19</w:t>
      </w:r>
      <w:r>
        <w:rPr>
          <w:bCs/>
          <w:caps/>
        </w:rPr>
        <w:t xml:space="preserve"> </w:t>
      </w:r>
      <w:r>
        <w:rPr>
          <w:bCs/>
        </w:rPr>
        <w:t>d</w:t>
      </w:r>
      <w:r>
        <w:rPr>
          <w:bCs/>
          <w:caps/>
        </w:rPr>
        <w:t>. N</w:t>
      </w:r>
      <w:r>
        <w:rPr>
          <w:bCs/>
        </w:rPr>
        <w:t>r</w:t>
      </w:r>
      <w:r>
        <w:rPr>
          <w:bCs/>
          <w:caps/>
        </w:rPr>
        <w:t xml:space="preserve">. (1.3)-T1-9 </w:t>
      </w:r>
    </w:p>
    <w:p>
      <w:pPr>
        <w:keepNext/>
        <w:jc w:val="center"/>
        <w:outlineLvl w:val="5"/>
      </w:pPr>
      <w:r>
        <w:t>Prienai</w:t>
      </w:r>
    </w:p>
    <w:p>
      <w:pPr>
        <w:jc w:val="center"/>
      </w:pPr>
    </w:p>
    <w:p>
      <w:pPr>
        <w:rPr>
          <w:sz w:val="20"/>
        </w:rPr>
      </w:pPr>
    </w:p>
    <w:p>
      <w:pPr>
        <w:spacing w:line="360" w:lineRule="auto"/>
        <w:ind w:right="42" w:firstLine="1134"/>
        <w:jc w:val="both"/>
      </w:pPr>
      <w:r>
        <w:rPr>
          <w:szCs w:val="24"/>
        </w:rPr>
        <w:t>Vadovaudamasi Lietuvos Respublikos valstybės ir savivaldybių turto valdymo,</w:t>
      </w:r>
      <w:r>
        <w:t xml:space="preserve"> naudojimo ir disponavimo juo įstatymo 6 straipsnio 2 punktu, 12 straipsnio 2 dalimis, Lietuvos Respublikos vietos savivaldos įstatymo 6 straipsnio 13 ir 24 punktais ir atsižvelgdama į Lietuvos nacionalinės Martyno Mažvydo bibliotekos 2015-11-30 raštą Nr. SD-15-1483, Prienų  rajono savivaldybės taryba  n u s p r e n d ž i a:</w:t>
      </w:r>
    </w:p>
    <w:p>
      <w:pPr>
        <w:spacing w:line="360" w:lineRule="auto"/>
        <w:ind w:firstLine="1080"/>
        <w:jc w:val="both"/>
        <w:rPr>
          <w:szCs w:val="24"/>
        </w:rPr>
      </w:pPr>
      <w:r>
        <w:rPr>
          <w:szCs w:val="24"/>
        </w:rPr>
        <w:t>1</w:t>
      </w:r>
      <w:r>
        <w:rPr>
          <w:szCs w:val="24"/>
        </w:rPr>
        <w:t>. Sutikti perimti Prienų rajono savivaldybės nuosavybėn savarankiškosioms savivaldybių funkcijoms (gyventojų bendrosios kultūros ugdymas ir etnokultūros puoselėjimas, informacinės visuomenės plėtros įgyvendinimas) įgyvendinti valstybei nuosavybės teise priklausantį ir šiuo metu Lietuvos nacionalinės Martyno Mažvydo bibliotekos patikėjimo teise valdomą materialųjį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789"/>
        <w:gridCol w:w="1134"/>
        <w:gridCol w:w="1276"/>
        <w:gridCol w:w="1276"/>
      </w:tblGrid>
      <w:tr>
        <w:tc>
          <w:tcPr>
            <w:tcW w:w="556" w:type="dxa"/>
          </w:tcPr>
          <w:p>
            <w:pPr>
              <w:jc w:val="center"/>
              <w:rPr>
                <w:szCs w:val="24"/>
              </w:rPr>
            </w:pPr>
            <w:r>
              <w:rPr>
                <w:szCs w:val="24"/>
              </w:rPr>
              <w:t>Eil. Nr.</w:t>
            </w:r>
          </w:p>
        </w:tc>
        <w:tc>
          <w:tcPr>
            <w:tcW w:w="5789" w:type="dxa"/>
          </w:tcPr>
          <w:p>
            <w:pPr>
              <w:jc w:val="center"/>
              <w:rPr>
                <w:szCs w:val="24"/>
              </w:rPr>
            </w:pPr>
            <w:r>
              <w:rPr>
                <w:szCs w:val="24"/>
              </w:rPr>
              <w:t>Turto pavadinimas</w:t>
            </w:r>
          </w:p>
        </w:tc>
        <w:tc>
          <w:tcPr>
            <w:tcW w:w="1134" w:type="dxa"/>
          </w:tcPr>
          <w:p>
            <w:pPr>
              <w:jc w:val="center"/>
              <w:rPr>
                <w:szCs w:val="24"/>
              </w:rPr>
            </w:pPr>
            <w:r>
              <w:rPr>
                <w:szCs w:val="24"/>
              </w:rPr>
              <w:t>Kiekis, vnt.</w:t>
            </w:r>
          </w:p>
        </w:tc>
        <w:tc>
          <w:tcPr>
            <w:tcW w:w="1276" w:type="dxa"/>
          </w:tcPr>
          <w:p>
            <w:pPr>
              <w:jc w:val="center"/>
              <w:rPr>
                <w:szCs w:val="24"/>
              </w:rPr>
            </w:pPr>
            <w:r>
              <w:rPr>
                <w:szCs w:val="24"/>
              </w:rPr>
              <w:t>Vieneto įsigijimo vertė, Eur</w:t>
            </w:r>
          </w:p>
        </w:tc>
        <w:tc>
          <w:tcPr>
            <w:tcW w:w="1276" w:type="dxa"/>
          </w:tcPr>
          <w:p>
            <w:pPr>
              <w:jc w:val="center"/>
              <w:rPr>
                <w:szCs w:val="24"/>
              </w:rPr>
            </w:pPr>
            <w:r>
              <w:rPr>
                <w:szCs w:val="24"/>
              </w:rPr>
              <w:t>Bendra likutinė vertė, Eur</w:t>
            </w:r>
          </w:p>
        </w:tc>
      </w:tr>
      <w:tr>
        <w:tc>
          <w:tcPr>
            <w:tcW w:w="556" w:type="dxa"/>
          </w:tcPr>
          <w:p>
            <w:pPr>
              <w:jc w:val="center"/>
              <w:rPr>
                <w:szCs w:val="24"/>
              </w:rPr>
            </w:pPr>
            <w:r>
              <w:rPr>
                <w:szCs w:val="24"/>
              </w:rPr>
              <w:t>1.</w:t>
            </w:r>
          </w:p>
        </w:tc>
        <w:tc>
          <w:tcPr>
            <w:tcW w:w="5789" w:type="dxa"/>
          </w:tcPr>
          <w:p>
            <w:pPr>
              <w:spacing w:line="360" w:lineRule="auto"/>
              <w:jc w:val="both"/>
              <w:rPr>
                <w:szCs w:val="24"/>
              </w:rPr>
            </w:pPr>
            <w:r>
              <w:rPr>
                <w:szCs w:val="24"/>
              </w:rPr>
              <w:t>Skaityklės Samsung Galaxy TAB S 8.4:</w:t>
            </w:r>
          </w:p>
          <w:p>
            <w:pPr>
              <w:spacing w:line="360" w:lineRule="auto"/>
              <w:jc w:val="both"/>
              <w:rPr>
                <w:szCs w:val="24"/>
              </w:rPr>
            </w:pPr>
            <w:r>
              <w:rPr>
                <w:szCs w:val="24"/>
              </w:rPr>
              <w:t>Operatyvioji atmintis (RAM): 3 GB;</w:t>
            </w:r>
          </w:p>
          <w:p>
            <w:pPr>
              <w:spacing w:line="360" w:lineRule="auto"/>
              <w:jc w:val="both"/>
              <w:rPr>
                <w:szCs w:val="24"/>
              </w:rPr>
            </w:pPr>
            <w:r>
              <w:rPr>
                <w:szCs w:val="24"/>
              </w:rPr>
              <w:t>Pastovioji atmintis: 16 GB;</w:t>
            </w:r>
          </w:p>
          <w:p>
            <w:pPr>
              <w:spacing w:line="360" w:lineRule="auto"/>
              <w:jc w:val="both"/>
              <w:rPr>
                <w:szCs w:val="24"/>
              </w:rPr>
            </w:pPr>
            <w:r>
              <w:rPr>
                <w:szCs w:val="24"/>
              </w:rPr>
              <w:t>Ekranas: 8.4:</w:t>
            </w:r>
          </w:p>
          <w:p>
            <w:pPr>
              <w:spacing w:line="360" w:lineRule="auto"/>
              <w:jc w:val="both"/>
              <w:rPr>
                <w:szCs w:val="24"/>
              </w:rPr>
            </w:pPr>
            <w:r>
              <w:rPr>
                <w:szCs w:val="24"/>
              </w:rPr>
              <w:t>Ekrano skiriamoji geba: 2560 x 1600;</w:t>
            </w:r>
          </w:p>
          <w:p>
            <w:pPr>
              <w:spacing w:line="360" w:lineRule="auto"/>
              <w:jc w:val="both"/>
              <w:rPr>
                <w:szCs w:val="24"/>
              </w:rPr>
            </w:pPr>
            <w:r>
              <w:rPr>
                <w:szCs w:val="24"/>
              </w:rPr>
              <w:t>Operacinė sistema: Android 4.4 (KitKat);</w:t>
            </w:r>
          </w:p>
          <w:p>
            <w:pPr>
              <w:spacing w:line="360" w:lineRule="auto"/>
              <w:jc w:val="both"/>
              <w:rPr>
                <w:szCs w:val="24"/>
              </w:rPr>
            </w:pPr>
            <w:r>
              <w:rPr>
                <w:szCs w:val="24"/>
              </w:rPr>
              <w:t>Bevielis tinklas: 802.11b/g/n.</w:t>
            </w:r>
          </w:p>
          <w:p>
            <w:pPr>
              <w:spacing w:line="360" w:lineRule="auto"/>
              <w:jc w:val="both"/>
              <w:rPr>
                <w:szCs w:val="24"/>
              </w:rPr>
            </w:pPr>
            <w:r>
              <w:rPr>
                <w:szCs w:val="24"/>
              </w:rPr>
              <w:t>Priedai:</w:t>
            </w:r>
          </w:p>
          <w:p>
            <w:pPr>
              <w:spacing w:line="360" w:lineRule="auto"/>
              <w:jc w:val="both"/>
              <w:rPr>
                <w:szCs w:val="24"/>
              </w:rPr>
            </w:pPr>
            <w:r>
              <w:rPr>
                <w:szCs w:val="24"/>
              </w:rPr>
              <w:t>Apsauginis dėklas: HAMA Arezzo Portfolio for Samgung Galaxy Tab S 8.4 black;</w:t>
            </w:r>
          </w:p>
          <w:p>
            <w:pPr>
              <w:spacing w:line="360" w:lineRule="auto"/>
              <w:jc w:val="both"/>
              <w:rPr>
                <w:szCs w:val="24"/>
              </w:rPr>
            </w:pPr>
            <w:r>
              <w:rPr>
                <w:szCs w:val="24"/>
              </w:rPr>
              <w:t>Apsauginis trosas: NOBLE LOCKS universal wedge lock;</w:t>
            </w:r>
          </w:p>
          <w:p>
            <w:pPr>
              <w:spacing w:line="360" w:lineRule="auto"/>
              <w:jc w:val="both"/>
              <w:rPr>
                <w:szCs w:val="24"/>
              </w:rPr>
            </w:pPr>
            <w:r>
              <w:rPr>
                <w:szCs w:val="24"/>
              </w:rPr>
              <w:t>Programinė įranga: SureLock.</w:t>
            </w:r>
          </w:p>
        </w:tc>
        <w:tc>
          <w:tcPr>
            <w:tcW w:w="1134" w:type="dxa"/>
          </w:tcPr>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r>
              <w:rPr>
                <w:szCs w:val="24"/>
              </w:rPr>
              <w:t>4</w:t>
            </w:r>
          </w:p>
        </w:tc>
        <w:tc>
          <w:tcPr>
            <w:tcW w:w="1276" w:type="dxa"/>
          </w:tcPr>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r>
              <w:rPr>
                <w:szCs w:val="24"/>
              </w:rPr>
              <w:t>433,18</w:t>
            </w:r>
          </w:p>
        </w:tc>
        <w:tc>
          <w:tcPr>
            <w:tcW w:w="1276" w:type="dxa"/>
          </w:tcPr>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r>
              <w:rPr>
                <w:szCs w:val="24"/>
              </w:rPr>
              <w:t>1 732,72</w:t>
            </w:r>
          </w:p>
        </w:tc>
      </w:tr>
      <w:tr>
        <w:tc>
          <w:tcPr>
            <w:tcW w:w="556" w:type="dxa"/>
          </w:tcPr>
          <w:p>
            <w:pPr>
              <w:jc w:val="center"/>
              <w:rPr>
                <w:szCs w:val="24"/>
              </w:rPr>
            </w:pPr>
          </w:p>
        </w:tc>
        <w:tc>
          <w:tcPr>
            <w:tcW w:w="5789" w:type="dxa"/>
          </w:tcPr>
          <w:p>
            <w:pPr>
              <w:jc w:val="right"/>
              <w:rPr>
                <w:b/>
                <w:szCs w:val="24"/>
              </w:rPr>
            </w:pPr>
            <w:r>
              <w:rPr>
                <w:b/>
                <w:szCs w:val="24"/>
              </w:rPr>
              <w:t>Iš viso:</w:t>
            </w:r>
          </w:p>
        </w:tc>
        <w:tc>
          <w:tcPr>
            <w:tcW w:w="1134" w:type="dxa"/>
          </w:tcPr>
          <w:p>
            <w:pPr>
              <w:jc w:val="center"/>
              <w:rPr>
                <w:szCs w:val="24"/>
              </w:rPr>
            </w:pPr>
          </w:p>
        </w:tc>
        <w:tc>
          <w:tcPr>
            <w:tcW w:w="1276" w:type="dxa"/>
          </w:tcPr>
          <w:p>
            <w:pPr>
              <w:jc w:val="center"/>
              <w:rPr>
                <w:szCs w:val="24"/>
              </w:rPr>
            </w:pPr>
          </w:p>
        </w:tc>
        <w:tc>
          <w:tcPr>
            <w:tcW w:w="1276" w:type="dxa"/>
          </w:tcPr>
          <w:p>
            <w:pPr>
              <w:jc w:val="center"/>
              <w:rPr>
                <w:b/>
                <w:szCs w:val="24"/>
              </w:rPr>
            </w:pPr>
            <w:r>
              <w:rPr>
                <w:b/>
                <w:szCs w:val="24"/>
              </w:rPr>
              <w:t>1 732,72</w:t>
            </w:r>
          </w:p>
        </w:tc>
      </w:tr>
    </w:tbl>
    <w:p/>
    <w:p>
      <w:pPr>
        <w:spacing w:line="360" w:lineRule="auto"/>
        <w:ind w:firstLine="1080"/>
        <w:jc w:val="both"/>
      </w:pPr>
      <w:r>
        <w:t>2</w:t>
      </w:r>
      <w:r>
        <w:t>. Perduoti sprendimo 1 punkte nurodytą turtą Prienų Justino Marcinkevičiaus viešajai bibliotekai valdyti, naudoti ir disponuoti juo patikėjimo teise.</w:t>
      </w:r>
    </w:p>
    <w:p>
      <w:pPr>
        <w:spacing w:line="360" w:lineRule="auto"/>
        <w:ind w:firstLine="1080"/>
        <w:jc w:val="both"/>
      </w:pPr>
    </w:p>
    <w:p>
      <w:pPr>
        <w:spacing w:line="360" w:lineRule="auto"/>
        <w:ind w:firstLine="1080"/>
        <w:jc w:val="both"/>
      </w:pPr>
    </w:p>
    <w:p>
      <w:pPr>
        <w:spacing w:line="360" w:lineRule="auto"/>
        <w:ind w:firstLine="1080"/>
        <w:jc w:val="both"/>
      </w:pPr>
      <w:r>
        <w:t>3</w:t>
      </w:r>
      <w:r>
        <w:t xml:space="preserve">. Nustatyti, kad perduotas turtas turi būti naudojamas Prienų Justino Marcinkevičiaus viešosios bibliotekos veiklai, plėtojant pažangias bibliotekos elektronines paslaugas. </w:t>
      </w:r>
    </w:p>
    <w:p>
      <w:pPr>
        <w:spacing w:line="360" w:lineRule="auto"/>
        <w:ind w:firstLine="1080"/>
        <w:jc w:val="both"/>
      </w:pPr>
      <w:r>
        <w:t>4</w:t>
      </w:r>
      <w:r>
        <w:t>. Įgalioti Prienų rajono savivaldybės administracijos direktorių Egidijų Visocką pasirašyti šio sprendimo 1 punkte nurodyto turto perdavimo ir priėmimo aktus.</w:t>
      </w:r>
    </w:p>
    <w:p/>
    <w:p/>
    <w:p/>
    <w:p>
      <w:pPr>
        <w:rPr>
          <w:sz w:val="20"/>
        </w:rPr>
      </w:pPr>
      <w:r>
        <w:t>Savivaldybės meras</w:t>
      </w:r>
    </w:p>
    <w:sectPr>
      <w:headerReference w:type="even" r:id="rId7"/>
      <w:headerReference w:type="default" r:id="rId8"/>
      <w:footerReference w:type="even" r:id="rId9"/>
      <w:footerReference w:type="default" r:id="rId10"/>
      <w:headerReference w:type="first" r:id="rId11"/>
      <w:footerReference w:type="first" r:id="rId12"/>
      <w:pgSz w:w="11906" w:h="16838"/>
      <w:pgMar w:top="851" w:right="567" w:bottom="539" w:left="144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899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1813</Characters>
  <Application>Microsoft Office Word</Application>
  <DocSecurity>4</DocSecurity>
  <Lines>86</Lines>
  <Paragraphs>39</Paragraphs>
  <ScaleCrop>false</ScaleCrop>
  <HeadingPairs>
    <vt:vector size="2" baseType="variant">
      <vt:variant>
        <vt:lpstr>Title</vt:lpstr>
      </vt:variant>
      <vt:variant>
        <vt:i4>1</vt:i4>
      </vt:variant>
    </vt:vector>
  </HeadingPairs>
  <TitlesOfParts>
    <vt:vector size="1" baseType="lpstr">
      <vt:lpstr>Projektas</vt:lpstr>
    </vt:vector>
  </TitlesOfParts>
  <Company/>
  <LinksUpToDate>false</LinksUpToDate>
  <CharactersWithSpaces>2045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2016-01-20T12:49:00Z</dcterms:created>
  <dc:creator>noname</dc:creator>
  <lastModifiedBy>CLUSadmin</lastModifiedBy>
  <lastPrinted>2014-01-21T13:20:00Z</lastPrinted>
  <dcterms:modified xsi:type="dcterms:W3CDTF">2016-01-20T12:49:00Z</dcterms:modified>
  <revision>2</revision>
  <dc:title>Projektas</dc:title>
</coreProperties>
</file>