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b44bb7bd0d4809af3966b410638171"/>
        <w:lock w:val="sdtLocked"/>
        <w:richText/>
      </w:sdtPr>
      <w:sdtContent>
        <w:p>
          <w:pPr>
            <w:tabs>
              <w:tab w:val="center" w:pos="4819"/>
            </w:tabs>
            <w:rPr>
              <w:b/>
              <w:bCs/>
              <w:szCs w:val="24"/>
            </w:rPr>
          </w:pPr>
          <w:r>
            <w:rPr>
              <w:b/>
              <w:bCs/>
              <w:szCs w:val="24"/>
            </w:rPr>
            <w:tab/>
            <w:tab/>
            <w:tab/>
            <w:tab/>
            <w:tab/>
            <w:t>Projektas</w:t>
          </w:r>
        </w:p>
        <w:sdt>
          <w:sdtPr>
            <w:alias w:val="preambule"/>
            <w:tag w:val="part_5fe6f9722bbf4fc3b4313ed87c3f6e70"/>
            <w:lock w:val="sdtLocked"/>
            <w:richText/>
          </w:sdtPr>
          <w:sdtContent>
            <w:p>
              <w:pPr>
                <w:tabs>
                  <w:tab w:val="center" w:pos="4819"/>
                </w:tabs>
                <w:rPr>
                  <w:szCs w:val="24"/>
                </w:rPr>
              </w:pPr>
              <w:r>
                <w:rPr>
                  <w:szCs w:val="24"/>
                </w:rPr>
                <w:tab/>
                <w:tab/>
                <w:tab/>
                <w:tab/>
                <w:tab/>
                <w:t>Nr. TSP-</w:t>
              </w:r>
            </w:p>
            <w:p>
              <w:pPr>
                <w:keepNext/>
                <w:outlineLvl w:val="1"/>
                <w:rPr>
                  <w:b/>
                  <w:szCs w:val="22"/>
                </w:rPr>
              </w:pPr>
            </w:p>
          </w:sdtContent>
        </w:sdt>
        <w:sdt>
          <w:sdtPr>
            <w:alias w:val="skirsnis"/>
            <w:tag w:val="part_5dd3037a2dbe474891a6eda2d940ce96"/>
            <w:lock w:val="sdtLocked"/>
            <w:richText/>
          </w:sdtPr>
          <w:sdtContent>
            <w:p>
              <w:pPr>
                <w:keepNext/>
                <w:jc w:val="center"/>
                <w:outlineLvl w:val="1"/>
                <w:rPr>
                  <w:b/>
                  <w:szCs w:val="22"/>
                </w:rPr>
              </w:pPr>
              <w:sdt>
                <w:sdtPr>
                  <w:alias w:val="Pavadinimas"/>
                  <w:tag w:val="title_5dd3037a2dbe474891a6eda2d940ce96"/>
                  <w:lock w:val="sdtLocked"/>
                  <w:richText/>
                </w:sdtPr>
                <w:sdtContent>
                  <w:r>
                    <w:rPr>
                      <w:b/>
                      <w:szCs w:val="22"/>
                    </w:rPr>
                    <w:t>RADVILIŠKIO RAJONO SAVIVALDYBĖS TARYBA</w:t>
                  </w:r>
                </w:sdtContent>
              </w:sdt>
            </w:p>
            <w:p>
              <w:pPr>
                <w:rPr>
                  <w:szCs w:val="22"/>
                </w:rPr>
              </w:pPr>
            </w:p>
          </w:sdtContent>
        </w:sdt>
        <w:sdt>
          <w:sdtPr>
            <w:alias w:val="skirsnis"/>
            <w:tag w:val="part_cc4c7394ce3b40b6a58639109896ef50"/>
            <w:lock w:val="sdtLocked"/>
            <w:richText/>
          </w:sdtPr>
          <w:sdtContent>
            <w:sdt>
              <w:sdtPr>
                <w:alias w:val="Pavadinimas"/>
                <w:tag w:val="title_cc4c7394ce3b40b6a58639109896ef50"/>
                <w:lock w:val="sdtLocked"/>
                <w:richText/>
              </w:sdtPr>
              <w:sdtContent>
                <w:p>
                  <w:pPr>
                    <w:widowControl w:val="0"/>
                    <w:suppressAutoHyphens/>
                    <w:jc w:val="center"/>
                    <w:rPr>
                      <w:b/>
                      <w:bCs/>
                      <w:szCs w:val="24"/>
                      <w:lang w:eastAsia="ar-SA"/>
                    </w:rPr>
                  </w:pPr>
                  <w:r>
                    <w:rPr>
                      <w:b/>
                      <w:bCs/>
                      <w:szCs w:val="24"/>
                      <w:lang w:eastAsia="ar-SA"/>
                    </w:rPr>
                    <w:t>SPRENDIMAS</w:t>
                  </w:r>
                </w:p>
                <w:p>
                  <w:pPr>
                    <w:widowControl w:val="0"/>
                    <w:suppressAutoHyphens/>
                    <w:jc w:val="center"/>
                    <w:rPr>
                      <w:b/>
                      <w:bCs/>
                      <w:szCs w:val="24"/>
                      <w:shd w:val="clear" w:color="auto" w:fill="FFFFFF"/>
                      <w:lang w:eastAsia="ar-SA"/>
                    </w:rPr>
                  </w:pPr>
                  <w:r>
                    <w:rPr>
                      <w:b/>
                      <w:bCs/>
                      <w:szCs w:val="24"/>
                      <w:shd w:val="clear" w:color="auto" w:fill="FFFFFF"/>
                      <w:lang w:eastAsia="ar-SA"/>
                    </w:rPr>
                    <w:t xml:space="preserve">DĖL SAVIVALDYBEI NUOSAVYBĖS TEISE PRIKLAUSANČIŲ BUTŲ SU ŪKINIAIS PASTATAIS PARDAVIMO </w:t>
                  </w:r>
                </w:p>
              </w:sdtContent>
            </w:sdt>
            <w:p>
              <w:pPr>
                <w:widowControl w:val="0"/>
                <w:suppressAutoHyphens/>
                <w:rPr>
                  <w:szCs w:val="24"/>
                  <w:lang w:eastAsia="ar-SA"/>
                </w:rPr>
              </w:pPr>
            </w:p>
            <w:p>
              <w:pPr>
                <w:widowControl w:val="0"/>
                <w:suppressAutoHyphens/>
                <w:ind w:firstLine="60"/>
                <w:jc w:val="center"/>
                <w:rPr>
                  <w:szCs w:val="24"/>
                  <w:lang w:eastAsia="ar-SA"/>
                </w:rPr>
              </w:pPr>
              <w:r>
                <w:rPr>
                  <w:szCs w:val="24"/>
                  <w:lang w:eastAsia="ar-SA"/>
                </w:rPr>
                <w:t xml:space="preserve">2025 m.                     d. Nr. T-</w:t>
              </w:r>
            </w:p>
            <w:p>
              <w:pPr>
                <w:widowControl w:val="0"/>
                <w:suppressAutoHyphens/>
                <w:jc w:val="center"/>
                <w:rPr>
                  <w:szCs w:val="24"/>
                  <w:lang w:eastAsia="ar-SA"/>
                </w:rPr>
              </w:pPr>
              <w:r>
                <w:rPr>
                  <w:szCs w:val="24"/>
                  <w:lang w:eastAsia="ar-SA"/>
                </w:rPr>
                <w:t>Radviliškis</w:t>
              </w:r>
            </w:p>
            <w:p>
              <w:pPr>
                <w:widowControl w:val="0"/>
                <w:suppressAutoHyphens/>
                <w:jc w:val="both"/>
                <w:rPr>
                  <w:szCs w:val="24"/>
                  <w:lang w:eastAsia="ar-SA"/>
                </w:rPr>
              </w:pPr>
            </w:p>
            <w:p>
              <w:pPr>
                <w:widowControl w:val="0"/>
                <w:suppressAutoHyphens/>
                <w:ind w:firstLine="709"/>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19 ir 23 punktais punktu, Lietuvos Respublikos paramos būstui įsigyti ar išsinuomoti įstatymo 25 straipsnio 2 dalimi, įgyvendindama Radviliškio rajono savivaldybės būsto ir pagalbinio ūkio paskirties pastatų pardavimo tvarkos aprašo, patvirtinto Radviliškio rajono savivaldybės tarybos 2015 m. spalio 6 d. sprendimu Nr. T-104 „Dėl Radviliškio rajono savivaldybės būsto ir pagalbinio ūkio paskirties pastatų pardavimo tvarkos aprašo patvirtinimo“ nuostatas bei atsižvelgdama į </w:t>
              </w:r>
              <w:r>
                <w:rPr>
                  <w:szCs w:val="24"/>
                  <w:lang w:eastAsia="ar-SA"/>
                </w:rPr>
                <w:t xml:space="preserve">V. S. (duomenys neskelbtini) ir G. L. P. (duomenys neskelbtini) 2025 m. sausio 23 d. prašymus, Radviliškio rajono </w:t>
              </w:r>
              <w:r>
                <w:rPr>
                  <w:color w:val="000000"/>
                  <w:szCs w:val="24"/>
                  <w:lang w:eastAsia="ar-SA"/>
                </w:rPr>
                <w:t xml:space="preserve">savivaldybės taryba </w:t>
              </w:r>
              <w:r>
                <w:rPr>
                  <w:spacing w:val="50"/>
                  <w:szCs w:val="24"/>
                  <w:lang w:eastAsia="ar-SA"/>
                </w:rPr>
                <w:t>nusprendži</w:t>
              </w:r>
              <w:r>
                <w:rPr>
                  <w:spacing w:val="20"/>
                  <w:szCs w:val="24"/>
                  <w:lang w:eastAsia="ar-SA"/>
                </w:rPr>
                <w:t>a:</w:t>
              </w:r>
            </w:p>
            <w:sdt>
              <w:sdtPr>
                <w:alias w:val="1 p."/>
                <w:tag w:val="part_609a264114ca4fe1acb5e8f46c4d182c"/>
                <w:lock w:val="sdtLocked"/>
                <w:richText/>
              </w:sdtPr>
              <w:sdtContent>
                <w:p>
                  <w:pPr>
                    <w:widowControl w:val="0"/>
                    <w:suppressAutoHyphens/>
                    <w:ind w:firstLine="709"/>
                    <w:jc w:val="both"/>
                    <w:rPr>
                      <w:szCs w:val="24"/>
                      <w:lang w:eastAsia="lt-LT"/>
                    </w:rPr>
                  </w:pPr>
                  <w:sdt>
                    <w:sdtPr>
                      <w:alias w:val="Numeris"/>
                      <w:tag w:val="nr_609a264114ca4fe1acb5e8f46c4d182c"/>
                      <w:lock w:val="sdtLocked"/>
                      <w:richText/>
                    </w:sdtPr>
                    <w:sdtContent>
                      <w:r>
                        <w:rPr>
                          <w:spacing w:val="20"/>
                          <w:szCs w:val="24"/>
                          <w:lang w:eastAsia="ar-SA"/>
                        </w:rPr>
                        <w:t>1</w:t>
                      </w:r>
                    </w:sdtContent>
                  </w:sdt>
                  <w:r>
                    <w:rPr>
                      <w:spacing w:val="20"/>
                      <w:szCs w:val="24"/>
                      <w:lang w:eastAsia="ar-SA"/>
                    </w:rPr>
                    <w:t>.</w:t>
                  </w:r>
                  <w:r>
                    <w:rPr>
                      <w:szCs w:val="24"/>
                      <w:lang w:eastAsia="ar-SA"/>
                    </w:rPr>
                    <w:t xml:space="preserve">Leisti parduoti V. S. (duomenys neskelbtini) Radviliškio rajono savivaldybei nuosavybės teise priklausantį turtą </w:t>
                  </w:r>
                  <w:r>
                    <w:rPr>
                      <w:szCs w:val="24"/>
                      <w:lang w:eastAsia="lt-LT"/>
                    </w:rPr>
                    <w:t>–</w:t>
                  </w:r>
                  <w:r>
                    <w:rPr>
                      <w:szCs w:val="24"/>
                      <w:lang w:eastAsia="ar-SA"/>
                    </w:rPr>
                    <w:t xml:space="preserve"> butą, esantį (duomenys neskelbtini), 28,46 kv. m ploto būstas, unikalus numeris (duomenys neskelbtini), namo statybos metai </w:t>
                  </w:r>
                  <w:r>
                    <w:rPr>
                      <w:szCs w:val="24"/>
                      <w:lang w:eastAsia="lt-LT"/>
                    </w:rPr>
                    <w:t>– 1895, ¼ ūkinio pastato, unikalus numeris (duomenys neskelbtini), už 7 117, 80 Eur (septynis tūkstančius vieną šimtą septyniolika eurų 80 ct), iš jų – 217,80 Eur (du šimtai septyniolika 80 ct) už turto vertės nustatymą.</w:t>
                  </w:r>
                </w:p>
              </w:sdtContent>
            </w:sdt>
            <w:sdt>
              <w:sdtPr>
                <w:alias w:val="2 p."/>
                <w:tag w:val="part_1f46f916caea40c7a81ff5f05fc23b3d"/>
                <w:lock w:val="sdtLocked"/>
                <w:richText/>
              </w:sdtPr>
              <w:sdtContent>
                <w:p>
                  <w:pPr>
                    <w:widowControl w:val="0"/>
                    <w:suppressAutoHyphens/>
                    <w:ind w:firstLine="709"/>
                    <w:jc w:val="both"/>
                    <w:rPr>
                      <w:szCs w:val="24"/>
                      <w:lang w:eastAsia="lt-LT"/>
                    </w:rPr>
                  </w:pPr>
                  <w:sdt>
                    <w:sdtPr>
                      <w:alias w:val="Numeris"/>
                      <w:tag w:val="nr_1f46f916caea40c7a81ff5f05fc23b3d"/>
                      <w:lock w:val="sdtLocked"/>
                      <w:richText/>
                    </w:sdtPr>
                    <w:sdtContent>
                      <w:r>
                        <w:rPr>
                          <w:szCs w:val="24"/>
                          <w:lang w:eastAsia="lt-LT"/>
                        </w:rPr>
                        <w:t>2</w:t>
                      </w:r>
                    </w:sdtContent>
                  </w:sdt>
                  <w:r>
                    <w:rPr>
                      <w:szCs w:val="24"/>
                      <w:lang w:eastAsia="lt-LT"/>
                    </w:rPr>
                    <w:t xml:space="preserve">. </w:t>
                  </w:r>
                  <w:r>
                    <w:rPr>
                      <w:szCs w:val="24"/>
                      <w:lang w:eastAsia="ar-SA"/>
                    </w:rPr>
                    <w:t xml:space="preserve">Leisti parduoti G. L. P. (duomenys neskelbtini) Radviliškio rajono savivaldybei nuosavybės teise priklausantį turtą </w:t>
                  </w:r>
                  <w:r>
                    <w:rPr>
                      <w:szCs w:val="24"/>
                      <w:lang w:eastAsia="lt-LT"/>
                    </w:rPr>
                    <w:t>–</w:t>
                  </w:r>
                  <w:r>
                    <w:rPr>
                      <w:szCs w:val="24"/>
                      <w:lang w:eastAsia="ar-SA"/>
                    </w:rPr>
                    <w:t xml:space="preserve"> butą, esantį (duomenys neskelbtini), 83,66 kv. m ploto būstas, unikalus numeris (duomenys neskelbtini), namo statybos metai </w:t>
                  </w:r>
                  <w:r>
                    <w:rPr>
                      <w:szCs w:val="24"/>
                      <w:lang w:eastAsia="lt-LT"/>
                    </w:rPr>
                    <w:t>– 1977, ½ ūkinio pastato, unikalus numeris (duomenys neskelbtini), už 2 917, 80 Eur (du tūkstančius devynis šimtus septyniolika eurų 80 ct), iš jų – 217,80 Eur (du šimtai septyniolika 80 ct) už turto vertės nustatymą.</w:t>
                  </w:r>
                </w:p>
              </w:sdtContent>
            </w:sdt>
            <w:sdt>
              <w:sdtPr>
                <w:alias w:val="3 p."/>
                <w:tag w:val="part_bc3ea9980cd64d30a2d23be8638e760c"/>
                <w:lock w:val="sdtLocked"/>
                <w:richText/>
              </w:sdtPr>
              <w:sdtContent>
                <w:p>
                  <w:pPr>
                    <w:tabs>
                      <w:tab w:val="left" w:pos="1843"/>
                    </w:tabs>
                    <w:ind w:firstLine="709"/>
                    <w:jc w:val="both"/>
                    <w:rPr>
                      <w:szCs w:val="24"/>
                    </w:rPr>
                  </w:pPr>
                  <w:sdt>
                    <w:sdtPr>
                      <w:alias w:val="Numeris"/>
                      <w:tag w:val="nr_bc3ea9980cd64d30a2d23be8638e760c"/>
                      <w:lock w:val="sdtLocked"/>
                      <w:richText/>
                    </w:sdtPr>
                    <w:sdtContent>
                      <w:r>
                        <w:rPr>
                          <w:spacing w:val="20"/>
                          <w:lang w:eastAsia="ar-SA"/>
                        </w:rPr>
                        <w:t>3</w:t>
                      </w:r>
                    </w:sdtContent>
                  </w:sdt>
                  <w:r>
                    <w:rPr>
                      <w:spacing w:val="20"/>
                      <w:lang w:eastAsia="ar-SA"/>
                    </w:rPr>
                    <w:t>.</w:t>
                  </w:r>
                  <w:r>
                    <w:rPr>
                      <w:color w:val="000000"/>
                      <w:spacing w:val="50"/>
                      <w:lang w:eastAsia="ar-SA"/>
                    </w:rPr>
                    <w:t xml:space="preserve"> </w:t>
                  </w:r>
                  <w: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widowControl w:val="0"/>
                    <w:tabs>
                      <w:tab w:val="left" w:pos="426"/>
                      <w:tab w:val="left" w:pos="851"/>
                      <w:tab w:val="left" w:pos="993"/>
                    </w:tabs>
                    <w:suppressAutoHyphens/>
                    <w:ind w:firstLine="709"/>
                    <w:jc w:val="both"/>
                    <w:rPr>
                      <w:spacing w:val="20"/>
                      <w:szCs w:val="24"/>
                      <w:lang w:eastAsia="ar-SA"/>
                    </w:rPr>
                  </w:pPr>
                </w:p>
                <w:p>
                  <w:pPr>
                    <w:widowControl w:val="0"/>
                    <w:suppressAutoHyphens/>
                    <w:ind w:firstLine="709"/>
                    <w:jc w:val="both"/>
                    <w:rPr>
                      <w:spacing w:val="20"/>
                      <w:szCs w:val="24"/>
                      <w:lang w:eastAsia="ar-SA"/>
                    </w:rPr>
                  </w:pPr>
                </w:p>
                <w:p>
                  <w:pPr>
                    <w:jc w:val="both"/>
                    <w:rPr>
                      <w:szCs w:val="22"/>
                    </w:rPr>
                  </w:pPr>
                </w:p>
                <w:p>
                  <w:pPr>
                    <w:tabs>
                      <w:tab w:val="left" w:pos="7560"/>
                    </w:tabs>
                    <w:jc w:val="both"/>
                    <w:rPr>
                      <w:szCs w:val="22"/>
                    </w:rPr>
                  </w:pPr>
                  <w:r>
                    <w:rPr>
                      <w:szCs w:val="22"/>
                    </w:rPr>
                    <w:t xml:space="preserve">Savivaldybės meras                                                                                       </w:t>
                  </w: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sdtContent>
            </w:sdt>
          </w:sdtContent>
        </w:sdt>
        <w:sdt>
          <w:sdtPr>
            <w:alias w:val="skirsnis"/>
            <w:tag w:val="part_32a15adb641041988902c0cda0561c93"/>
            <w:lock w:val="sdtLocked"/>
            <w:richText/>
          </w:sdtPr>
          <w:sdtContent>
            <w:sdt>
              <w:sdtPr>
                <w:alias w:val="Pavadinimas"/>
                <w:tag w:val="title_32a15adb641041988902c0cda0561c93"/>
                <w:lock w:val="sdtLocked"/>
                <w:richText/>
              </w:sdtPr>
              <w:sdtContent>
                <w:p>
                  <w:pPr>
                    <w:jc w:val="center"/>
                    <w:rPr>
                      <w:b/>
                      <w:bCs/>
                      <w:szCs w:val="24"/>
                      <w:lang w:eastAsia="lt-LT"/>
                    </w:rPr>
                  </w:pPr>
                  <w:r>
                    <w:rPr>
                      <w:b/>
                      <w:bCs/>
                      <w:szCs w:val="24"/>
                      <w:lang w:eastAsia="lt-LT"/>
                    </w:rPr>
                    <w:t xml:space="preserve">RADVILIŠKIO RAJONO SAVIVALDYBĖS TARYBOS SPRENDIMO PROJEKTO </w:t>
                  </w:r>
                </w:p>
                <w:p>
                  <w:pPr>
                    <w:jc w:val="center"/>
                    <w:rPr>
                      <w:b/>
                      <w:bCs/>
                      <w:szCs w:val="24"/>
                      <w:lang w:eastAsia="lt-LT"/>
                    </w:rPr>
                  </w:pPr>
                  <w:r>
                    <w:rPr>
                      <w:b/>
                      <w:bCs/>
                      <w:szCs w:val="24"/>
                      <w:lang w:eastAsia="lt-LT"/>
                    </w:rPr>
                    <w:t xml:space="preserve">„DĖL SAVIVALDYBEI NUOSAVYBĖS TEISE PRIKLAUSANČIŲ BUTŲ SU ŪKINIAIS PASTATAIS PARDAVIMO“ </w:t>
                  </w:r>
                </w:p>
                <w:p>
                  <w:pPr>
                    <w:jc w:val="center"/>
                    <w:rPr>
                      <w:b/>
                      <w:bCs/>
                      <w:szCs w:val="24"/>
                      <w:lang w:eastAsia="lt-LT"/>
                    </w:rPr>
                  </w:pPr>
                  <w:r>
                    <w:rPr>
                      <w:b/>
                      <w:bCs/>
                      <w:szCs w:val="24"/>
                      <w:lang w:eastAsia="lt-LT"/>
                    </w:rPr>
                    <w:t>AIŠKINAMASIS RAŠTAS</w:t>
                  </w:r>
                </w:p>
              </w:sdtContent>
            </w:sdt>
            <w:p>
              <w:pPr>
                <w:ind w:firstLine="856"/>
                <w:jc w:val="center"/>
                <w:rPr>
                  <w:bCs/>
                  <w:szCs w:val="24"/>
                  <w:lang w:eastAsia="lt-LT"/>
                </w:rPr>
              </w:pPr>
            </w:p>
            <w:p>
              <w:pPr>
                <w:jc w:val="center"/>
                <w:rPr>
                  <w:bCs/>
                  <w:szCs w:val="24"/>
                  <w:lang w:eastAsia="lt-LT"/>
                </w:rPr>
              </w:pPr>
              <w:r>
                <w:rPr>
                  <w:bCs/>
                  <w:szCs w:val="24"/>
                  <w:lang w:eastAsia="lt-LT"/>
                </w:rPr>
                <w:t xml:space="preserve">2025 m. vasario 13   d.</w:t>
              </w:r>
            </w:p>
            <w:p>
              <w:pPr>
                <w:jc w:val="center"/>
                <w:rPr>
                  <w:bCs/>
                  <w:szCs w:val="24"/>
                  <w:lang w:eastAsia="lt-LT"/>
                </w:rPr>
              </w:pPr>
              <w:r>
                <w:rPr>
                  <w:bCs/>
                  <w:szCs w:val="24"/>
                  <w:lang w:eastAsia="lt-LT"/>
                </w:rPr>
                <w:t>Radviliškis</w:t>
              </w:r>
            </w:p>
            <w:p>
              <w:pPr>
                <w:ind w:firstLine="856"/>
                <w:jc w:val="center"/>
                <w:rPr>
                  <w:bCs/>
                  <w:szCs w:val="24"/>
                  <w:lang w:eastAsia="lt-LT"/>
                </w:rPr>
              </w:pPr>
            </w:p>
            <w:sdt>
              <w:sdtPr>
                <w:alias w:val="1 p."/>
                <w:tag w:val="part_350147d3cac5441695f216af2e82f8a1"/>
                <w:lock w:val="sdtLocked"/>
                <w:richText/>
              </w:sdtPr>
              <w:sdtContent>
                <w:p>
                  <w:pPr>
                    <w:tabs>
                      <w:tab w:val="left" w:pos="1134"/>
                    </w:tabs>
                    <w:spacing w:line="276" w:lineRule="auto"/>
                    <w:ind w:firstLine="856"/>
                    <w:rPr>
                      <w:b/>
                      <w:bCs/>
                      <w:color w:val="000000"/>
                      <w:szCs w:val="24"/>
                      <w:shd w:val="clear" w:color="auto" w:fill="FFFFFF"/>
                      <w:lang w:eastAsia="lt-LT"/>
                    </w:rPr>
                  </w:pPr>
                  <w:sdt>
                    <w:sdtPr>
                      <w:alias w:val="Numeris"/>
                      <w:tag w:val="nr_350147d3cac5441695f216af2e82f8a1"/>
                      <w:lock w:val="sdtLocked"/>
                      <w:richText/>
                    </w:sdtPr>
                    <w:sdtContent>
                      <w:r>
                        <w:rPr>
                          <w:b/>
                          <w:bCs/>
                          <w:lang w:eastAsia="lt-LT"/>
                        </w:rPr>
                        <w:t>1</w:t>
                      </w:r>
                    </w:sdtContent>
                  </w:sdt>
                  <w:r>
                    <w:rPr>
                      <w:b/>
                      <w:bCs/>
                      <w:lang w:eastAsia="lt-LT"/>
                    </w:rPr>
                    <w:t>.</w:t>
                    <w:tab/>
                  </w:r>
                  <w:r>
                    <w:rPr>
                      <w:b/>
                      <w:bCs/>
                      <w:szCs w:val="24"/>
                      <w:lang w:eastAsia="lt-LT"/>
                    </w:rPr>
                    <w:t xml:space="preserve">Parengto rengimą paskatinusios priežastys, parengto projekto tikslai, sprendimo projekto tikslai ir uždaviniai. </w:t>
                  </w:r>
                </w:p>
                <w:p>
                  <w:pPr>
                    <w:spacing w:line="276" w:lineRule="auto"/>
                    <w:ind w:firstLine="709"/>
                    <w:jc w:val="both"/>
                    <w:rPr>
                      <w:bCs/>
                      <w:szCs w:val="24"/>
                    </w:rPr>
                  </w:pPr>
                  <w:r>
                    <w:rPr>
                      <w:szCs w:val="24"/>
                    </w:rPr>
                    <w:t xml:space="preserve">Projekto tikslas – patenkinti Savivaldybės būstų nuomininkų V. S (duomenys neskelbtini) ir G. L. P. (duomenys neskelbtini) prašymus dėl Savivaldybės būsto pardavimo, leisti parduoti jį už rinkos kainą, apskaičiuotą pagal Lietuvos  Respublikos turto ir verslo vertinimo pagrindų įstatymą. </w:t>
                  </w:r>
                </w:p>
              </w:sdtContent>
            </w:sdt>
            <w:sdt>
              <w:sdtPr>
                <w:alias w:val="2 p."/>
                <w:tag w:val="part_1207b58632af49729309f1c42d7571a5"/>
                <w:lock w:val="sdtLocked"/>
                <w:richText/>
              </w:sdtPr>
              <w:sdtContent>
                <w:p>
                  <w:pPr>
                    <w:spacing w:line="276" w:lineRule="auto"/>
                    <w:ind w:left="1216" w:hanging="360"/>
                    <w:rPr>
                      <w:b/>
                      <w:bCs/>
                      <w:szCs w:val="24"/>
                      <w:shd w:val="clear" w:color="auto" w:fill="FFFFFF"/>
                      <w:lang w:eastAsia="lt-LT"/>
                    </w:rPr>
                  </w:pPr>
                  <w:sdt>
                    <w:sdtPr>
                      <w:alias w:val="Numeris"/>
                      <w:tag w:val="nr_1207b58632af49729309f1c42d7571a5"/>
                      <w:lock w:val="sdtLocked"/>
                      <w:richText/>
                    </w:sdtPr>
                    <w:sdtContent>
                      <w:r>
                        <w:rPr>
                          <w:b/>
                          <w:bCs/>
                          <w:lang w:eastAsia="lt-LT"/>
                        </w:rPr>
                        <w:t>2</w:t>
                      </w:r>
                    </w:sdtContent>
                  </w:sdt>
                  <w:r>
                    <w:rPr>
                      <w:b/>
                      <w:bCs/>
                      <w:lang w:eastAsia="lt-LT"/>
                    </w:rPr>
                    <w:t>.</w:t>
                    <w:tab/>
                  </w:r>
                  <w:r>
                    <w:rPr>
                      <w:b/>
                      <w:bCs/>
                      <w:szCs w:val="24"/>
                      <w:shd w:val="clear" w:color="auto" w:fill="FFFFFF"/>
                      <w:lang w:eastAsia="lt-LT"/>
                    </w:rPr>
                    <w:t>Projekto iniciatoriai (institucija, asmenys ar piliečių atstovai) ir rengėjai.</w:t>
                  </w:r>
                </w:p>
                <w:p>
                  <w:pPr>
                    <w:spacing w:line="276" w:lineRule="auto"/>
                    <w:ind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w:t>
                  </w:r>
                </w:p>
              </w:sdtContent>
            </w:sdt>
          </w:sdtContent>
        </w:sdt>
        <w:sdt>
          <w:sdtPr>
            <w:alias w:val="skirsnis"/>
            <w:tag w:val="part_3994441be18946cea3244fb737e3d300"/>
            <w:lock w:val="sdtLocked"/>
            <w:richText/>
          </w:sdtPr>
          <w:sdtContent>
            <w:p>
              <w:pPr>
                <w:spacing w:line="276" w:lineRule="auto"/>
                <w:ind w:firstLine="856"/>
                <w:jc w:val="both"/>
                <w:rPr>
                  <w:b/>
                  <w:bCs/>
                  <w:szCs w:val="24"/>
                  <w:shd w:val="clear" w:color="auto" w:fill="FFFFFF"/>
                  <w:lang w:eastAsia="lt-LT"/>
                </w:rPr>
              </w:pPr>
              <w:sdt>
                <w:sdtPr>
                  <w:alias w:val="Pavadinimas"/>
                  <w:tag w:val="title_3994441be18946cea3244fb737e3d300"/>
                  <w:lock w:val="sdtLocked"/>
                  <w:richText/>
                </w:sdtPr>
                <w:sdtContent>
                  <w:r>
                    <w:rPr>
                      <w:b/>
                      <w:bCs/>
                      <w:szCs w:val="24"/>
                      <w:shd w:val="clear" w:color="auto" w:fill="FFFFFF"/>
                      <w:lang w:eastAsia="lt-LT"/>
                    </w:rPr>
                    <w:t>Kaip šiuo metu yra reguliuojami sprendimo projekte aptarti teisiniai santykiai</w:t>
                  </w:r>
                </w:sdtContent>
              </w:sdt>
            </w:p>
            <w:p>
              <w:pPr>
                <w:spacing w:line="276" w:lineRule="auto"/>
                <w:ind w:firstLine="856"/>
                <w:jc w:val="both"/>
                <w:rPr>
                  <w:szCs w:val="24"/>
                  <w:shd w:val="clear" w:color="auto" w:fill="FFFFFF"/>
                  <w:lang w:eastAsia="lt-LT"/>
                </w:rPr>
              </w:pPr>
              <w:r>
                <w:rPr>
                  <w:szCs w:val="24"/>
                  <w:shd w:val="clear" w:color="auto" w:fill="FFFFFF"/>
                  <w:lang w:eastAsia="lt-LT"/>
                </w:rPr>
                <w:t>Šiuo metu savivaldybės būsto pardavimą reglamentuoja Paramos būstui įsigyti ar išsinuomoti įstatymas (toliau – Įstatymas). Vadovaujantis Įstatymo 25 straipsnio 2 dalies 5 punkto nuostata, už rinkos kainą, apskaičiuotą pagal Turto ir verslo vertinimo pagrindų įstatymą, gali būti parduodami būstai, kurie nuomojami ne socialinio būsto nuomos sąlygomis ir kuriuose nuomininkai yra išgyvenę ne trumpiau kaip 5 metus nuo būsto nuomos sutarties sudarymo dienos, neatsižvelgiant į taikytas būsto nuomos sąlygas.</w:t>
              </w:r>
            </w:p>
            <w:p>
              <w:pPr>
                <w:spacing w:line="276" w:lineRule="auto"/>
                <w:ind w:firstLine="856"/>
                <w:jc w:val="both"/>
                <w:rPr>
                  <w:szCs w:val="24"/>
                  <w:shd w:val="clear" w:color="auto" w:fill="FFFFFF"/>
                  <w:lang w:eastAsia="lt-LT"/>
                </w:rPr>
              </w:pPr>
              <w:r>
                <w:rPr>
                  <w:szCs w:val="24"/>
                  <w:shd w:val="clear" w:color="auto" w:fill="FFFFFF"/>
                  <w:lang w:eastAsia="lt-LT"/>
                </w:rPr>
                <w:t xml:space="preserve">Siūlomo leisti parduoti Radviliškio rajono savivaldybės (toliau – Savivaldybė) gyvenamųjų patalpų rinkos vertę nustatė turto vertintojas – UAB „STIVVF“. Vadovaujantis Įstatymo 26 straipsnio 2 punktu, Savivaldybės išlaidos, susijusios su parduodamo Savivaldybės būsto ir pagalbinio ūkio paskirties pastatų vertės nustatymu, įskaitomos į būsto ir pagalbinio ūkio paskirties pastatų pardavimo kainą. Nuomininkas su parduodamo būsto ir turto  vertės nustatymo kainomis supažindintas ir sutinka su jomis. Gautos lėšos už parduotą Savivaldybės būstą bus panaudotos socialinio būsto plėtrai.</w:t>
              </w:r>
            </w:p>
            <w:sdt>
              <w:sdtPr>
                <w:alias w:val="3 p."/>
                <w:tag w:val="part_2006981dd6454b0da22fab9539d5e58d"/>
                <w:lock w:val="sdtLocked"/>
                <w:richText/>
              </w:sdtPr>
              <w:sdtContent>
                <w:p>
                  <w:pPr>
                    <w:tabs>
                      <w:tab w:val="left" w:pos="993"/>
                      <w:tab w:val="left" w:pos="1276"/>
                      <w:tab w:val="left" w:pos="1843"/>
                    </w:tabs>
                    <w:spacing w:line="276" w:lineRule="auto"/>
                    <w:ind w:firstLine="856"/>
                    <w:jc w:val="both"/>
                    <w:rPr>
                      <w:b/>
                      <w:bCs/>
                      <w:color w:val="000000"/>
                      <w:szCs w:val="24"/>
                      <w:lang w:eastAsia="ar-SA"/>
                    </w:rPr>
                  </w:pPr>
                  <w:sdt>
                    <w:sdtPr>
                      <w:alias w:val="Numeris"/>
                      <w:tag w:val="nr_2006981dd6454b0da22fab9539d5e58d"/>
                      <w:lock w:val="sdtLocked"/>
                      <w:richText/>
                    </w:sdtPr>
                    <w:sdtContent>
                      <w:r>
                        <w:rPr>
                          <w:b/>
                          <w:bCs/>
                          <w:lang w:eastAsia="ar-SA"/>
                        </w:rPr>
                        <w:t>3</w:t>
                      </w:r>
                    </w:sdtContent>
                  </w:sdt>
                  <w:r>
                    <w:rPr>
                      <w:b/>
                      <w:bCs/>
                      <w:lang w:eastAsia="ar-SA"/>
                    </w:rPr>
                    <w:t>.</w:t>
                    <w:tab/>
                  </w:r>
                  <w:r>
                    <w:rPr>
                      <w:b/>
                      <w:bCs/>
                      <w:color w:val="000000"/>
                      <w:szCs w:val="24"/>
                      <w:lang w:eastAsia="ar-SA"/>
                    </w:rPr>
                    <w:t>Kokios siūlomos naujos teisinio reguliavimo nuostatos, kokių teigiamų rezultatų laukiama.</w:t>
                  </w:r>
                </w:p>
                <w:p>
                  <w:pPr>
                    <w:tabs>
                      <w:tab w:val="left" w:pos="993"/>
                      <w:tab w:val="left" w:pos="1276"/>
                      <w:tab w:val="left" w:pos="1843"/>
                    </w:tabs>
                    <w:spacing w:line="276" w:lineRule="auto"/>
                    <w:ind w:left="856"/>
                    <w:jc w:val="both"/>
                    <w:rPr>
                      <w:color w:val="000000"/>
                      <w:lang w:eastAsia="ar-SA"/>
                    </w:rPr>
                  </w:pPr>
                  <w:r>
                    <w:rPr>
                      <w:color w:val="000000"/>
                      <w:lang w:eastAsia="ar-SA"/>
                    </w:rPr>
                    <w:t>Naujų teisinio reguliavimo nuostatų nesiūloma.</w:t>
                  </w:r>
                </w:p>
              </w:sdtContent>
            </w:sdt>
            <w:sdt>
              <w:sdtPr>
                <w:alias w:val="4 p."/>
                <w:tag w:val="part_ea06eb48e0ee41f6ace4c341f8f27f9f"/>
                <w:lock w:val="sdtLocked"/>
                <w:richText/>
              </w:sdtPr>
              <w:sdtContent>
                <w:p>
                  <w:pPr>
                    <w:tabs>
                      <w:tab w:val="left" w:pos="1276"/>
                    </w:tabs>
                    <w:spacing w:line="276" w:lineRule="auto"/>
                    <w:ind w:firstLine="856"/>
                    <w:jc w:val="both"/>
                    <w:rPr>
                      <w:b/>
                      <w:bCs/>
                      <w:i/>
                      <w:szCs w:val="24"/>
                      <w:shd w:val="clear" w:color="auto" w:fill="FFFFFF"/>
                      <w:lang w:eastAsia="lt-LT"/>
                    </w:rPr>
                  </w:pPr>
                  <w:sdt>
                    <w:sdtPr>
                      <w:alias w:val="Numeris"/>
                      <w:tag w:val="nr_ea06eb48e0ee41f6ace4c341f8f27f9f"/>
                      <w:lock w:val="sdtLocked"/>
                      <w:richText/>
                    </w:sdtPr>
                    <w:sdtContent>
                      <w:r>
                        <w:rPr>
                          <w:b/>
                          <w:bCs/>
                          <w:lang w:eastAsia="lt-LT"/>
                        </w:rPr>
                        <w:t>4</w:t>
                      </w:r>
                    </w:sdtContent>
                  </w:sdt>
                  <w:r>
                    <w:rPr>
                      <w:b/>
                      <w:b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pPr>
                    <w:tabs>
                      <w:tab w:val="left" w:pos="1276"/>
                    </w:tabs>
                    <w:spacing w:line="276" w:lineRule="auto"/>
                    <w:ind w:left="856"/>
                    <w:jc w:val="both"/>
                    <w:rPr>
                      <w:b/>
                      <w:bCs/>
                      <w:iCs/>
                      <w:shd w:val="clear" w:color="auto" w:fill="FFFFFF"/>
                      <w:lang w:eastAsia="lt-LT"/>
                    </w:rPr>
                  </w:pPr>
                  <w:r>
                    <w:rPr>
                      <w:rFonts w:cs="Tahoma"/>
                      <w:shd w:val="clear" w:color="auto" w:fill="FFFFFF"/>
                    </w:rPr>
                    <w:t xml:space="preserve">Neigiamų pasekmių nenumatoma. </w:t>
                  </w:r>
                </w:p>
              </w:sdtContent>
            </w:sdt>
            <w:sdt>
              <w:sdtPr>
                <w:alias w:val="5 p."/>
                <w:tag w:val="part_8637f9e5284f430f86d4bb32e8f35957"/>
                <w:lock w:val="sdtLocked"/>
                <w:richText/>
              </w:sdtPr>
              <w:sdtContent>
                <w:p>
                  <w:pPr>
                    <w:tabs>
                      <w:tab w:val="left" w:pos="993"/>
                      <w:tab w:val="left" w:pos="1276"/>
                    </w:tabs>
                    <w:spacing w:line="276" w:lineRule="auto"/>
                    <w:ind w:firstLine="856"/>
                    <w:jc w:val="both"/>
                    <w:rPr>
                      <w:b/>
                      <w:bCs/>
                      <w:iCs/>
                      <w:szCs w:val="24"/>
                      <w:shd w:val="clear" w:color="auto" w:fill="FFFFFF"/>
                      <w:lang w:eastAsia="lt-LT"/>
                    </w:rPr>
                  </w:pPr>
                  <w:sdt>
                    <w:sdtPr>
                      <w:alias w:val="Numeris"/>
                      <w:tag w:val="nr_8637f9e5284f430f86d4bb32e8f35957"/>
                      <w:lock w:val="sdtLocked"/>
                      <w:richText/>
                    </w:sdtPr>
                    <w:sdtContent>
                      <w:r>
                        <w:rPr>
                          <w:b/>
                          <w:bCs/>
                          <w:lang w:eastAsia="lt-LT"/>
                        </w:rPr>
                        <w:t>5</w:t>
                      </w:r>
                    </w:sdtContent>
                  </w:sdt>
                  <w:r>
                    <w:rPr>
                      <w:b/>
                      <w:b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pPr>
                    <w:spacing w:line="276" w:lineRule="auto"/>
                    <w:ind w:left="720" w:firstLine="124"/>
                    <w:rPr>
                      <w:b/>
                      <w:bCs/>
                      <w:iCs/>
                      <w:shd w:val="clear" w:color="auto" w:fill="FFFFFF"/>
                      <w:lang w:eastAsia="lt-LT"/>
                    </w:rPr>
                  </w:pPr>
                  <w:r>
                    <w:rPr>
                      <w:rFonts w:cs="Tahoma"/>
                      <w:shd w:val="clear" w:color="auto" w:fill="FFFFFF"/>
                    </w:rPr>
                    <w:t xml:space="preserve">Teisės aktų keisti nereikia. </w:t>
                  </w:r>
                </w:p>
              </w:sdtContent>
            </w:sdt>
            <w:sdt>
              <w:sdtPr>
                <w:alias w:val="6 p."/>
                <w:tag w:val="part_eb5d94d92d9049b5b39ad76f7e0f37a3"/>
                <w:lock w:val="sdtLocked"/>
                <w:richText/>
              </w:sdtPr>
              <w:sdtContent>
                <w:p>
                  <w:pPr>
                    <w:spacing w:line="276" w:lineRule="auto"/>
                    <w:ind w:left="1216" w:hanging="360"/>
                    <w:jc w:val="both"/>
                    <w:rPr>
                      <w:b/>
                      <w:bCs/>
                      <w:iCs/>
                      <w:szCs w:val="24"/>
                      <w:shd w:val="clear" w:color="auto" w:fill="FFFFFF"/>
                      <w:lang w:eastAsia="lt-LT"/>
                    </w:rPr>
                  </w:pPr>
                  <w:sdt>
                    <w:sdtPr>
                      <w:alias w:val="Numeris"/>
                      <w:tag w:val="nr_eb5d94d92d9049b5b39ad76f7e0f37a3"/>
                      <w:lock w:val="sdtLocked"/>
                      <w:richText/>
                    </w:sdtPr>
                    <w:sdtContent>
                      <w:r>
                        <w:rPr>
                          <w:b/>
                          <w:bCs/>
                          <w:lang w:eastAsia="lt-LT"/>
                        </w:rPr>
                        <w:t>6</w:t>
                      </w:r>
                    </w:sdtContent>
                  </w:sdt>
                  <w:r>
                    <w:rPr>
                      <w:b/>
                      <w:bCs/>
                      <w:lang w:eastAsia="lt-LT"/>
                    </w:rPr>
                    <w:t>.</w:t>
                    <w:tab/>
                  </w:r>
                  <w:r>
                    <w:rPr>
                      <w:b/>
                      <w:bCs/>
                      <w:iCs/>
                      <w:szCs w:val="24"/>
                      <w:shd w:val="clear" w:color="auto" w:fill="FFFFFF"/>
                      <w:lang w:eastAsia="lt-LT"/>
                    </w:rPr>
                    <w:t>Sprendimo projektui įgyvendinti reikalingos lėšos, finansavimo šaltiniai.</w:t>
                  </w:r>
                </w:p>
                <w:p>
                  <w:pPr>
                    <w:spacing w:line="276" w:lineRule="auto"/>
                    <w:ind w:firstLine="720"/>
                    <w:rPr>
                      <w:iCs/>
                      <w:shd w:val="clear" w:color="auto" w:fill="FFFFFF"/>
                      <w:lang w:eastAsia="lt-LT"/>
                    </w:rPr>
                  </w:pPr>
                  <w:r>
                    <w:rPr>
                      <w:iCs/>
                      <w:shd w:val="clear" w:color="auto" w:fill="FFFFFF"/>
                      <w:lang w:eastAsia="lt-LT"/>
                    </w:rPr>
                    <w:t>Sprendimo projektui įgyvendinti reikės lėšų nereikia.</w:t>
                  </w:r>
                </w:p>
              </w:sdtContent>
            </w:sdt>
            <w:sdt>
              <w:sdtPr>
                <w:alias w:val="7 p."/>
                <w:tag w:val="part_e8a04c4bd397461caf4d2fa342cc1534"/>
                <w:lock w:val="sdtLocked"/>
                <w:richText/>
              </w:sdtPr>
              <w:sdtContent>
                <w:p>
                  <w:pPr>
                    <w:spacing w:line="276" w:lineRule="auto"/>
                    <w:ind w:left="1216" w:hanging="360"/>
                    <w:jc w:val="both"/>
                    <w:rPr>
                      <w:b/>
                      <w:bCs/>
                      <w:iCs/>
                      <w:szCs w:val="24"/>
                      <w:shd w:val="clear" w:color="auto" w:fill="FFFFFF"/>
                      <w:lang w:eastAsia="lt-LT"/>
                    </w:rPr>
                  </w:pPr>
                  <w:sdt>
                    <w:sdtPr>
                      <w:alias w:val="Numeris"/>
                      <w:tag w:val="nr_e8a04c4bd397461caf4d2fa342cc1534"/>
                      <w:lock w:val="sdtLocked"/>
                      <w:richText/>
                    </w:sdtPr>
                    <w:sdtContent>
                      <w:r>
                        <w:rPr>
                          <w:b/>
                          <w:bCs/>
                          <w:lang w:eastAsia="lt-LT"/>
                        </w:rPr>
                        <w:t>7</w:t>
                      </w:r>
                    </w:sdtContent>
                  </w:sdt>
                  <w:r>
                    <w:rPr>
                      <w:b/>
                      <w:bCs/>
                      <w:lang w:eastAsia="lt-LT"/>
                    </w:rPr>
                    <w:t>.</w:t>
                    <w:tab/>
                  </w:r>
                  <w:r>
                    <w:rPr>
                      <w:b/>
                      <w:bCs/>
                      <w:iCs/>
                      <w:szCs w:val="24"/>
                      <w:shd w:val="clear" w:color="auto" w:fill="FFFFFF"/>
                      <w:lang w:eastAsia="lt-LT"/>
                    </w:rPr>
                    <w:t>Sprendimo projekto rengimo metu gauti specialistų vertinimai ir išvados.</w:t>
                  </w:r>
                </w:p>
                <w:p>
                  <w:pPr>
                    <w:spacing w:line="276" w:lineRule="auto"/>
                    <w:ind w:left="1216"/>
                    <w:jc w:val="both"/>
                    <w:rPr>
                      <w:b/>
                      <w:bCs/>
                      <w:iCs/>
                      <w:shd w:val="clear" w:color="auto" w:fill="FFFFFF"/>
                      <w:lang w:eastAsia="lt-LT"/>
                    </w:rPr>
                  </w:pPr>
                  <w:r>
                    <w:rPr>
                      <w:rFonts w:cs="Tahoma"/>
                      <w:shd w:val="clear" w:color="auto" w:fill="FFFFFF"/>
                    </w:rPr>
                    <w:t>–</w:t>
                  </w:r>
                  <w:r>
                    <w:rPr>
                      <w:b/>
                      <w:bCs/>
                      <w:iCs/>
                      <w:shd w:val="clear" w:color="auto" w:fill="FFFFFF"/>
                      <w:lang w:eastAsia="lt-LT"/>
                    </w:rPr>
                    <w:t xml:space="preserve"> </w:t>
                  </w:r>
                </w:p>
              </w:sdtContent>
            </w:sdt>
            <w:sdt>
              <w:sdtPr>
                <w:alias w:val="8 p."/>
                <w:tag w:val="part_bb71036319ff457c8fe2ebbf2225c0b7"/>
                <w:lock w:val="sdtLocked"/>
                <w:richText/>
              </w:sdtPr>
              <w:sdtContent>
                <w:p>
                  <w:pPr>
                    <w:spacing w:line="276" w:lineRule="auto"/>
                    <w:ind w:left="1216" w:hanging="360"/>
                    <w:jc w:val="both"/>
                    <w:rPr>
                      <w:b/>
                      <w:bCs/>
                      <w:iCs/>
                      <w:szCs w:val="24"/>
                      <w:shd w:val="clear" w:color="auto" w:fill="FFFFFF"/>
                      <w:lang w:eastAsia="lt-LT"/>
                    </w:rPr>
                  </w:pPr>
                  <w:sdt>
                    <w:sdtPr>
                      <w:alias w:val="Numeris"/>
                      <w:tag w:val="nr_bb71036319ff457c8fe2ebbf2225c0b7"/>
                      <w:lock w:val="sdtLocked"/>
                      <w:richText/>
                    </w:sdtPr>
                    <w:sdtContent>
                      <w:r>
                        <w:rPr>
                          <w:b/>
                          <w:bCs/>
                          <w:lang w:eastAsia="lt-LT"/>
                        </w:rPr>
                        <w:t>8</w:t>
                      </w:r>
                    </w:sdtContent>
                  </w:sdt>
                  <w:r>
                    <w:rPr>
                      <w:b/>
                      <w:bCs/>
                      <w:lang w:eastAsia="lt-LT"/>
                    </w:rPr>
                    <w:t>.</w:t>
                    <w:tab/>
                  </w:r>
                  <w:r>
                    <w:rPr>
                      <w:b/>
                      <w:bCs/>
                      <w:iCs/>
                      <w:szCs w:val="24"/>
                      <w:shd w:val="clear" w:color="auto" w:fill="FFFFFF"/>
                      <w:lang w:eastAsia="lt-LT"/>
                    </w:rPr>
                    <w:t>Numatomo teisinio reguliavimo poveikio vertinimo rezultatai.</w:t>
                  </w:r>
                </w:p>
                <w:p>
                  <w:pPr>
                    <w:spacing w:line="276" w:lineRule="auto"/>
                    <w:ind w:left="1216"/>
                    <w:jc w:val="both"/>
                    <w:rPr>
                      <w:b/>
                      <w:bCs/>
                      <w:iCs/>
                      <w:shd w:val="clear" w:color="auto" w:fill="FFFFFF"/>
                      <w:lang w:eastAsia="lt-LT"/>
                    </w:rPr>
                  </w:pPr>
                  <w:r>
                    <w:rPr>
                      <w:rFonts w:cs="Tahoma"/>
                      <w:shd w:val="clear" w:color="auto" w:fill="FFFFFF"/>
                    </w:rPr>
                    <w:t>–</w:t>
                  </w:r>
                </w:p>
              </w:sdtContent>
            </w:sdt>
            <w:sdt>
              <w:sdtPr>
                <w:alias w:val="9 p."/>
                <w:tag w:val="part_4f87e29810ec49ed8d935c83e01ff587"/>
                <w:lock w:val="sdtLocked"/>
                <w:richText/>
              </w:sdtPr>
              <w:sdtContent>
                <w:p>
                  <w:pPr>
                    <w:spacing w:line="276" w:lineRule="auto"/>
                    <w:ind w:left="1216" w:hanging="360"/>
                    <w:jc w:val="both"/>
                    <w:rPr>
                      <w:b/>
                      <w:bCs/>
                      <w:iCs/>
                      <w:szCs w:val="24"/>
                      <w:shd w:val="clear" w:color="auto" w:fill="FFFFFF"/>
                      <w:lang w:eastAsia="lt-LT"/>
                    </w:rPr>
                  </w:pPr>
                  <w:sdt>
                    <w:sdtPr>
                      <w:alias w:val="Numeris"/>
                      <w:tag w:val="nr_4f87e29810ec49ed8d935c83e01ff587"/>
                      <w:lock w:val="sdtLocked"/>
                      <w:richText/>
                    </w:sdtPr>
                    <w:sdtContent>
                      <w:r>
                        <w:rPr>
                          <w:b/>
                          <w:bCs/>
                          <w:lang w:eastAsia="lt-LT"/>
                        </w:rPr>
                        <w:t>9</w:t>
                      </w:r>
                    </w:sdtContent>
                  </w:sdt>
                  <w:r>
                    <w:rPr>
                      <w:b/>
                      <w:bCs/>
                      <w:lang w:eastAsia="lt-LT"/>
                    </w:rPr>
                    <w:t>.</w:t>
                    <w:tab/>
                  </w:r>
                  <w:r>
                    <w:rPr>
                      <w:b/>
                      <w:bCs/>
                      <w:iCs/>
                      <w:szCs w:val="24"/>
                      <w:shd w:val="clear" w:color="auto" w:fill="FFFFFF"/>
                      <w:lang w:eastAsia="lt-LT"/>
                    </w:rPr>
                    <w:t>Sprendimo projekto antikorupcinis vertinimas.</w:t>
                  </w:r>
                </w:p>
                <w:p>
                  <w:pPr>
                    <w:spacing w:line="276" w:lineRule="auto"/>
                    <w:ind w:left="1216"/>
                    <w:jc w:val="both"/>
                    <w:rPr>
                      <w:b/>
                      <w:bCs/>
                      <w:iCs/>
                      <w:shd w:val="clear" w:color="auto" w:fill="FFFFFF"/>
                      <w:lang w:eastAsia="lt-LT"/>
                    </w:rPr>
                  </w:pPr>
                  <w:r>
                    <w:rPr>
                      <w:rFonts w:cs="Tahoma"/>
                      <w:shd w:val="clear" w:color="auto" w:fill="FFFFFF"/>
                    </w:rPr>
                    <w:t>–</w:t>
                  </w:r>
                </w:p>
              </w:sdtContent>
            </w:sdt>
            <w:sdt>
              <w:sdtPr>
                <w:alias w:val="10 p."/>
                <w:tag w:val="part_e32a1fa112cf4f05a26c5f86fea4f784"/>
                <w:lock w:val="sdtLocked"/>
                <w:richText/>
              </w:sdtPr>
              <w:sdtContent>
                <w:p>
                  <w:pPr>
                    <w:spacing w:line="276" w:lineRule="auto"/>
                    <w:ind w:left="1216" w:hanging="360"/>
                    <w:jc w:val="both"/>
                    <w:rPr>
                      <w:b/>
                      <w:bCs/>
                      <w:iCs/>
                      <w:szCs w:val="24"/>
                      <w:shd w:val="clear" w:color="auto" w:fill="FFFFFF"/>
                      <w:lang w:eastAsia="lt-LT"/>
                    </w:rPr>
                  </w:pPr>
                  <w:sdt>
                    <w:sdtPr>
                      <w:alias w:val="Numeris"/>
                      <w:tag w:val="nr_e32a1fa112cf4f05a26c5f86fea4f784"/>
                      <w:lock w:val="sdtLocked"/>
                      <w:richText/>
                    </w:sdtPr>
                    <w:sdtContent>
                      <w:r>
                        <w:rPr>
                          <w:b/>
                          <w:bCs/>
                          <w:lang w:eastAsia="lt-LT"/>
                        </w:rPr>
                        <w:t>10</w:t>
                      </w:r>
                    </w:sdtContent>
                  </w:sdt>
                  <w:r>
                    <w:rPr>
                      <w:b/>
                      <w:bCs/>
                      <w:lang w:eastAsia="lt-LT"/>
                    </w:rPr>
                    <w:t>.</w:t>
                    <w:tab/>
                  </w:r>
                  <w:r>
                    <w:rPr>
                      <w:b/>
                      <w:bCs/>
                      <w:iCs/>
                      <w:szCs w:val="24"/>
                      <w:shd w:val="clear" w:color="auto" w:fill="FFFFFF"/>
                      <w:lang w:eastAsia="lt-LT"/>
                    </w:rPr>
                    <w:t>Kiti, iniciatoriaus nuomone, reikalingi pagrindimai ir paaiškinimai.</w:t>
                  </w:r>
                </w:p>
                <w:sdt>
                  <w:sdtPr>
                    <w:alias w:val="10.1 pp."/>
                    <w:tag w:val="part_0c72a0383ea3483092ccd479a13f355b"/>
                    <w:lock w:val="sdtLocked"/>
                    <w:richText/>
                  </w:sdtPr>
                  <w:sdtContent>
                    <w:p>
                      <w:pPr>
                        <w:tabs>
                          <w:tab w:val="left" w:pos="0"/>
                        </w:tabs>
                        <w:spacing w:line="276" w:lineRule="auto"/>
                        <w:ind w:right="57" w:firstLine="856"/>
                        <w:jc w:val="both"/>
                        <w:rPr>
                          <w:bCs/>
                          <w:iCs/>
                          <w:szCs w:val="24"/>
                        </w:rPr>
                      </w:pPr>
                      <w:sdt>
                        <w:sdtPr>
                          <w:alias w:val="Numeris"/>
                          <w:tag w:val="nr_0c72a0383ea3483092ccd479a13f355b"/>
                          <w:lock w:val="sdtLocked"/>
                          <w:richText/>
                        </w:sdtPr>
                        <w:sdtContent>
                          <w:r>
                            <w:rPr>
                              <w:bCs/>
                              <w:iCs/>
                            </w:rPr>
                            <w:t>10.1</w:t>
                          </w:r>
                        </w:sdtContent>
                      </w:sdt>
                      <w:r>
                        <w:rPr>
                          <w:bCs/>
                          <w:iCs/>
                        </w:rPr>
                        <w:tab/>
                      </w:r>
                      <w:r>
                        <w:rPr>
                          <w:bCs/>
                          <w:iCs/>
                          <w:szCs w:val="24"/>
                        </w:rPr>
                        <w:t>Turto vertintojas Savivaldybės būstą, esantį (duomenys neskelbtini) įvertino – 6 900 Eurų, turto vertinimo paslaugų kaina – 217,80 Eur. galutinė parduodamo būsto kaina – 7 117, 80 Eurų.</w:t>
                      </w:r>
                    </w:p>
                  </w:sdtContent>
                </w:sdt>
                <w:sdt>
                  <w:sdtPr>
                    <w:alias w:val="10.2 pp."/>
                    <w:tag w:val="part_8726e2c632374e168755cc50a368ab9b"/>
                    <w:lock w:val="sdtLocked"/>
                    <w:richText/>
                  </w:sdtPr>
                  <w:sdtContent>
                    <w:p>
                      <w:pPr>
                        <w:tabs>
                          <w:tab w:val="left" w:pos="0"/>
                        </w:tabs>
                        <w:spacing w:line="276" w:lineRule="auto"/>
                        <w:ind w:right="57" w:firstLine="856"/>
                        <w:jc w:val="both"/>
                        <w:rPr>
                          <w:bCs/>
                          <w:iCs/>
                          <w:szCs w:val="24"/>
                        </w:rPr>
                      </w:pPr>
                      <w:sdt>
                        <w:sdtPr>
                          <w:alias w:val="Numeris"/>
                          <w:tag w:val="nr_8726e2c632374e168755cc50a368ab9b"/>
                          <w:lock w:val="sdtLocked"/>
                          <w:richText/>
                        </w:sdtPr>
                        <w:sdtContent>
                          <w:r>
                            <w:rPr>
                              <w:bCs/>
                              <w:iCs/>
                            </w:rPr>
                            <w:t>10.2</w:t>
                          </w:r>
                        </w:sdtContent>
                      </w:sdt>
                      <w:r>
                        <w:rPr>
                          <w:bCs/>
                          <w:iCs/>
                        </w:rPr>
                        <w:tab/>
                      </w:r>
                      <w:r>
                        <w:rPr>
                          <w:bCs/>
                          <w:iCs/>
                          <w:szCs w:val="24"/>
                        </w:rPr>
                        <w:t xml:space="preserve">Turto vertintojas Savivaldybės būstą, esantį (duomenys neskelbtini) įvertino – 2 700 Eurų, turto vertinimo paslaugų kaina – 217,80 Eur. galutinė parduodamo būsto kaina –  2 917,80 Eurų.</w:t>
                      </w:r>
                    </w:p>
                    <w:p>
                      <w:pPr>
                        <w:tabs>
                          <w:tab w:val="left" w:pos="0"/>
                        </w:tabs>
                        <w:spacing w:line="276" w:lineRule="auto"/>
                        <w:ind w:right="57"/>
                        <w:jc w:val="both"/>
                        <w:rPr>
                          <w:bCs/>
                          <w:iCs/>
                          <w:szCs w:val="24"/>
                        </w:rPr>
                      </w:pPr>
                    </w:p>
                  </w:sdtContent>
                </w:sdt>
              </w:sdtContent>
            </w:sdt>
            <w:sdt>
              <w:sdtPr>
                <w:alias w:val="11 p."/>
                <w:tag w:val="part_8482f215da0c4a82930ab82c255d7f76"/>
                <w:lock w:val="sdtLocked"/>
                <w:richText/>
              </w:sdtPr>
              <w:sdtContent>
                <w:p>
                  <w:pPr>
                    <w:spacing w:line="276" w:lineRule="auto"/>
                    <w:ind w:left="1216" w:hanging="360"/>
                    <w:jc w:val="both"/>
                    <w:rPr>
                      <w:szCs w:val="24"/>
                    </w:rPr>
                  </w:pPr>
                  <w:sdt>
                    <w:sdtPr>
                      <w:alias w:val="Numeris"/>
                      <w:tag w:val="nr_8482f215da0c4a82930ab82c255d7f76"/>
                      <w:lock w:val="sdtLocked"/>
                      <w:richText/>
                    </w:sdtPr>
                    <w:sdtContent>
                      <w:r>
                        <w:rPr>
                          <w:b/>
                          <w:bCs/>
                        </w:rPr>
                        <w:t>11</w:t>
                      </w:r>
                    </w:sdtContent>
                  </w:sdt>
                  <w:r>
                    <w:rPr>
                      <w:b/>
                      <w:bCs/>
                    </w:rPr>
                    <w:t>.</w:t>
                    <w:tab/>
                  </w:r>
                  <w:r>
                    <w:rPr>
                      <w:b/>
                      <w:bCs/>
                      <w:iCs/>
                      <w:szCs w:val="24"/>
                      <w:shd w:val="clear" w:color="auto" w:fill="FFFFFF"/>
                      <w:lang w:eastAsia="lt-LT"/>
                    </w:rPr>
                    <w:t>Pridedami dokumentai.</w:t>
                  </w:r>
                </w:p>
              </w:sdtContent>
            </w:sdt>
          </w:sdtContent>
        </w:sdt>
        <w:sdt>
          <w:sdtPr>
            <w:alias w:val="skirsnis"/>
            <w:tag w:val="part_c24b1cb4b3994cf3914ce63203baa7b3"/>
            <w:lock w:val="sdtLocked"/>
            <w:richText/>
          </w:sdtPr>
          <w:sdtContent>
            <w:p>
              <w:pPr>
                <w:spacing w:line="276" w:lineRule="auto"/>
                <w:ind w:left="1216"/>
                <w:jc w:val="both"/>
              </w:pPr>
              <w:sdt>
                <w:sdtPr>
                  <w:alias w:val="Pavadinimas"/>
                  <w:tag w:val="title_c24b1cb4b3994cf3914ce63203baa7b3"/>
                  <w:lock w:val="sdtLocked"/>
                  <w:richText/>
                </w:sdtPr>
                <w:sdtContent>
                  <w:r>
                    <w:rPr>
                      <w:b/>
                      <w:bCs/>
                      <w:iCs/>
                      <w:shd w:val="clear" w:color="auto" w:fill="FFFFFF"/>
                      <w:lang w:eastAsia="lt-LT"/>
                    </w:rPr>
                    <w:t>–</w:t>
                  </w:r>
                </w:sdtContent>
              </w:sdt>
            </w:p>
            <w:p>
              <w:pPr>
                <w:spacing w:line="276" w:lineRule="auto"/>
                <w:jc w:val="both"/>
                <w:rPr>
                  <w:b/>
                  <w:bCs/>
                  <w:szCs w:val="24"/>
                  <w:lang w:eastAsia="lt-LT"/>
                </w:rPr>
              </w:pPr>
            </w:p>
            <w:p>
              <w:pPr>
                <w:spacing w:line="276" w:lineRule="auto"/>
                <w:jc w:val="both"/>
                <w:rPr>
                  <w:b/>
                  <w:bCs/>
                  <w:szCs w:val="24"/>
                  <w:lang w:eastAsia="lt-LT"/>
                </w:rPr>
              </w:pPr>
            </w:p>
            <w:p>
              <w:pPr>
                <w:spacing w:line="276" w:lineRule="auto"/>
                <w:jc w:val="both"/>
                <w:rPr>
                  <w:b/>
                  <w:bCs/>
                  <w:szCs w:val="24"/>
                  <w:lang w:eastAsia="lt-LT"/>
                </w:rPr>
              </w:pPr>
            </w:p>
          </w:sdtContent>
        </w:sdt>
        <w:sdt>
          <w:sdtPr>
            <w:alias w:val="signatura"/>
            <w:tag w:val="part_779275611c7b4242863d818408dcd3ca"/>
            <w:lock w:val="sdtLocked"/>
            <w:richText/>
          </w:sdtPr>
          <w:sdtContent>
            <w:p>
              <w:pPr>
                <w:spacing w:line="276" w:lineRule="auto"/>
                <w:jc w:val="both"/>
                <w:rPr>
                  <w:szCs w:val="24"/>
                </w:rPr>
              </w:pPr>
              <w:r>
                <w:rPr>
                  <w:szCs w:val="22"/>
                </w:rPr>
                <w:t xml:space="preserve">Investicijų ir turto valdymo skyriaus vyr. specialistė                                                   Nijolė Žilvytienė </w:t>
              </w:r>
            </w:p>
            <w:p>
              <w:pPr>
                <w:rPr>
                  <w:szCs w:val="24"/>
                </w:rPr>
              </w:pPr>
            </w:p>
            <w:p>
              <w:pPr>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B0F601B-576F-464E-8B80-7E435266C9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97491">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b28dcd37d7640e9837acfa397d27c59" PartId="afb44bb7bd0d4809af3966b410638171">
    <Part Type="preambule" DocPartId="9e5ae61939be40fab123dffb7a12fbdd" PartId="5fe6f9722bbf4fc3b4313ed87c3f6e70"/>
    <Part Type="skirsnis" Title="RADVILIŠKIO RAJONO SAVIVALDYBĖS TARYBA" DocPartId="7e090c1c54b44c6693bb8e1ffaf3b07d" PartId="5dd3037a2dbe474891a6eda2d940ce96"/>
    <Part Type="skirsnis" Title="SPRENDIMAS DĖL SAVIVALDYBEI NUOSAVYBĖS TEISE PRIKLAUSANČIŲ BUTŲ SU ŪKINIAIS PASTATAIS PARDAVIMO" DocPartId="7632be0f27c448e38ca26a4b9fe718f8" PartId="cc4c7394ce3b40b6a58639109896ef50">
      <Part Type="punktas" Nr="1" Abbr="1 p." DocPartId="ad287a29e7bc4a0e9523e38f5199e3fd" PartId="609a264114ca4fe1acb5e8f46c4d182c"/>
      <Part Type="punktas" Nr="2" Abbr="2 p." DocPartId="692488fcea564ddfacccab473b50c290" PartId="1f46f916caea40c7a81ff5f05fc23b3d"/>
      <Part Type="punktas" Nr="3" Abbr="3 p." DocPartId="d201dea515834668827bc7fe9700cb9e" PartId="bc3ea9980cd64d30a2d23be8638e760c"/>
    </Part>
    <Part Type="skirsnis" Title="RADVILIŠKIO RAJONO SAVIVALDYBĖS TARYBOS SPRENDIMO PROJEKTO „DĖL SAVIVALDYBEI NUOSAVYBĖS TEISE PRIKLAUSANČIŲ BUTŲ SU ŪKINIAIS PASTATAIS PARDAVIMO“ AIŠKINAMASIS RAŠTAS" DocPartId="d8bd28ad5ce741859888097b0a905a84" PartId="32a15adb641041988902c0cda0561c93">
      <Part Type="punktas" Nr="1" Abbr="1 p." DocPartId="23e8887c6a29457b8c59b1206f1df2aa" PartId="350147d3cac5441695f216af2e82f8a1"/>
      <Part Type="punktas" Nr="2" Abbr="2 p." DocPartId="57f2761924114fd1b01ae562d143ce79" PartId="1207b58632af49729309f1c42d7571a5"/>
    </Part>
    <Part Type="skirsnis" Title="Kaip šiuo metu yra reguliuojami sprendimo projekte aptarti teisiniai santykiai" DocPartId="fe62f3ca4c55441cb5b82a14b0f3478e" PartId="3994441be18946cea3244fb737e3d300">
      <Part Type="punktas" Nr="3" Abbr="3 p." DocPartId="00b055a2fc56425096aae282edff90b4" PartId="2006981dd6454b0da22fab9539d5e58d"/>
      <Part Type="punktas" Nr="4" Abbr="4 p." DocPartId="ec184995afd54719b8b2376b901f798e" PartId="ea06eb48e0ee41f6ace4c341f8f27f9f"/>
      <Part Type="punktas" Nr="5" Abbr="5 p." DocPartId="51f5f60d6aed48f294660c7df0e75cb9" PartId="8637f9e5284f430f86d4bb32e8f35957"/>
      <Part Type="punktas" Nr="6" Abbr="6 p." DocPartId="a10b0a956cf04c8b906ae6f3ec59c3c2" PartId="eb5d94d92d9049b5b39ad76f7e0f37a3"/>
      <Part Type="punktas" Nr="7" Abbr="7 p." DocPartId="e8c22c93facd41a5a7daf1d4b28b916e" PartId="e8a04c4bd397461caf4d2fa342cc1534"/>
      <Part Type="punktas" Nr="8" Abbr="8 p." DocPartId="3bd827296e304187b5b070545fa596b9" PartId="bb71036319ff457c8fe2ebbf2225c0b7"/>
      <Part Type="punktas" Nr="9" Abbr="9 p." DocPartId="e0046d08e08e489c9969c403c1fe947c" PartId="4f87e29810ec49ed8d935c83e01ff587"/>
      <Part Type="punktas" Nr="10" Abbr="10 p." DocPartId="9abddfdcf82d4b9eae558dca9b6f793a" PartId="e32a1fa112cf4f05a26c5f86fea4f784">
        <Part Type="papunktis" Nr="10.1" Abbr="10.1 pp." DocPartId="0a1b5022a3404882aca4d77c1474a99b" PartId="0c72a0383ea3483092ccd479a13f355b"/>
        <Part Type="papunktis" Nr="10.2" Abbr="10.2 pp." DocPartId="58b86853473249b2850913715b87ad49" PartId="8726e2c632374e168755cc50a368ab9b"/>
      </Part>
      <Part Type="punktas" Nr="11" Abbr="11 p." DocPartId="f6621c760f00482ebff6ee17b673fec6" PartId="8482f215da0c4a82930ab82c255d7f76"/>
    </Part>
    <Part Type="skirsnis" Title="–" DocPartId="46a7bebca29f4aa5bbb7180db5cb18eb" PartId="c24b1cb4b3994cf3914ce63203baa7b3"/>
    <Part Type="signatura" DocPartId="0c70d778aa12499393597a0df50f5e7f" PartId="779275611c7b4242863d818408dcd3ca"/>
  </Part>
</Parts>
</file>

<file path=customXml/itemProps1.xml><?xml version="1.0" encoding="utf-8"?>
<ds:datastoreItem xmlns:ds="http://schemas.openxmlformats.org/officeDocument/2006/customXml" ds:itemID="{DA220B97-6903-4D0F-94DE-3E885C71E4C0}">
  <ds:schemaRefs>
    <ds:schemaRef ds:uri="http://schemas.openxmlformats.org/officeDocument/2006/bibliography"/>
  </ds:schemaRefs>
</ds:datastoreItem>
</file>

<file path=customXml/itemProps2.xml><?xml version="1.0" encoding="utf-8"?>
<ds:datastoreItem xmlns:ds="http://schemas.openxmlformats.org/officeDocument/2006/customXml" ds:itemID="{0418FAC2-4DDD-4192-AAD7-C4711626E5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725</Words>
  <Characters>4909</Characters>
  <Application>Microsoft Office Word</Application>
  <DocSecurity>4</DocSecurity>
  <Lines>116</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2025-02-07T11:13:00Z</dcterms:created>
  <dc:creator>Administrator</dc:creator>
  <lastModifiedBy>adlibuser</lastModifiedBy>
  <lastPrinted>2017-04-10T07:17:00Z</lastPrinted>
  <dcterms:modified xsi:type="dcterms:W3CDTF">2025-02-07T11:13:00Z</dcterms:modified>
  <revision>2</revision>
</coreProperties>
</file>