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905bf818e2a426289e543c733a9b354"/>
        <w:lock w:val="sdtLocked"/>
        <w:richText/>
      </w:sdtPr>
      <w:sdtContent>
        <w:p w14:paraId="2CA280A7" w14:textId="77777777">
          <w:pPr>
            <w:tabs>
              <w:tab w:val="center" w:pos="4819"/>
              <w:tab w:val="right" w:pos="9638"/>
            </w:tabs>
            <w:ind w:right="140"/>
            <w:jc w:val="center"/>
            <w:rPr>
              <w:rFonts w:ascii="Calibri" w:hAnsi="Calibri" w:cs="Calibri"/>
              <w:sz w:val="22"/>
              <w:szCs w:val="22"/>
            </w:rPr>
          </w:pPr>
        </w:p>
        <w:p w14:paraId="5CEC695C" w14:textId="77777777">
          <w:pPr>
            <w:tabs>
              <w:tab w:val="left" w:pos="709"/>
            </w:tabs>
            <w:spacing w:line="276" w:lineRule="auto"/>
            <w:jc w:val="right"/>
            <w:rPr>
              <w:b/>
              <w:bCs/>
              <w:szCs w:val="24"/>
              <w:lang w:eastAsia="lt-LT"/>
            </w:rPr>
          </w:pPr>
          <w:r>
            <w:rPr>
              <w:b/>
              <w:bCs/>
              <w:szCs w:val="24"/>
              <w:lang w:eastAsia="lt-LT"/>
            </w:rPr>
            <w:t>Projektas</w:t>
          </w:r>
        </w:p>
        <w:p w14:paraId="5CEC695D" w14:textId="77777777">
          <w:pPr>
            <w:tabs>
              <w:tab w:val="left" w:pos="709"/>
            </w:tabs>
            <w:spacing w:line="276" w:lineRule="auto"/>
            <w:jc w:val="center"/>
            <w:rPr>
              <w:b/>
              <w:bCs/>
              <w:szCs w:val="24"/>
              <w:lang w:eastAsia="lt-LT"/>
            </w:rPr>
          </w:pPr>
        </w:p>
        <w:p w14:paraId="5CEC695E" w14:textId="77777777">
          <w:pPr>
            <w:tabs>
              <w:tab w:val="left" w:pos="709"/>
            </w:tabs>
            <w:spacing w:line="276" w:lineRule="auto"/>
            <w:jc w:val="center"/>
            <w:rPr>
              <w:b/>
              <w:bCs/>
              <w:szCs w:val="24"/>
              <w:lang w:eastAsia="lt-LT"/>
            </w:rPr>
          </w:pPr>
          <w:r>
            <w:rPr>
              <w:b/>
              <w:bCs/>
              <w:szCs w:val="24"/>
              <w:lang w:eastAsia="lt-LT"/>
            </w:rPr>
            <w:t>LIETUVOS RESPUBLIKOS ENERGETIKOS MINISTRAS</w:t>
          </w:r>
        </w:p>
        <w:p w14:paraId="5CEC695F" w14:textId="77777777">
          <w:pPr>
            <w:overflowPunct w:val="0"/>
            <w:spacing w:line="276" w:lineRule="auto"/>
            <w:jc w:val="center"/>
            <w:textAlignment w:val="baseline"/>
            <w:rPr>
              <w:b/>
              <w:bCs/>
              <w:szCs w:val="24"/>
              <w:lang w:eastAsia="lt-LT"/>
            </w:rPr>
          </w:pPr>
        </w:p>
        <w:p w14:paraId="5CEC6960" w14:textId="77777777">
          <w:pPr>
            <w:overflowPunct w:val="0"/>
            <w:jc w:val="center"/>
            <w:textAlignment w:val="baseline"/>
            <w:rPr>
              <w:szCs w:val="24"/>
              <w:lang w:eastAsia="lt-LT"/>
            </w:rPr>
          </w:pPr>
          <w:r>
            <w:rPr>
              <w:b/>
              <w:bCs/>
              <w:szCs w:val="24"/>
              <w:lang w:eastAsia="lt-LT"/>
            </w:rPr>
            <w:t>ĮSAKYMAS</w:t>
          </w:r>
        </w:p>
        <w:p w14:paraId="5CEC6961" w14:textId="77777777">
          <w:pPr>
            <w:overflowPunct w:val="0"/>
            <w:jc w:val="center"/>
            <w:textAlignment w:val="baseline"/>
            <w:rPr>
              <w:b/>
              <w:bCs/>
              <w:szCs w:val="24"/>
              <w:lang w:eastAsia="lt-LT"/>
            </w:rPr>
          </w:pPr>
          <w:r>
            <w:rPr>
              <w:b/>
              <w:bCs/>
              <w:szCs w:val="24"/>
              <w:lang w:eastAsia="lt-LT"/>
            </w:rPr>
            <w:t>DĖL LIETUVOS RESPUBLIKOS ENERGETIKOS MINISTRO 2016 M. LIEPOS 29 D. ĮSAKYMO NR. 1–221 „DĖL 2014–2020 METŲ EUROPOS SĄJUNGOS FONDŲ INVESTICIJŲ VEIKSMŲ PROGRAMOS 6 PRIORITETO „DARNAUS TRANSPORTO IR PAGRINDINIŲ TINKLŲ INFRASTRUKTŪROS PLĖTRA“ 06.3.1-LVPA-K-107 PRIEMONĖS „GAMTINIŲ DUJŲ SKIRSTYMO SISTEMŲ MODERNIZAVIMAS IR PLĖTRA“ PROJEKTŲ FINANSAVIMO SĄLYGŲ APRAŠO NR. 1 PATVIRTINIMO</w:t>
          </w:r>
          <w:r>
            <w:rPr>
              <w:b/>
              <w:bCs/>
              <w:caps/>
              <w:szCs w:val="24"/>
              <w:lang w:eastAsia="lt-LT"/>
            </w:rPr>
            <w:t xml:space="preserve">“ PAKEITIMO </w:t>
          </w:r>
        </w:p>
        <w:p w14:paraId="5CEC6962" w14:textId="77777777">
          <w:pPr>
            <w:overflowPunct w:val="0"/>
            <w:spacing w:line="276" w:lineRule="auto"/>
            <w:jc w:val="center"/>
            <w:textAlignment w:val="baseline"/>
            <w:rPr>
              <w:b/>
              <w:bCs/>
              <w:szCs w:val="24"/>
              <w:lang w:eastAsia="lt-LT"/>
            </w:rPr>
          </w:pPr>
        </w:p>
        <w:p w14:paraId="5CEC6963" w14:textId="617CB095">
          <w:pPr>
            <w:keepNext/>
            <w:overflowPunct w:val="0"/>
            <w:spacing w:line="276" w:lineRule="auto"/>
            <w:jc w:val="center"/>
            <w:textAlignment w:val="baseline"/>
            <w:rPr>
              <w:szCs w:val="24"/>
              <w:lang w:eastAsia="lt-LT"/>
            </w:rPr>
          </w:pPr>
          <w:r>
            <w:rPr>
              <w:szCs w:val="24"/>
              <w:lang w:eastAsia="lt-LT"/>
            </w:rPr>
            <w:t xml:space="preserve">2018 m.                         d. Nr. 1-</w:t>
          </w:r>
        </w:p>
        <w:p w14:paraId="5CEC6964" w14:textId="77777777">
          <w:pPr>
            <w:overflowPunct w:val="0"/>
            <w:spacing w:line="276" w:lineRule="auto"/>
            <w:jc w:val="center"/>
            <w:textAlignment w:val="baseline"/>
            <w:rPr>
              <w:szCs w:val="24"/>
              <w:lang w:eastAsia="lt-LT"/>
            </w:rPr>
          </w:pPr>
          <w:r>
            <w:rPr>
              <w:szCs w:val="24"/>
              <w:lang w:eastAsia="lt-LT"/>
            </w:rPr>
            <w:t>Vilnius</w:t>
          </w:r>
        </w:p>
        <w:p w14:paraId="5CEC6965" w14:textId="77777777">
          <w:pPr>
            <w:overflowPunct w:val="0"/>
            <w:spacing w:line="276" w:lineRule="auto"/>
            <w:jc w:val="center"/>
            <w:textAlignment w:val="baseline"/>
            <w:rPr>
              <w:szCs w:val="24"/>
              <w:lang w:eastAsia="lt-LT"/>
            </w:rPr>
          </w:pPr>
        </w:p>
        <w:sdt>
          <w:sdtPr>
            <w:alias w:val="preambule"/>
            <w:tag w:val="part_42401ac927044b0691ab30b2025ae101"/>
            <w:lock w:val="sdtLocked"/>
            <w:richText/>
          </w:sdtPr>
          <w:sdtContent>
            <w:p w14:paraId="5CEC6966" w14:textId="77777777">
              <w:pPr>
                <w:tabs>
                  <w:tab w:val="left" w:pos="1134"/>
                </w:tabs>
                <w:overflowPunct w:val="0"/>
                <w:ind w:firstLine="851"/>
                <w:jc w:val="both"/>
                <w:textAlignment w:val="baseline"/>
                <w:rPr>
                  <w:color w:val="000000"/>
                  <w:szCs w:val="24"/>
                  <w:lang w:eastAsia="lt-LT"/>
                </w:rPr>
              </w:pPr>
              <w:r>
                <w:rPr>
                  <w:color w:val="000000"/>
                  <w:szCs w:val="24"/>
                  <w:lang w:eastAsia="lt-LT"/>
                </w:rPr>
                <w:t>P a k e i č i u 2014–2020 metų Europos Sąjungos fondų investicijų veiksmų programos 6 prioriteto „Darnaus transporto ir pagrindinių tinklų infrastruktūros plėtra“ 06.3.1-LVPA-K-107 priemonės „</w:t>
              </w:r>
              <w:r>
                <w:rPr>
                  <w:bCs/>
                  <w:szCs w:val="24"/>
                  <w:lang w:eastAsia="lt-LT"/>
                </w:rPr>
                <w:t>Gamtinių dujų skirstymo sistemų modernizavimas ir plėtra</w:t>
              </w:r>
              <w:r>
                <w:rPr>
                  <w:color w:val="000000"/>
                  <w:szCs w:val="24"/>
                  <w:lang w:eastAsia="lt-LT"/>
                </w:rPr>
                <w:t xml:space="preserve">“ projektų finansavimo sąlygų aprašą Nr. 1, </w:t>
              </w:r>
              <w:r>
                <w:rPr>
                  <w:szCs w:val="24"/>
                </w:rPr>
                <w:t>patvirtintą</w:t>
              </w:r>
              <w:r>
                <w:rPr>
                  <w:color w:val="000000"/>
                  <w:szCs w:val="24"/>
                  <w:lang w:eastAsia="lt-LT"/>
                </w:rPr>
                <w:t xml:space="preserve"> Lietuvos Respublikos energetikos ministro 2016 m. </w:t>
              </w:r>
              <w:r>
                <w:rPr>
                  <w:bCs/>
                  <w:szCs w:val="24"/>
                  <w:lang w:eastAsia="lt-LT"/>
                </w:rPr>
                <w:t>liepos 29</w:t>
              </w:r>
              <w:r>
                <w:rPr>
                  <w:b/>
                  <w:bCs/>
                  <w:szCs w:val="24"/>
                  <w:lang w:eastAsia="lt-LT"/>
                </w:rPr>
                <w:t xml:space="preserve"> </w:t>
              </w:r>
              <w:r>
                <w:rPr>
                  <w:color w:val="000000"/>
                  <w:szCs w:val="24"/>
                  <w:lang w:eastAsia="lt-LT"/>
                </w:rPr>
                <w:t>d. įsakymu Nr. 1-221 „Dėl 2014–2020 metų Europos Sąjungos fondų investicijų veiksmų programos 6 prioriteto „Darnaus transporto ir pagrindinių tinklų infrastruktūros plėtra“ 06.3.1-LVPA-K-107 priemonės „</w:t>
              </w:r>
              <w:r>
                <w:rPr>
                  <w:bCs/>
                  <w:szCs w:val="24"/>
                  <w:lang w:eastAsia="lt-LT"/>
                </w:rPr>
                <w:t>Gamtinių dujų skirstymo sistemų modernizavimas ir plėtra</w:t>
              </w:r>
              <w:r>
                <w:rPr>
                  <w:color w:val="000000"/>
                  <w:szCs w:val="24"/>
                  <w:lang w:eastAsia="lt-LT"/>
                </w:rPr>
                <w:t>“ projektų finansavimo sąlygų aprašo Nr. 1 patvirtinimo“</w:t>
              </w:r>
              <w:r>
                <w:rPr>
                  <w:szCs w:val="24"/>
                </w:rPr>
                <w:t xml:space="preserve"> </w:t>
              </w:r>
              <w:r>
                <w:rPr>
                  <w:color w:val="000000"/>
                  <w:szCs w:val="24"/>
                  <w:lang w:eastAsia="lt-LT"/>
                </w:rPr>
                <w:t>(toliau – Aprašas):</w:t>
              </w:r>
            </w:p>
          </w:sdtContent>
        </w:sdt>
        <w:sdt>
          <w:sdtPr>
            <w:alias w:val="1 p."/>
            <w:tag w:val="part_836e04cbb39742f3b448f2e4ee212029"/>
            <w:lock w:val="sdtLocked"/>
            <w:richText/>
          </w:sdtPr>
          <w:sdtContent>
            <w:p w14:paraId="1D5058CF" w14:textId="41E7DA5F">
              <w:pPr>
                <w:tabs>
                  <w:tab w:val="left" w:pos="1418"/>
                </w:tabs>
                <w:overflowPunct w:val="0"/>
                <w:ind w:firstLine="851"/>
                <w:jc w:val="both"/>
                <w:textAlignment w:val="baseline"/>
                <w:rPr>
                  <w:szCs w:val="24"/>
                </w:rPr>
              </w:pPr>
              <w:sdt>
                <w:sdtPr>
                  <w:alias w:val="Numeris"/>
                  <w:tag w:val="nr_836e04cbb39742f3b448f2e4ee212029"/>
                  <w:lock w:val="sdtLocked"/>
                  <w:richText/>
                </w:sdtPr>
                <w:sdtContent>
                  <w:r>
                    <w:rPr>
                      <w:szCs w:val="24"/>
                    </w:rPr>
                    <w:t>1</w:t>
                  </w:r>
                </w:sdtContent>
              </w:sdt>
              <w:r>
                <w:rPr>
                  <w:szCs w:val="24"/>
                </w:rPr>
                <w:t>.</w:t>
                <w:tab/>
                <w:t>Pakeičiu 22 punktą ir jį išdėstau taip:</w:t>
              </w:r>
            </w:p>
            <w:sdt>
              <w:sdtPr>
                <w:alias w:val="citata"/>
                <w:tag w:val="part_faf8f6d49e424edbb481b07306723177"/>
                <w:lock w:val="sdtLocked"/>
                <w:richText/>
              </w:sdtPr>
              <w:sdtContent>
                <w:sdt>
                  <w:sdtPr>
                    <w:alias w:val="22 p."/>
                    <w:tag w:val="part_56416c613c8f4b93853ee075a3622f61"/>
                    <w:lock w:val="sdtLocked"/>
                    <w:richText/>
                  </w:sdtPr>
                  <w:sdtContent>
                    <w:p w14:paraId="2E6BAC7B" w14:textId="0A08B061">
                      <w:pPr>
                        <w:tabs>
                          <w:tab w:val="left" w:pos="1418"/>
                        </w:tabs>
                        <w:overflowPunct w:val="0"/>
                        <w:ind w:firstLine="851"/>
                        <w:jc w:val="both"/>
                        <w:textAlignment w:val="baseline"/>
                        <w:rPr>
                          <w:szCs w:val="24"/>
                        </w:rPr>
                      </w:pPr>
                      <w:r>
                        <w:rPr>
                          <w:szCs w:val="24"/>
                        </w:rPr>
                        <w:t>„</w:t>
                      </w:r>
                      <w:sdt>
                        <w:sdtPr>
                          <w:alias w:val="Numeris"/>
                          <w:tag w:val="nr_56416c613c8f4b93853ee075a3622f61"/>
                          <w:lock w:val="sdtLocked"/>
                          <w:richText/>
                        </w:sdtPr>
                        <w:sdtContent>
                          <w:r>
                            <w:rPr>
                              <w:szCs w:val="24"/>
                            </w:rPr>
                            <w:t>22</w:t>
                          </w:r>
                        </w:sdtContent>
                      </w:sdt>
                      <w:r>
                        <w:rPr>
                          <w:szCs w:val="24"/>
                        </w:rPr>
                        <w:t>. Teikiamų pagal Aprašą projekto veiklų įgyvendinimo trukmė turi būti ne ilgesnė kaip 48</w:t>
                      </w:r>
                      <w:r>
                        <w:rPr>
                          <w:b/>
                          <w:szCs w:val="24"/>
                        </w:rPr>
                        <w:t xml:space="preserve"> </w:t>
                      </w:r>
                      <w:r>
                        <w:rPr>
                          <w:szCs w:val="24"/>
                        </w:rPr>
                        <w:t> mėnesiai nuo iš Europos Sąjungos struktūrinių fondų lėšų bendrai finansuojamo projekto sutarties (toliau – projekto sutartis) pasirašymo dienos.“</w:t>
                      </w:r>
                    </w:p>
                  </w:sdtContent>
                </w:sdt>
              </w:sdtContent>
            </w:sdt>
          </w:sdtContent>
        </w:sdt>
        <w:sdt>
          <w:sdtPr>
            <w:alias w:val="2 p."/>
            <w:tag w:val="part_2dddb16d310142a58617a5e90fb8ec08"/>
            <w:lock w:val="sdtLocked"/>
            <w:richText/>
          </w:sdtPr>
          <w:sdtContent>
            <w:p w14:paraId="79FFBE4C" w14:textId="7F9EED6D">
              <w:pPr>
                <w:tabs>
                  <w:tab w:val="left" w:pos="1418"/>
                </w:tabs>
                <w:overflowPunct w:val="0"/>
                <w:ind w:firstLine="851"/>
                <w:jc w:val="both"/>
                <w:textAlignment w:val="baseline"/>
                <w:rPr>
                  <w:szCs w:val="24"/>
                </w:rPr>
              </w:pPr>
              <w:sdt>
                <w:sdtPr>
                  <w:alias w:val="Numeris"/>
                  <w:tag w:val="nr_2dddb16d310142a58617a5e90fb8ec08"/>
                  <w:lock w:val="sdtLocked"/>
                  <w:richText/>
                </w:sdtPr>
                <w:sdtContent>
                  <w:r>
                    <w:rPr>
                      <w:szCs w:val="24"/>
                    </w:rPr>
                    <w:t>2</w:t>
                  </w:r>
                </w:sdtContent>
              </w:sdt>
              <w:r>
                <w:rPr>
                  <w:szCs w:val="24"/>
                </w:rPr>
                <w:t>.</w:t>
                <w:tab/>
                <w:t>Pakeičiu 35.1 papunktį ir jį išdėstau taip:</w:t>
              </w:r>
            </w:p>
            <w:sdt>
              <w:sdtPr>
                <w:alias w:val="citata"/>
                <w:tag w:val="part_57154b4a102d45639e9d7e9d846f1691"/>
                <w:lock w:val="sdtLocked"/>
                <w:richText/>
              </w:sdtPr>
              <w:sdtContent>
                <w:sdt>
                  <w:sdtPr>
                    <w:alias w:val="35.1 pp."/>
                    <w:tag w:val="part_5488eebf51b54b60b4c4ab67a949329d"/>
                    <w:lock w:val="sdtLocked"/>
                    <w:richText/>
                  </w:sdtPr>
                  <w:sdtContent>
                    <w:p w14:paraId="63345A4D" w14:textId="6AE9F75B">
                      <w:pPr>
                        <w:tabs>
                          <w:tab w:val="left" w:pos="1418"/>
                        </w:tabs>
                        <w:overflowPunct w:val="0"/>
                        <w:ind w:firstLine="851"/>
                        <w:jc w:val="both"/>
                        <w:textAlignment w:val="baseline"/>
                        <w:rPr>
                          <w:szCs w:val="24"/>
                        </w:rPr>
                      </w:pPr>
                      <w:r>
                        <w:rPr>
                          <w:szCs w:val="24"/>
                        </w:rPr>
                        <w:t>„</w:t>
                      </w:r>
                      <w:sdt>
                        <w:sdtPr>
                          <w:alias w:val="Numeris"/>
                          <w:tag w:val="nr_5488eebf51b54b60b4c4ab67a949329d"/>
                          <w:lock w:val="sdtLocked"/>
                          <w:richText/>
                        </w:sdtPr>
                        <w:sdtContent>
                          <w:r>
                            <w:rPr>
                              <w:szCs w:val="24"/>
                            </w:rPr>
                            <w:t>35.1</w:t>
                          </w:r>
                        </w:sdtContent>
                      </w:sdt>
                      <w:r>
                        <w:rPr>
                          <w:szCs w:val="24"/>
                        </w:rPr>
                        <w:t xml:space="preserve">. Aprašo 11.1 papunktyje nurodytai veiklai 6 0000 000 eurų </w:t>
                      </w:r>
                      <w:r>
                        <w:rPr>
                          <w:i/>
                          <w:szCs w:val="24"/>
                        </w:rPr>
                        <w:t>(šeši milijonai eurų)</w:t>
                      </w:r>
                      <w:r>
                        <w:rPr>
                          <w:szCs w:val="24"/>
                        </w:rPr>
                        <w:t>,</w:t>
                      </w:r>
                      <w:r>
                        <w:rPr>
                          <w:i/>
                          <w:szCs w:val="24"/>
                        </w:rPr>
                        <w:t xml:space="preserve"> </w:t>
                      </w:r>
                      <w:r>
                        <w:rPr>
                          <w:szCs w:val="24"/>
                        </w:rPr>
                        <w:t>vertinama vadovaujantis 4 priedu;“</w:t>
                      </w:r>
                    </w:p>
                  </w:sdtContent>
                </w:sdt>
              </w:sdtContent>
            </w:sdt>
          </w:sdtContent>
        </w:sdt>
        <w:sdt>
          <w:sdtPr>
            <w:alias w:val="3 p."/>
            <w:tag w:val="part_86f360203c3747808fde30226a633cf2"/>
            <w:lock w:val="sdtLocked"/>
            <w:richText/>
          </w:sdtPr>
          <w:sdtContent>
            <w:p w14:paraId="73C4B5C2" w14:textId="31CD9875">
              <w:pPr>
                <w:tabs>
                  <w:tab w:val="left" w:pos="1418"/>
                </w:tabs>
                <w:overflowPunct w:val="0"/>
                <w:ind w:firstLine="851"/>
                <w:jc w:val="both"/>
                <w:textAlignment w:val="baseline"/>
                <w:rPr>
                  <w:szCs w:val="24"/>
                  <w:lang w:eastAsia="lt-LT"/>
                </w:rPr>
              </w:pPr>
              <w:sdt>
                <w:sdtPr>
                  <w:alias w:val="Numeris"/>
                  <w:tag w:val="nr_86f360203c3747808fde30226a633cf2"/>
                  <w:lock w:val="sdtLocked"/>
                  <w:richText/>
                </w:sdtPr>
                <w:sdtContent>
                  <w:r>
                    <w:rPr>
                      <w:szCs w:val="24"/>
                      <w:lang w:eastAsia="lt-LT"/>
                    </w:rPr>
                    <w:t>3</w:t>
                  </w:r>
                </w:sdtContent>
              </w:sdt>
              <w:r>
                <w:rPr>
                  <w:szCs w:val="24"/>
                  <w:lang w:eastAsia="lt-LT"/>
                </w:rPr>
                <w:t>.</w:t>
                <w:tab/>
              </w:r>
              <w:r>
                <w:rPr>
                  <w:szCs w:val="24"/>
                </w:rPr>
                <w:t>Pakeičiu</w:t>
              </w:r>
              <w:r>
                <w:rPr>
                  <w:color w:val="000000"/>
                  <w:szCs w:val="24"/>
                  <w:lang w:eastAsia="lt-LT"/>
                </w:rPr>
                <w:t xml:space="preserve"> </w:t>
              </w:r>
              <w:r>
                <w:rPr>
                  <w:szCs w:val="24"/>
                </w:rPr>
                <w:t xml:space="preserve">1 priedo 5.4.2 papunktį </w:t>
              </w:r>
              <w:r>
                <w:rPr>
                  <w:color w:val="000000"/>
                  <w:szCs w:val="24"/>
                  <w:lang w:eastAsia="lt-LT"/>
                </w:rPr>
                <w:t>ir jį išdėstau taip:</w:t>
              </w:r>
            </w:p>
            <w:p w14:paraId="5C7DD3D4" w14:textId="77777777">
              <w:pPr>
                <w:tabs>
                  <w:tab w:val="left" w:pos="0"/>
                  <w:tab w:val="left" w:pos="567"/>
                  <w:tab w:val="left" w:pos="851"/>
                </w:tabs>
                <w:jc w:val="both"/>
                <w:rPr>
                  <w:color w:val="000000"/>
                  <w:szCs w:val="24"/>
                  <w:lang w:eastAsia="lt-LT"/>
                </w:rPr>
              </w:pPr>
              <w:r>
                <w:rPr>
                  <w:color w:val="000000"/>
                  <w:szCs w:val="24"/>
                  <w:lang w:eastAsia="lt-LT"/>
                </w:rPr>
                <w:t>„</w:t>
              </w:r>
            </w:p>
            <w:sdt>
              <w:sdtPr>
                <w:alias w:val="citata"/>
                <w:tag w:val="part_4b2f840f813b482e8b6807bb084d342a"/>
                <w:lock w:val="sdtLocked"/>
                <w:richText/>
              </w:sdtPr>
              <w:sdtContent>
                <w:sdt>
                  <w:sdtPr>
                    <w:alias w:val="pastraipa"/>
                    <w:tag w:val="part_6aef0944d8c34bdbae36ec70fc61584f"/>
                    <w:lock w:val="sdtLocked"/>
                    <w:richText/>
                  </w:sdtPr>
                  <w:sdtContent>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245"/>
                        <w:gridCol w:w="2410"/>
                        <w:gridCol w:w="1134"/>
                        <w:gridCol w:w="851"/>
                      </w:tblGrid>
                      <w:tr w14:paraId="0AFE1247" w14:textId="77777777">
                        <w:trPr>
                          <w:trHeight w:val="18"/>
                        </w:trPr>
                        <w:tc>
                          <w:tcPr>
                            <w:tcW w:w="5245" w:type="dxa"/>
                            <w:tcBorders>
                              <w:top w:val="single" w:sz="4" w:space="0" w:color="000000"/>
                              <w:left w:val="single" w:sz="4" w:space="0" w:color="000000"/>
                              <w:bottom w:val="single" w:sz="4" w:space="0" w:color="000000"/>
                              <w:right w:val="single" w:sz="4" w:space="0" w:color="000000"/>
                            </w:tcBorders>
                            <w:shd w:val="clear" w:color="auto" w:fill="auto"/>
                          </w:tcPr>
                          <w:p w14:paraId="62344BB3" w14:textId="6F600B1A">
                            <w:pPr>
                              <w:jc w:val="both"/>
                              <w:rPr>
                                <w:rFonts w:cs="Calibri"/>
                                <w:szCs w:val="24"/>
                                <w:lang w:eastAsia="lt-LT"/>
                              </w:rPr>
                            </w:pPr>
                            <w:r>
                              <w:rPr>
                                <w:rFonts w:cs="Calibri"/>
                                <w:szCs w:val="24"/>
                                <w:lang w:eastAsia="lt-LT"/>
                              </w:rPr>
                              <w:t xml:space="preserve">5.4.2. paraiškos </w:t>
                            </w:r>
                            <w:r>
                              <w:rPr>
                                <w:szCs w:val="24"/>
                              </w:rPr>
                              <w:t xml:space="preserve">pateikimo dieną </w:t>
                            </w:r>
                            <w:r>
                              <w:rPr>
                                <w:rFonts w:cs="Calibri"/>
                                <w:szCs w:val="24"/>
                                <w:lang w:eastAsia="lt-LT"/>
                              </w:rPr>
                              <w:t xml:space="preserve">pareiškėjas ir partneris (-iai) neturi su mokesčių ir socialinio draudimo įmokų mokėjimu </w:t>
                            </w:r>
                            <w:r>
                              <w:rPr>
                                <w:szCs w:val="24"/>
                              </w:rPr>
                              <w:t>susijusių skolų</w:t>
                            </w:r>
                            <w:r>
                              <w:rPr>
                                <w:rFonts w:cs="Calibri"/>
                                <w:szCs w:val="24"/>
                                <w:lang w:eastAsia="lt-LT"/>
                              </w:rPr>
                              <w:t xml:space="preserve"> pagal Lietuvos Respublikos teisės aktus arba pagal kitos valstybės teisės aktus, jei pareiškėjas ir partneris (-iai) yra užsienyje registruotas juridinis asmuo (asmenys) ar fizinis (-iai) asmuo (asmenys) yra užsienio pilietis (-čiai), </w:t>
                            </w:r>
                            <w:r>
                              <w:rPr>
                                <w:rFonts w:cs="Calibri"/>
                                <w:szCs w:val="24"/>
                              </w:rPr>
                              <w:t xml:space="preserve">arba kiekvienu atveju skola neviršija 50 eurų </w:t>
                            </w:r>
                            <w:r>
                              <w:rPr>
                                <w:rFonts w:cs="Calibri"/>
                                <w:i/>
                                <w:szCs w:val="24"/>
                              </w:rPr>
                              <w:t>(tikrinama ne vėliau kaip per 7 dienas nuo paraiškos gavimo dienos; jei nustatoma, kad skola viršija 50 eurų, pareiškėjui leidžiama dokumentais pagrįsti, kad paraiškos pateikimo dieną skola neviršijo 50 eurų)</w:t>
                            </w:r>
                            <w:r>
                              <w:rPr>
                                <w:i/>
                                <w:iCs/>
                                <w:szCs w:val="24"/>
                              </w:rPr>
                              <w:t xml:space="preserve"> </w:t>
                            </w:r>
                            <w:r>
                              <w:rPr>
                                <w:rFonts w:cs="Calibri"/>
                                <w:i/>
                                <w:szCs w:val="24"/>
                                <w:lang w:eastAsia="lt-LT"/>
                              </w:rPr>
                              <w:t xml:space="preserve"> (ši nuostata netaikoma įstaigoms, kurių veikla finansuojama iš Lietuvos Respublikos valstybės ir (arba) savivaldybių biudžetų ir (arba) valstybės pinigų fondų, ir pareiškėjams, kuriems Lietuvos Respublikos teisės aktų nustatyta tvarka yra atidėti mokesčių arba socialinio draudimo įmokų mokėjimo terminai);</w:t>
                            </w:r>
                          </w:p>
                        </w:tc>
                        <w:tc>
                          <w:tcPr>
                            <w:tcW w:w="2410" w:type="dxa"/>
                            <w:tcBorders>
                              <w:top w:val="single" w:sz="4" w:space="0" w:color="000000"/>
                              <w:left w:val="single" w:sz="4" w:space="0" w:color="000000"/>
                              <w:bottom w:val="single" w:sz="4" w:space="0" w:color="000000"/>
                              <w:right w:val="single" w:sz="4" w:space="0" w:color="000000"/>
                            </w:tcBorders>
                          </w:tcPr>
                          <w:p w14:paraId="0B48EA26" w14:textId="77777777">
                            <w:pPr>
                              <w:jc w:val="both"/>
                              <w:rPr>
                                <w:rFonts w:cs="Calibri"/>
                                <w:i/>
                                <w:szCs w:val="24"/>
                                <w:lang w:eastAsia="lt-LT"/>
                              </w:rPr>
                            </w:pPr>
                            <w:r>
                              <w:rPr>
                                <w:rFonts w:cs="Calibri"/>
                                <w:i/>
                                <w:iCs/>
                                <w:szCs w:val="24"/>
                                <w:lang w:eastAsia="lt-LT"/>
                              </w:rPr>
                              <w:t>Informacijos šaltinis: paraiška, Valstybinio socialinio draudimo fondo valdybos prie Lietuvos Respublikos socialinės apsaugos ir darbo ministerijos ir Valstybinės mokesčių inspekcijos prie Lietuvos Respublikos finansų ministerijos pateikta informacija.</w:t>
                            </w:r>
                          </w:p>
                        </w:tc>
                        <w:tc>
                          <w:tcPr>
                            <w:tcW w:w="1134" w:type="dxa"/>
                            <w:tcBorders>
                              <w:top w:val="single" w:sz="4" w:space="0" w:color="000000"/>
                              <w:left w:val="single" w:sz="4" w:space="0" w:color="000000"/>
                              <w:bottom w:val="single" w:sz="4" w:space="0" w:color="000000"/>
                              <w:right w:val="single" w:sz="4" w:space="0" w:color="000000"/>
                            </w:tcBorders>
                          </w:tcPr>
                          <w:p w14:paraId="074B584C" w14:textId="77777777">
                            <w:pPr>
                              <w:jc w:val="center"/>
                              <w:rPr>
                                <w:szCs w:val="24"/>
                                <w:lang w:eastAsia="lt-LT"/>
                              </w:rPr>
                            </w:pPr>
                          </w:p>
                        </w:tc>
                        <w:tc>
                          <w:tcPr>
                            <w:tcW w:w="851" w:type="dxa"/>
                            <w:tcBorders>
                              <w:top w:val="single" w:sz="4" w:space="0" w:color="000000"/>
                              <w:left w:val="single" w:sz="4" w:space="0" w:color="000000"/>
                              <w:bottom w:val="single" w:sz="4" w:space="0" w:color="000000"/>
                              <w:right w:val="single" w:sz="4" w:space="0" w:color="000000"/>
                            </w:tcBorders>
                          </w:tcPr>
                          <w:p w14:paraId="708720B1" w14:textId="77777777">
                            <w:pPr>
                              <w:rPr>
                                <w:szCs w:val="24"/>
                                <w:lang w:eastAsia="lt-LT"/>
                              </w:rPr>
                            </w:pPr>
                          </w:p>
                        </w:tc>
                      </w:tr>
                    </w:tbl>
                    <w:p w14:paraId="500FD787" w14:textId="77777777">
                      <w:pPr>
                        <w:tabs>
                          <w:tab w:val="left" w:pos="0"/>
                          <w:tab w:val="left" w:pos="567"/>
                          <w:tab w:val="left" w:pos="851"/>
                        </w:tabs>
                        <w:jc w:val="right"/>
                        <w:rPr>
                          <w:color w:val="000000"/>
                          <w:szCs w:val="24"/>
                          <w:lang w:eastAsia="lt-LT"/>
                        </w:rPr>
                      </w:pPr>
                      <w:r>
                        <w:rPr>
                          <w:color w:val="000000"/>
                          <w:szCs w:val="24"/>
                          <w:lang w:eastAsia="lt-LT"/>
                        </w:rPr>
                        <w:t>“</w:t>
                      </w:r>
                    </w:p>
                  </w:sdtContent>
                </w:sdt>
              </w:sdtContent>
            </w:sdt>
          </w:sdtContent>
        </w:sdt>
        <w:sdt>
          <w:sdtPr>
            <w:alias w:val="4 p."/>
            <w:tag w:val="part_f98f6cfe21d14ade9b8f8cc925085e94"/>
            <w:lock w:val="sdtLocked"/>
            <w:richText/>
          </w:sdtPr>
          <w:sdtContent>
            <w:p w14:paraId="0ACC368E" w14:textId="6DBB718E">
              <w:pPr>
                <w:tabs>
                  <w:tab w:val="left" w:pos="0"/>
                  <w:tab w:val="left" w:pos="567"/>
                  <w:tab w:val="left" w:pos="851"/>
                </w:tabs>
                <w:ind w:left="1211" w:hanging="360"/>
                <w:jc w:val="both"/>
                <w:rPr>
                  <w:color w:val="000000"/>
                  <w:szCs w:val="24"/>
                  <w:lang w:eastAsia="lt-LT"/>
                </w:rPr>
              </w:pPr>
              <w:sdt>
                <w:sdtPr>
                  <w:alias w:val="Numeris"/>
                  <w:tag w:val="nr_f98f6cfe21d14ade9b8f8cc925085e94"/>
                  <w:lock w:val="sdtLocked"/>
                  <w:richText/>
                </w:sdtPr>
                <w:sdtContent>
                  <w:r>
                    <w:rPr>
                      <w:color w:val="000000"/>
                      <w:szCs w:val="24"/>
                      <w:lang w:eastAsia="lt-LT"/>
                    </w:rPr>
                    <w:t>4</w:t>
                  </w:r>
                </w:sdtContent>
              </w:sdt>
              <w:r>
                <w:rPr>
                  <w:color w:val="000000"/>
                  <w:szCs w:val="24"/>
                  <w:lang w:eastAsia="lt-LT"/>
                </w:rPr>
                <w:t>.</w:t>
                <w:tab/>
                <w:t xml:space="preserve">Pakeičiu </w:t>
              </w:r>
              <w:r>
                <w:rPr>
                  <w:szCs w:val="24"/>
                </w:rPr>
                <w:t xml:space="preserve">1 priedo 5.4.3 papunktį </w:t>
              </w:r>
              <w:r>
                <w:rPr>
                  <w:color w:val="000000"/>
                  <w:szCs w:val="24"/>
                  <w:lang w:eastAsia="lt-LT"/>
                </w:rPr>
                <w:t>ir jį išdėstau taip:</w:t>
              </w:r>
            </w:p>
            <w:p w14:paraId="57559743" w14:textId="77777777">
              <w:pPr>
                <w:tabs>
                  <w:tab w:val="left" w:pos="0"/>
                  <w:tab w:val="left" w:pos="567"/>
                  <w:tab w:val="left" w:pos="851"/>
                </w:tabs>
                <w:jc w:val="both"/>
                <w:rPr>
                  <w:color w:val="000000"/>
                  <w:szCs w:val="24"/>
                  <w:lang w:eastAsia="lt-LT"/>
                </w:rPr>
              </w:pPr>
              <w:r>
                <w:rPr>
                  <w:color w:val="000000"/>
                  <w:szCs w:val="24"/>
                  <w:lang w:eastAsia="lt-LT"/>
                </w:rPr>
                <w:t>„</w:t>
              </w:r>
            </w:p>
            <w:sdt>
              <w:sdtPr>
                <w:alias w:val="citata"/>
                <w:tag w:val="part_5545616507f4480492e7e838dad23bad"/>
                <w:lock w:val="sdtLocked"/>
                <w:richText/>
              </w:sdtPr>
              <w:sdtContent>
                <w:sdt>
                  <w:sdtPr>
                    <w:alias w:val="pastraipa"/>
                    <w:tag w:val="part_e21798f703bb44e4bc115eb995d07a60"/>
                    <w:lock w:val="sdtLocked"/>
                    <w:richText/>
                  </w:sdtPr>
                  <w:sdtContent>
                    <w:tbl>
                      <w:tblPr>
                        <w:tblW w:w="974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245"/>
                        <w:gridCol w:w="2410"/>
                        <w:gridCol w:w="992"/>
                        <w:gridCol w:w="1095"/>
                      </w:tblGrid>
                      <w:tr w14:paraId="7AE9F719" w14:textId="77777777">
                        <w:trPr>
                          <w:trHeight w:val="18"/>
                        </w:trPr>
                        <w:tc>
                          <w:tcPr>
                            <w:tcW w:w="5245" w:type="dxa"/>
                            <w:tcBorders>
                              <w:top w:val="single" w:sz="4" w:space="0" w:color="000000"/>
                              <w:left w:val="single" w:sz="4" w:space="0" w:color="000000"/>
                              <w:bottom w:val="single" w:sz="4" w:space="0" w:color="000000"/>
                              <w:right w:val="single" w:sz="4" w:space="0" w:color="000000"/>
                            </w:tcBorders>
                            <w:shd w:val="clear" w:color="auto" w:fill="auto"/>
                          </w:tcPr>
                          <w:p w14:paraId="0998CF98" w14:textId="6EBBC47B">
                            <w:pPr>
                              <w:jc w:val="both"/>
                              <w:rPr>
                                <w:rFonts w:cs="Calibri"/>
                                <w:sz w:val="22"/>
                                <w:szCs w:val="22"/>
                                <w:lang w:eastAsia="lt-LT"/>
                              </w:rPr>
                            </w:pPr>
                            <w:r>
                              <w:rPr>
                                <w:rFonts w:cs="Calibri"/>
                                <w:sz w:val="22"/>
                                <w:szCs w:val="22"/>
                                <w:lang w:eastAsia="lt-LT"/>
                              </w:rPr>
                              <w:t>5.</w:t>
                            </w:r>
                            <w:r>
                              <w:rPr>
                                <w:rFonts w:cs="Calibri"/>
                                <w:szCs w:val="24"/>
                                <w:lang w:eastAsia="lt-LT"/>
                              </w:rPr>
                              <w:t xml:space="preserve">4.3. paraiškos vertinimo metu pareiškėjas ir partneris (-iai), kurie yra fiziniai asmenys, arba pareiškėjo ir partnerio (-ių), kurie yra juridiniai asmenys, vadovas, pagrindinis akcininkas (turintis daugiau nei 50 proc. akcijų) ar savininkas ūkinės bendrijos tikrasis narys (-iai) ar mažosios bendrijos atstovas (-ai), turintis (-ys) teisę juridinio asmens vardu sudaryti sandorį, ar buhalteris (-iai), ar kitas (kiti) asmuo (asmenys), turintis (-ys) teisę surašyti ir pasirašyti pareiškėjo apskaitos dokumentus, neturi neišnykusio arba nepanaikinto teistumo arba dėl pareiškėjo ir partnerio (-ių) per paskutinius 5 metus nebuvo priimtas ir įsiteisėjęs apkaltinamasis teismo nuosprendis </w:t>
                            </w:r>
                            <w:r>
                              <w:rPr>
                                <w:rFonts w:cs="Calibri"/>
                                <w:szCs w:val="24"/>
                              </w:rPr>
                              <w:t>už dalyvavimą bendrininkų grupėje, organizuotoje grupėje, nusikalstamame susivienijime, jų organizavimą ar vadovavimą jiems, kyšininkavimą, prekybą poveikiu, papirkimą, piktnaudžiavimą, tarnybos pareigų neatlikimą, sukčiavimą, turto pasisavinimą, turto iššvaistymą, turtinės žalos padarymą apgaule, turto sunaikinimą ar sugadinimą, neteisėtą praturtėjimą, kontrabandą, muitinės apgaulę, neteisėtą disponavimą akcizais apmokestinamomis prekėmis, neteisėtą prekių ar produkcijos neišvežimą iš Lietuvos Respublikos, neteisėtą vertimąsi ūkine, komercine, finansine ar profesine veikla, neteisėtą juridinio asmens veiklą, svetimo prekių ar paslaugų ženklo naudojimą, apgaulingą pareiškimą apie juridinio asmens veiklą, mokesčių nesumokėjimą, kredito, paskolos ar tikslinės paramos panaudojimą ne pagal paskirtį ar nustatytą tvarką, kreditinį sukčiavimą, skolininko nesąžiningumą, nusikalstamą bankrotą, netikros elektroninės mokėjimo priemonės gaminimą, tikros elektroninės mokėjimo priemonės klastojimą ar neteisėtą disponavimą elektronine mokėjimo priemone arba jos duomenimis, neteisėtą elektroninės mokėjimo priemonės ar jos duomenų panaudojimą, neteisingų duomenų apie pajamas, pelną ar turtą pateikimą, deklaracijos, ataskaitos ar kito dokumento nepateikimą, apgaulingą ar aplaidų apskaitos tvarkymą, nusikalstamu būdu gauto turto įgijimą ar realizavimą, nusikalstamu būdu įgytų pinigų ar turto legalizavimą, netikrų pinigų ar vertybinių popierių pagaminimą, laikymą arba realizavimą, dokumento suklastojimą ar disponavimą suklastotu dokumentu, antspaudo, spaudo ar blanko suklastojimą, dalyvavimą kokioje nors kitoje neteisėtoje veikloje, kenkiančioje Lietuvos Respublikos ir (arba) ES finansiniams interesams</w:t>
                            </w:r>
                            <w:r>
                              <w:rPr>
                                <w:rFonts w:cs="Calibri"/>
                                <w:szCs w:val="24"/>
                                <w:lang w:eastAsia="lt-LT"/>
                              </w:rPr>
                              <w:t xml:space="preserve"> </w:t>
                            </w:r>
                            <w:r>
                              <w:rPr>
                                <w:i/>
                                <w:iCs/>
                                <w:color w:val="000000"/>
                                <w:szCs w:val="24"/>
                              </w:rPr>
                              <w:t>(</w:t>
                            </w:r>
                            <w:r>
                              <w:rPr>
                                <w:rFonts w:cs="Calibri"/>
                                <w:i/>
                                <w:szCs w:val="24"/>
                              </w:rPr>
                              <w:t xml:space="preserve">šis apribojimas netaikomas, </w:t>
                            </w:r>
                            <w:r>
                              <w:rPr>
                                <w:rFonts w:cs="Calibri"/>
                                <w:szCs w:val="24"/>
                                <w:lang w:eastAsia="lt-LT"/>
                              </w:rPr>
                              <w:t xml:space="preserve">jei pareiškėjo arba partnerio (-ių) veikla yra finansuojama iš Lietuvos Respublikos valstybės ir (arba) savivaldybių biudžetų ir (arba) valstybės pinigų fondų, </w:t>
                            </w:r>
                            <w:r>
                              <w:rPr>
                                <w:rFonts w:cs="Calibri"/>
                                <w:i/>
                                <w:szCs w:val="24"/>
                                <w:lang w:eastAsia="lt-LT"/>
                              </w:rPr>
                              <w:t xml:space="preserve">taip pat </w:t>
                            </w:r>
                            <w:r>
                              <w:rPr>
                                <w:rFonts w:cs="Calibri"/>
                                <w:i/>
                                <w:szCs w:val="24"/>
                              </w:rPr>
                              <w:t>Europos investicijų fondui ir Europos investicijų bankui</w:t>
                            </w:r>
                            <w:r>
                              <w:rPr>
                                <w:rFonts w:cs="Calibri"/>
                                <w:szCs w:val="24"/>
                                <w:lang w:eastAsia="lt-LT"/>
                              </w:rPr>
                              <w:t>);</w:t>
                            </w:r>
                          </w:p>
                        </w:tc>
                        <w:tc>
                          <w:tcPr>
                            <w:tcW w:w="2410" w:type="dxa"/>
                            <w:tcBorders>
                              <w:top w:val="single" w:sz="4" w:space="0" w:color="000000"/>
                              <w:left w:val="single" w:sz="4" w:space="0" w:color="000000"/>
                              <w:bottom w:val="single" w:sz="4" w:space="0" w:color="000000"/>
                              <w:right w:val="single" w:sz="4" w:space="0" w:color="000000"/>
                            </w:tcBorders>
                          </w:tcPr>
                          <w:p w14:paraId="46609D0F" w14:textId="77777777">
                            <w:pPr>
                              <w:jc w:val="both"/>
                              <w:rPr>
                                <w:i/>
                                <w:sz w:val="22"/>
                                <w:szCs w:val="22"/>
                                <w:lang w:eastAsia="lt-LT"/>
                              </w:rPr>
                            </w:pPr>
                            <w:r>
                              <w:rPr>
                                <w:i/>
                                <w:sz w:val="22"/>
                                <w:szCs w:val="22"/>
                                <w:lang w:eastAsia="lt-LT"/>
                              </w:rPr>
                              <w:t>Informacijos šaltinis: paraiška.</w:t>
                            </w:r>
                          </w:p>
                          <w:p w14:paraId="0376340D" w14:textId="77777777">
                            <w:pPr>
                              <w:jc w:val="both"/>
                              <w:rPr>
                                <w:i/>
                                <w:sz w:val="22"/>
                                <w:szCs w:val="22"/>
                                <w:lang w:eastAsia="lt-LT"/>
                              </w:rPr>
                            </w:pPr>
                          </w:p>
                        </w:tc>
                        <w:tc>
                          <w:tcPr>
                            <w:tcW w:w="992" w:type="dxa"/>
                            <w:tcBorders>
                              <w:top w:val="single" w:sz="4" w:space="0" w:color="000000"/>
                              <w:left w:val="single" w:sz="4" w:space="0" w:color="000000"/>
                              <w:bottom w:val="single" w:sz="4" w:space="0" w:color="000000"/>
                              <w:right w:val="single" w:sz="4" w:space="0" w:color="000000"/>
                            </w:tcBorders>
                          </w:tcPr>
                          <w:p w14:paraId="68B783E7" w14:textId="77777777">
                            <w:pPr>
                              <w:jc w:val="center"/>
                              <w:rPr>
                                <w:sz w:val="22"/>
                                <w:szCs w:val="22"/>
                                <w:lang w:eastAsia="lt-LT"/>
                              </w:rPr>
                            </w:pPr>
                          </w:p>
                        </w:tc>
                        <w:tc>
                          <w:tcPr>
                            <w:tcW w:w="1095" w:type="dxa"/>
                            <w:tcBorders>
                              <w:top w:val="single" w:sz="4" w:space="0" w:color="000000"/>
                              <w:left w:val="single" w:sz="4" w:space="0" w:color="000000"/>
                              <w:bottom w:val="single" w:sz="4" w:space="0" w:color="000000"/>
                              <w:right w:val="single" w:sz="4" w:space="0" w:color="000000"/>
                            </w:tcBorders>
                          </w:tcPr>
                          <w:p w14:paraId="634C2310" w14:textId="77777777">
                            <w:pPr>
                              <w:rPr>
                                <w:sz w:val="22"/>
                                <w:szCs w:val="22"/>
                                <w:lang w:eastAsia="lt-LT"/>
                              </w:rPr>
                            </w:pPr>
                          </w:p>
                        </w:tc>
                      </w:tr>
                    </w:tbl>
                    <w:p w14:paraId="7CB9758F" w14:textId="7269CEA7">
                      <w:pPr>
                        <w:tabs>
                          <w:tab w:val="left" w:pos="0"/>
                          <w:tab w:val="left" w:pos="567"/>
                          <w:tab w:val="left" w:pos="851"/>
                        </w:tabs>
                        <w:ind w:hanging="10816"/>
                        <w:jc w:val="both"/>
                        <w:rPr>
                          <w:color w:val="000000"/>
                          <w:szCs w:val="24"/>
                          <w:lang w:eastAsia="lt-LT"/>
                        </w:rPr>
                      </w:pPr>
                      <w:r>
                        <w:rPr>
                          <w:color w:val="000000"/>
                          <w:szCs w:val="24"/>
                          <w:lang w:eastAsia="lt-LT"/>
                        </w:rPr>
                        <w:t>“</w:t>
                      </w:r>
                    </w:p>
                    <w:p w14:paraId="441BE3C0" w14:textId="77777777">
                      <w:pPr>
                        <w:spacing w:line="276" w:lineRule="auto"/>
                        <w:rPr>
                          <w:color w:val="000000"/>
                          <w:szCs w:val="24"/>
                          <w:lang w:eastAsia="lt-LT"/>
                        </w:rPr>
                      </w:pPr>
                    </w:p>
                    <w:p w14:paraId="7CFD0DE5" w14:textId="77777777">
                      <w:pPr>
                        <w:spacing w:line="276" w:lineRule="auto"/>
                        <w:ind w:left="1211" w:hanging="1211"/>
                        <w:rPr>
                          <w:color w:val="000000"/>
                          <w:szCs w:val="24"/>
                          <w:lang w:eastAsia="lt-LT"/>
                        </w:rPr>
                      </w:pPr>
                    </w:p>
                  </w:sdtContent>
                </w:sdt>
              </w:sdtContent>
            </w:sdt>
          </w:sdtContent>
        </w:sdt>
        <w:sdt>
          <w:sdtPr>
            <w:alias w:val="signatura"/>
            <w:tag w:val="part_d064ad23ed5e4907bdc838f26a61dbcc"/>
            <w:lock w:val="sdtLocked"/>
            <w:richText/>
          </w:sdtPr>
          <w:sdtContent>
            <w:p w14:paraId="130AFF88" w14:textId="77777777">
              <w:pPr>
                <w:spacing w:line="276" w:lineRule="auto"/>
                <w:ind w:left="1211" w:hanging="1211"/>
                <w:rPr>
                  <w:color w:val="000000"/>
                  <w:szCs w:val="24"/>
                  <w:lang w:eastAsia="lt-LT"/>
                </w:rPr>
              </w:pPr>
              <w:r>
                <w:rPr>
                  <w:color w:val="000000"/>
                  <w:szCs w:val="24"/>
                  <w:lang w:eastAsia="lt-LT"/>
                </w:rPr>
                <w:t>Energetikos ministras</w:t>
                <w:tab/>
                <w:tab/>
              </w:r>
            </w:p>
            <w:p w14:paraId="27F9C944" w14:textId="77777777">
              <w:pPr>
                <w:spacing w:line="276" w:lineRule="auto"/>
                <w:ind w:left="1211" w:hanging="1211"/>
                <w:rPr>
                  <w:color w:val="000000"/>
                  <w:szCs w:val="24"/>
                  <w:lang w:eastAsia="lt-LT"/>
                </w:rPr>
              </w:pPr>
            </w:p>
            <w:p w14:paraId="23D5C127" w14:textId="77777777">
              <w:pPr>
                <w:spacing w:line="276" w:lineRule="auto"/>
                <w:rPr>
                  <w:color w:val="000000"/>
                  <w:szCs w:val="24"/>
                  <w:lang w:eastAsia="lt-LT"/>
                </w:rPr>
              </w:pPr>
            </w:p>
            <w:p w14:paraId="5A5FB71B" w14:textId="77777777">
              <w:pPr>
                <w:spacing w:line="276" w:lineRule="auto"/>
                <w:ind w:left="1211" w:hanging="1211"/>
                <w:rPr>
                  <w:color w:val="000000"/>
                  <w:szCs w:val="24"/>
                  <w:lang w:eastAsia="lt-LT"/>
                </w:rPr>
              </w:pPr>
            </w:p>
            <w:p w14:paraId="25005AA8" w14:textId="77777777">
              <w:pPr>
                <w:spacing w:line="276" w:lineRule="auto"/>
                <w:ind w:left="1211" w:hanging="1211"/>
                <w:rPr>
                  <w:color w:val="000000"/>
                  <w:szCs w:val="24"/>
                  <w:lang w:eastAsia="lt-LT"/>
                </w:rPr>
              </w:pPr>
              <w:r>
                <w:rPr>
                  <w:color w:val="000000"/>
                  <w:szCs w:val="24"/>
                  <w:lang w:eastAsia="lt-LT"/>
                </w:rPr>
                <w:t>SUDERINTA</w:t>
              </w:r>
            </w:p>
            <w:p w14:paraId="19A29C53" w14:textId="77777777">
              <w:pPr>
                <w:spacing w:line="276" w:lineRule="auto"/>
                <w:ind w:left="1211" w:hanging="1211"/>
                <w:rPr>
                  <w:color w:val="000000"/>
                  <w:szCs w:val="24"/>
                  <w:lang w:eastAsia="lt-LT"/>
                </w:rPr>
              </w:pPr>
              <w:r>
                <w:rPr>
                  <w:color w:val="000000"/>
                  <w:szCs w:val="24"/>
                  <w:lang w:eastAsia="lt-LT"/>
                </w:rPr>
                <w:t>Viešosios įstaigos Lietuvos verslo paramos agentūros</w:t>
              </w:r>
            </w:p>
            <w:p w14:paraId="0E53E5F6" w14:textId="6CF66708">
              <w:pPr>
                <w:spacing w:line="276" w:lineRule="auto"/>
                <w:ind w:left="1211" w:hanging="1211"/>
                <w:rPr>
                  <w:color w:val="000000"/>
                  <w:szCs w:val="24"/>
                  <w:lang w:eastAsia="lt-LT"/>
                </w:rPr>
              </w:pPr>
              <w:r>
                <w:rPr>
                  <w:color w:val="000000"/>
                  <w:szCs w:val="24"/>
                  <w:lang w:eastAsia="lt-LT"/>
                </w:rPr>
                <w:t xml:space="preserve">2018 m.                           d. raštu Nr.</w:t>
              </w:r>
            </w:p>
            <w:p w14:paraId="571618DB" w14:textId="77777777">
              <w:pPr>
                <w:tabs>
                  <w:tab w:val="left" w:pos="1418"/>
                </w:tabs>
                <w:overflowPunct w:val="0"/>
                <w:ind w:left="1211"/>
                <w:jc w:val="both"/>
                <w:textAlignment w:val="baseline"/>
                <w:rPr>
                  <w:szCs w:val="24"/>
                </w:rPr>
              </w:pP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89CCEE" w14:textId="77777777">
      <w:pPr>
        <w:rPr>
          <w:rFonts w:ascii="Calibri" w:hAnsi="Calibri" w:cs="Calibri"/>
          <w:sz w:val="22"/>
          <w:szCs w:val="22"/>
        </w:rPr>
      </w:pPr>
      <w:r>
        <w:rPr>
          <w:rFonts w:ascii="Calibri" w:hAnsi="Calibri" w:cs="Calibri"/>
          <w:sz w:val="22"/>
          <w:szCs w:val="22"/>
        </w:rPr>
        <w:separator/>
      </w:r>
    </w:p>
  </w:endnote>
  <w:endnote w:type="continuationSeparator" w:id="0">
    <w:p w14:paraId="4898BF10" w14:textId="77777777">
      <w:pPr>
        <w:rPr>
          <w:rFonts w:ascii="Calibri" w:hAnsi="Calibri" w:cs="Calibri"/>
          <w:sz w:val="22"/>
          <w:szCs w:val="22"/>
        </w:rPr>
      </w:pPr>
      <w:r>
        <w:rPr>
          <w:rFonts w:ascii="Calibri" w:hAnsi="Calibri" w:cs="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A69058" w14:textId="77777777">
    <w:pPr>
      <w:tabs>
        <w:tab w:val="center" w:pos="4819"/>
        <w:tab w:val="right" w:pos="9638"/>
      </w:tabs>
      <w:rPr>
        <w:rFonts w:ascii="Calibri" w:hAnsi="Calibri" w:cs="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F16D2A" w14:textId="77777777">
    <w:pPr>
      <w:tabs>
        <w:tab w:val="center" w:pos="4819"/>
        <w:tab w:val="right" w:pos="9638"/>
      </w:tabs>
      <w:rPr>
        <w:rFonts w:ascii="Calibri" w:hAnsi="Calibri" w:cs="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E6929D" w14:textId="77777777">
    <w:pPr>
      <w:tabs>
        <w:tab w:val="center" w:pos="4819"/>
        <w:tab w:val="right" w:pos="9638"/>
      </w:tabs>
      <w:rPr>
        <w:rFonts w:ascii="Calibri" w:hAnsi="Calibri" w:cs="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E02F45A" w14:textId="77777777">
      <w:pPr>
        <w:rPr>
          <w:rFonts w:ascii="Calibri" w:hAnsi="Calibri" w:cs="Calibri"/>
          <w:sz w:val="22"/>
          <w:szCs w:val="22"/>
        </w:rPr>
      </w:pPr>
      <w:r>
        <w:rPr>
          <w:rFonts w:ascii="Calibri" w:hAnsi="Calibri" w:cs="Calibri"/>
          <w:sz w:val="22"/>
          <w:szCs w:val="22"/>
        </w:rPr>
        <w:separator/>
      </w:r>
    </w:p>
  </w:footnote>
  <w:footnote w:type="continuationSeparator" w:id="0">
    <w:p w14:paraId="78E614C0" w14:textId="77777777">
      <w:pPr>
        <w:rPr>
          <w:rFonts w:ascii="Calibri" w:hAnsi="Calibri" w:cs="Calibri"/>
          <w:sz w:val="22"/>
          <w:szCs w:val="22"/>
        </w:rPr>
      </w:pPr>
      <w:r>
        <w:rPr>
          <w:rFonts w:ascii="Calibri" w:hAnsi="Calibri" w:cs="Calibri"/>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963B1" w14:textId="77777777">
    <w:pPr>
      <w:tabs>
        <w:tab w:val="center" w:pos="4819"/>
        <w:tab w:val="right" w:pos="9638"/>
      </w:tabs>
      <w:rPr>
        <w:rFonts w:ascii="Calibri" w:hAnsi="Calibri" w:cs="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EC6A19" w14:textId="1474CD36">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14:paraId="5CEC6A1A" w14:textId="77777777">
    <w:pPr>
      <w:tabs>
        <w:tab w:val="center" w:pos="4819"/>
        <w:tab w:val="right" w:pos="9638"/>
      </w:tabs>
      <w:rPr>
        <w:rFonts w:ascii="Calibri" w:hAnsi="Calibri" w:cs="Calibri"/>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EC6A1B" w14:textId="77777777">
    <w:pPr>
      <w:tabs>
        <w:tab w:val="center" w:pos="4819"/>
        <w:tab w:val="right" w:pos="9638"/>
      </w:tabs>
      <w:rPr>
        <w:rFonts w:ascii="Calibri" w:hAnsi="Calibri" w:cs="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396"/>
  <w:doNotHyphenateCaps/>
  <w:characterSpacingControl w:val="doNotCompress"/>
  <w:doNotValidateAgainstSchema/>
  <w:doNotDemarcateInvalidXml/>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01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oNotEmbedSmartTags/>
  <w:decimalSymbol w:val="."/>
  <w:listSeparator w:val=","/>
  <w14:docId w14:val="5CEC695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sChild>
        <w:div w:id="68">
          <w:marLeft w:val="0"/>
          <w:marRight w:val="0"/>
          <w:marTop w:val="0"/>
          <w:marBottom w:val="0"/>
          <w:divBdr>
            <w:top w:val="none" w:sz="0" w:space="0" w:color="auto"/>
            <w:left w:val="none" w:sz="0" w:space="0" w:color="auto"/>
            <w:bottom w:val="none" w:sz="0" w:space="0" w:color="auto"/>
            <w:right w:val="none" w:sz="0" w:space="0" w:color="auto"/>
          </w:divBdr>
          <w:divsChild>
            <w:div w:id="111">
              <w:marLeft w:val="0"/>
              <w:marRight w:val="0"/>
              <w:marTop w:val="0"/>
              <w:marBottom w:val="0"/>
              <w:divBdr>
                <w:top w:val="none" w:sz="0" w:space="0" w:color="auto"/>
                <w:left w:val="none" w:sz="0" w:space="0" w:color="auto"/>
                <w:bottom w:val="none" w:sz="0" w:space="0" w:color="auto"/>
                <w:right w:val="none" w:sz="0" w:space="0" w:color="auto"/>
              </w:divBdr>
              <w:divsChild>
                <w:div w:id="97">
                  <w:marLeft w:val="0"/>
                  <w:marRight w:val="0"/>
                  <w:marTop w:val="0"/>
                  <w:marBottom w:val="0"/>
                  <w:divBdr>
                    <w:top w:val="none" w:sz="0" w:space="0" w:color="auto"/>
                    <w:left w:val="none" w:sz="0" w:space="0" w:color="auto"/>
                    <w:bottom w:val="none" w:sz="0" w:space="0" w:color="auto"/>
                    <w:right w:val="none" w:sz="0" w:space="0" w:color="auto"/>
                  </w:divBdr>
                  <w:divsChild>
                    <w:div w:id="116">
                      <w:marLeft w:val="0"/>
                      <w:marRight w:val="0"/>
                      <w:marTop w:val="0"/>
                      <w:marBottom w:val="0"/>
                      <w:divBdr>
                        <w:top w:val="none" w:sz="0" w:space="0" w:color="auto"/>
                        <w:left w:val="none" w:sz="0" w:space="0" w:color="auto"/>
                        <w:bottom w:val="none" w:sz="0" w:space="0" w:color="auto"/>
                        <w:right w:val="none" w:sz="0" w:space="0" w:color="auto"/>
                      </w:divBdr>
                      <w:divsChild>
                        <w:div w:id="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
      <w:marLeft w:val="0"/>
      <w:marRight w:val="0"/>
      <w:marTop w:val="0"/>
      <w:marBottom w:val="0"/>
      <w:divBdr>
        <w:top w:val="none" w:sz="0" w:space="0" w:color="auto"/>
        <w:left w:val="none" w:sz="0" w:space="0" w:color="auto"/>
        <w:bottom w:val="none" w:sz="0" w:space="0" w:color="auto"/>
        <w:right w:val="none" w:sz="0" w:space="0" w:color="auto"/>
      </w:divBdr>
      <w:divsChild>
        <w:div w:id="76">
          <w:marLeft w:val="0"/>
          <w:marRight w:val="0"/>
          <w:marTop w:val="0"/>
          <w:marBottom w:val="0"/>
          <w:divBdr>
            <w:top w:val="none" w:sz="0" w:space="0" w:color="auto"/>
            <w:left w:val="none" w:sz="0" w:space="0" w:color="auto"/>
            <w:bottom w:val="none" w:sz="0" w:space="0" w:color="auto"/>
            <w:right w:val="none" w:sz="0" w:space="0" w:color="auto"/>
          </w:divBdr>
          <w:divsChild>
            <w:div w:id="113">
              <w:marLeft w:val="0"/>
              <w:marRight w:val="0"/>
              <w:marTop w:val="0"/>
              <w:marBottom w:val="0"/>
              <w:divBdr>
                <w:top w:val="none" w:sz="0" w:space="0" w:color="auto"/>
                <w:left w:val="none" w:sz="0" w:space="0" w:color="auto"/>
                <w:bottom w:val="none" w:sz="0" w:space="0" w:color="auto"/>
                <w:right w:val="none" w:sz="0" w:space="0" w:color="auto"/>
              </w:divBdr>
              <w:divsChild>
                <w:div w:id="67">
                  <w:marLeft w:val="0"/>
                  <w:marRight w:val="0"/>
                  <w:marTop w:val="0"/>
                  <w:marBottom w:val="0"/>
                  <w:divBdr>
                    <w:top w:val="none" w:sz="0" w:space="0" w:color="auto"/>
                    <w:left w:val="none" w:sz="0" w:space="0" w:color="auto"/>
                    <w:bottom w:val="none" w:sz="0" w:space="0" w:color="auto"/>
                    <w:right w:val="none" w:sz="0" w:space="0" w:color="auto"/>
                  </w:divBdr>
                </w:div>
                <w:div w:id="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
      <w:marLeft w:val="225"/>
      <w:marRight w:val="225"/>
      <w:marTop w:val="0"/>
      <w:marBottom w:val="0"/>
      <w:divBdr>
        <w:top w:val="none" w:sz="0" w:space="0" w:color="auto"/>
        <w:left w:val="none" w:sz="0" w:space="0" w:color="auto"/>
        <w:bottom w:val="none" w:sz="0" w:space="0" w:color="auto"/>
        <w:right w:val="none" w:sz="0" w:space="0" w:color="auto"/>
      </w:divBdr>
      <w:divsChild>
        <w:div w:id="46">
          <w:marLeft w:val="0"/>
          <w:marRight w:val="0"/>
          <w:marTop w:val="0"/>
          <w:marBottom w:val="0"/>
          <w:divBdr>
            <w:top w:val="none" w:sz="0" w:space="0" w:color="auto"/>
            <w:left w:val="none" w:sz="0" w:space="0" w:color="auto"/>
            <w:bottom w:val="none" w:sz="0" w:space="0" w:color="auto"/>
            <w:right w:val="none" w:sz="0" w:space="0" w:color="auto"/>
          </w:divBdr>
        </w:div>
      </w:divsChild>
    </w:div>
    <w:div w:id="28">
      <w:marLeft w:val="0"/>
      <w:marRight w:val="0"/>
      <w:marTop w:val="0"/>
      <w:marBottom w:val="0"/>
      <w:divBdr>
        <w:top w:val="none" w:sz="0" w:space="0" w:color="auto"/>
        <w:left w:val="none" w:sz="0" w:space="0" w:color="auto"/>
        <w:bottom w:val="none" w:sz="0" w:space="0" w:color="auto"/>
        <w:right w:val="none" w:sz="0" w:space="0" w:color="auto"/>
      </w:divBdr>
      <w:divsChild>
        <w:div w:id="94">
          <w:marLeft w:val="0"/>
          <w:marRight w:val="0"/>
          <w:marTop w:val="0"/>
          <w:marBottom w:val="0"/>
          <w:divBdr>
            <w:top w:val="none" w:sz="0" w:space="0" w:color="auto"/>
            <w:left w:val="none" w:sz="0" w:space="0" w:color="auto"/>
            <w:bottom w:val="none" w:sz="0" w:space="0" w:color="auto"/>
            <w:right w:val="none" w:sz="0" w:space="0" w:color="auto"/>
          </w:divBdr>
          <w:divsChild>
            <w:div w:id="60">
              <w:marLeft w:val="0"/>
              <w:marRight w:val="0"/>
              <w:marTop w:val="0"/>
              <w:marBottom w:val="0"/>
              <w:divBdr>
                <w:top w:val="none" w:sz="0" w:space="0" w:color="auto"/>
                <w:left w:val="none" w:sz="0" w:space="0" w:color="auto"/>
                <w:bottom w:val="none" w:sz="0" w:space="0" w:color="auto"/>
                <w:right w:val="none" w:sz="0" w:space="0" w:color="auto"/>
              </w:divBdr>
              <w:divsChild>
                <w:div w:id="47">
                  <w:marLeft w:val="0"/>
                  <w:marRight w:val="0"/>
                  <w:marTop w:val="0"/>
                  <w:marBottom w:val="0"/>
                  <w:divBdr>
                    <w:top w:val="none" w:sz="0" w:space="0" w:color="auto"/>
                    <w:left w:val="none" w:sz="0" w:space="0" w:color="auto"/>
                    <w:bottom w:val="none" w:sz="0" w:space="0" w:color="auto"/>
                    <w:right w:val="none" w:sz="0" w:space="0" w:color="auto"/>
                  </w:divBdr>
                  <w:divsChild>
                    <w:div w:id="71">
                      <w:marLeft w:val="0"/>
                      <w:marRight w:val="0"/>
                      <w:marTop w:val="0"/>
                      <w:marBottom w:val="0"/>
                      <w:divBdr>
                        <w:top w:val="none" w:sz="0" w:space="0" w:color="auto"/>
                        <w:left w:val="none" w:sz="0" w:space="0" w:color="auto"/>
                        <w:bottom w:val="none" w:sz="0" w:space="0" w:color="auto"/>
                        <w:right w:val="none" w:sz="0" w:space="0" w:color="auto"/>
                      </w:divBdr>
                      <w:divsChild>
                        <w:div w:id="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
      <w:marLeft w:val="0"/>
      <w:marRight w:val="0"/>
      <w:marTop w:val="0"/>
      <w:marBottom w:val="0"/>
      <w:divBdr>
        <w:top w:val="none" w:sz="0" w:space="0" w:color="auto"/>
        <w:left w:val="none" w:sz="0" w:space="0" w:color="auto"/>
        <w:bottom w:val="none" w:sz="0" w:space="0" w:color="auto"/>
        <w:right w:val="none" w:sz="0" w:space="0" w:color="auto"/>
      </w:divBdr>
      <w:divsChild>
        <w:div w:id="22">
          <w:marLeft w:val="0"/>
          <w:marRight w:val="0"/>
          <w:marTop w:val="0"/>
          <w:marBottom w:val="0"/>
          <w:divBdr>
            <w:top w:val="none" w:sz="0" w:space="0" w:color="auto"/>
            <w:left w:val="none" w:sz="0" w:space="0" w:color="auto"/>
            <w:bottom w:val="none" w:sz="0" w:space="0" w:color="auto"/>
            <w:right w:val="none" w:sz="0" w:space="0" w:color="auto"/>
          </w:divBdr>
          <w:divsChild>
            <w:div w:id="29">
              <w:marLeft w:val="0"/>
              <w:marRight w:val="0"/>
              <w:marTop w:val="0"/>
              <w:marBottom w:val="0"/>
              <w:divBdr>
                <w:top w:val="none" w:sz="0" w:space="0" w:color="auto"/>
                <w:left w:val="none" w:sz="0" w:space="0" w:color="auto"/>
                <w:bottom w:val="none" w:sz="0" w:space="0" w:color="auto"/>
                <w:right w:val="none" w:sz="0" w:space="0" w:color="auto"/>
              </w:divBdr>
              <w:divsChild>
                <w:div w:id="41">
                  <w:marLeft w:val="0"/>
                  <w:marRight w:val="0"/>
                  <w:marTop w:val="0"/>
                  <w:marBottom w:val="0"/>
                  <w:divBdr>
                    <w:top w:val="none" w:sz="0" w:space="0" w:color="auto"/>
                    <w:left w:val="none" w:sz="0" w:space="0" w:color="auto"/>
                    <w:bottom w:val="none" w:sz="0" w:space="0" w:color="auto"/>
                    <w:right w:val="none" w:sz="0" w:space="0" w:color="auto"/>
                  </w:divBdr>
                  <w:divsChild>
                    <w:div w:id="61">
                      <w:marLeft w:val="0"/>
                      <w:marRight w:val="0"/>
                      <w:marTop w:val="0"/>
                      <w:marBottom w:val="0"/>
                      <w:divBdr>
                        <w:top w:val="none" w:sz="0" w:space="0" w:color="auto"/>
                        <w:left w:val="none" w:sz="0" w:space="0" w:color="auto"/>
                        <w:bottom w:val="none" w:sz="0" w:space="0" w:color="auto"/>
                        <w:right w:val="none" w:sz="0" w:space="0" w:color="auto"/>
                      </w:divBdr>
                      <w:divsChild>
                        <w:div w:id="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
      <w:marLeft w:val="0"/>
      <w:marRight w:val="0"/>
      <w:marTop w:val="0"/>
      <w:marBottom w:val="0"/>
      <w:divBdr>
        <w:top w:val="none" w:sz="0" w:space="0" w:color="auto"/>
        <w:left w:val="none" w:sz="0" w:space="0" w:color="auto"/>
        <w:bottom w:val="none" w:sz="0" w:space="0" w:color="auto"/>
        <w:right w:val="none" w:sz="0" w:space="0" w:color="auto"/>
      </w:divBdr>
      <w:divsChild>
        <w:div w:id="63">
          <w:marLeft w:val="0"/>
          <w:marRight w:val="0"/>
          <w:marTop w:val="0"/>
          <w:marBottom w:val="0"/>
          <w:divBdr>
            <w:top w:val="none" w:sz="0" w:space="0" w:color="auto"/>
            <w:left w:val="none" w:sz="0" w:space="0" w:color="auto"/>
            <w:bottom w:val="none" w:sz="0" w:space="0" w:color="auto"/>
            <w:right w:val="none" w:sz="0" w:space="0" w:color="auto"/>
          </w:divBdr>
          <w:divsChild>
            <w:div w:id="114">
              <w:marLeft w:val="0"/>
              <w:marRight w:val="0"/>
              <w:marTop w:val="0"/>
              <w:marBottom w:val="0"/>
              <w:divBdr>
                <w:top w:val="none" w:sz="0" w:space="0" w:color="auto"/>
                <w:left w:val="none" w:sz="0" w:space="0" w:color="auto"/>
                <w:bottom w:val="none" w:sz="0" w:space="0" w:color="auto"/>
                <w:right w:val="none" w:sz="0" w:space="0" w:color="auto"/>
              </w:divBdr>
              <w:divsChild>
                <w:div w:id="49">
                  <w:marLeft w:val="0"/>
                  <w:marRight w:val="0"/>
                  <w:marTop w:val="0"/>
                  <w:marBottom w:val="0"/>
                  <w:divBdr>
                    <w:top w:val="none" w:sz="0" w:space="0" w:color="auto"/>
                    <w:left w:val="none" w:sz="0" w:space="0" w:color="auto"/>
                    <w:bottom w:val="none" w:sz="0" w:space="0" w:color="auto"/>
                    <w:right w:val="none" w:sz="0" w:space="0" w:color="auto"/>
                  </w:divBdr>
                </w:div>
                <w:div w:id="87">
                  <w:marLeft w:val="0"/>
                  <w:marRight w:val="0"/>
                  <w:marTop w:val="0"/>
                  <w:marBottom w:val="0"/>
                  <w:divBdr>
                    <w:top w:val="none" w:sz="0" w:space="0" w:color="auto"/>
                    <w:left w:val="none" w:sz="0" w:space="0" w:color="auto"/>
                    <w:bottom w:val="none" w:sz="0" w:space="0" w:color="auto"/>
                    <w:right w:val="none" w:sz="0" w:space="0" w:color="auto"/>
                  </w:divBdr>
                </w:div>
                <w:div w:id="88">
                  <w:marLeft w:val="0"/>
                  <w:marRight w:val="0"/>
                  <w:marTop w:val="0"/>
                  <w:marBottom w:val="0"/>
                  <w:divBdr>
                    <w:top w:val="none" w:sz="0" w:space="0" w:color="auto"/>
                    <w:left w:val="none" w:sz="0" w:space="0" w:color="auto"/>
                    <w:bottom w:val="none" w:sz="0" w:space="0" w:color="auto"/>
                    <w:right w:val="none" w:sz="0" w:space="0" w:color="auto"/>
                  </w:divBdr>
                  <w:divsChild>
                    <w:div w:id="15">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sChild>
                </w:div>
                <w:div w:id="92">
                  <w:marLeft w:val="0"/>
                  <w:marRight w:val="0"/>
                  <w:marTop w:val="0"/>
                  <w:marBottom w:val="0"/>
                  <w:divBdr>
                    <w:top w:val="none" w:sz="0" w:space="0" w:color="auto"/>
                    <w:left w:val="none" w:sz="0" w:space="0" w:color="auto"/>
                    <w:bottom w:val="none" w:sz="0" w:space="0" w:color="auto"/>
                    <w:right w:val="none" w:sz="0" w:space="0" w:color="auto"/>
                  </w:divBdr>
                </w:div>
                <w:div w:id="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
      <w:marLeft w:val="0"/>
      <w:marRight w:val="0"/>
      <w:marTop w:val="0"/>
      <w:marBottom w:val="0"/>
      <w:divBdr>
        <w:top w:val="none" w:sz="0" w:space="0" w:color="auto"/>
        <w:left w:val="none" w:sz="0" w:space="0" w:color="auto"/>
        <w:bottom w:val="none" w:sz="0" w:space="0" w:color="auto"/>
        <w:right w:val="none" w:sz="0" w:space="0" w:color="auto"/>
      </w:divBdr>
      <w:divsChild>
        <w:div w:id="17">
          <w:marLeft w:val="0"/>
          <w:marRight w:val="0"/>
          <w:marTop w:val="0"/>
          <w:marBottom w:val="0"/>
          <w:divBdr>
            <w:top w:val="none" w:sz="0" w:space="0" w:color="auto"/>
            <w:left w:val="none" w:sz="0" w:space="0" w:color="auto"/>
            <w:bottom w:val="none" w:sz="0" w:space="0" w:color="auto"/>
            <w:right w:val="none" w:sz="0" w:space="0" w:color="auto"/>
          </w:divBdr>
          <w:divsChild>
            <w:div w:id="62">
              <w:marLeft w:val="0"/>
              <w:marRight w:val="0"/>
              <w:marTop w:val="0"/>
              <w:marBottom w:val="0"/>
              <w:divBdr>
                <w:top w:val="none" w:sz="0" w:space="0" w:color="auto"/>
                <w:left w:val="none" w:sz="0" w:space="0" w:color="auto"/>
                <w:bottom w:val="none" w:sz="0" w:space="0" w:color="auto"/>
                <w:right w:val="none" w:sz="0" w:space="0" w:color="auto"/>
              </w:divBdr>
              <w:divsChild>
                <w:div w:id="110">
                  <w:marLeft w:val="0"/>
                  <w:marRight w:val="0"/>
                  <w:marTop w:val="0"/>
                  <w:marBottom w:val="0"/>
                  <w:divBdr>
                    <w:top w:val="none" w:sz="0" w:space="0" w:color="auto"/>
                    <w:left w:val="none" w:sz="0" w:space="0" w:color="auto"/>
                    <w:bottom w:val="none" w:sz="0" w:space="0" w:color="auto"/>
                    <w:right w:val="none" w:sz="0" w:space="0" w:color="auto"/>
                  </w:divBdr>
                  <w:divsChild>
                    <w:div w:id="69">
                      <w:marLeft w:val="0"/>
                      <w:marRight w:val="0"/>
                      <w:marTop w:val="0"/>
                      <w:marBottom w:val="0"/>
                      <w:divBdr>
                        <w:top w:val="none" w:sz="0" w:space="0" w:color="auto"/>
                        <w:left w:val="none" w:sz="0" w:space="0" w:color="auto"/>
                        <w:bottom w:val="none" w:sz="0" w:space="0" w:color="auto"/>
                        <w:right w:val="none" w:sz="0" w:space="0" w:color="auto"/>
                      </w:divBdr>
                      <w:divsChild>
                        <w:div w:id="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
      <w:marLeft w:val="390"/>
      <w:marRight w:val="39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sChild>
        <w:div w:id="83">
          <w:marLeft w:val="0"/>
          <w:marRight w:val="0"/>
          <w:marTop w:val="0"/>
          <w:marBottom w:val="0"/>
          <w:divBdr>
            <w:top w:val="none" w:sz="0" w:space="0" w:color="auto"/>
            <w:left w:val="none" w:sz="0" w:space="0" w:color="auto"/>
            <w:bottom w:val="none" w:sz="0" w:space="0" w:color="auto"/>
            <w:right w:val="none" w:sz="0" w:space="0" w:color="auto"/>
          </w:divBdr>
          <w:divsChild>
            <w:div w:id="119">
              <w:marLeft w:val="0"/>
              <w:marRight w:val="0"/>
              <w:marTop w:val="0"/>
              <w:marBottom w:val="0"/>
              <w:divBdr>
                <w:top w:val="none" w:sz="0" w:space="0" w:color="auto"/>
                <w:left w:val="none" w:sz="0" w:space="0" w:color="auto"/>
                <w:bottom w:val="none" w:sz="0" w:space="0" w:color="auto"/>
                <w:right w:val="none" w:sz="0" w:space="0" w:color="auto"/>
              </w:divBdr>
              <w:divsChild>
                <w:div w:id="20">
                  <w:marLeft w:val="0"/>
                  <w:marRight w:val="0"/>
                  <w:marTop w:val="0"/>
                  <w:marBottom w:val="0"/>
                  <w:divBdr>
                    <w:top w:val="none" w:sz="0" w:space="0" w:color="auto"/>
                    <w:left w:val="none" w:sz="0" w:space="0" w:color="auto"/>
                    <w:bottom w:val="none" w:sz="0" w:space="0" w:color="auto"/>
                    <w:right w:val="none" w:sz="0" w:space="0" w:color="auto"/>
                  </w:divBdr>
                  <w:divsChild>
                    <w:div w:id="26">
                      <w:marLeft w:val="0"/>
                      <w:marRight w:val="0"/>
                      <w:marTop w:val="0"/>
                      <w:marBottom w:val="0"/>
                      <w:divBdr>
                        <w:top w:val="none" w:sz="0" w:space="0" w:color="auto"/>
                        <w:left w:val="none" w:sz="0" w:space="0" w:color="auto"/>
                        <w:bottom w:val="none" w:sz="0" w:space="0" w:color="auto"/>
                        <w:right w:val="none" w:sz="0" w:space="0" w:color="auto"/>
                      </w:divBdr>
                    </w:div>
                    <w:div w:id="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
      <w:marLeft w:val="0"/>
      <w:marRight w:val="0"/>
      <w:marTop w:val="0"/>
      <w:marBottom w:val="0"/>
      <w:divBdr>
        <w:top w:val="none" w:sz="0" w:space="0" w:color="auto"/>
        <w:left w:val="none" w:sz="0" w:space="0" w:color="auto"/>
        <w:bottom w:val="none" w:sz="0" w:space="0" w:color="auto"/>
        <w:right w:val="none" w:sz="0" w:space="0" w:color="auto"/>
      </w:divBdr>
    </w:div>
    <w:div w:id="56">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sChild>
        <w:div w:id="72">
          <w:marLeft w:val="0"/>
          <w:marRight w:val="0"/>
          <w:marTop w:val="0"/>
          <w:marBottom w:val="0"/>
          <w:divBdr>
            <w:top w:val="none" w:sz="0" w:space="0" w:color="auto"/>
            <w:left w:val="none" w:sz="0" w:space="0" w:color="auto"/>
            <w:bottom w:val="none" w:sz="0" w:space="0" w:color="auto"/>
            <w:right w:val="none" w:sz="0" w:space="0" w:color="auto"/>
          </w:divBdr>
          <w:divsChild>
            <w:div w:id="35">
              <w:marLeft w:val="0"/>
              <w:marRight w:val="0"/>
              <w:marTop w:val="0"/>
              <w:marBottom w:val="0"/>
              <w:divBdr>
                <w:top w:val="none" w:sz="0" w:space="0" w:color="auto"/>
                <w:left w:val="none" w:sz="0" w:space="0" w:color="auto"/>
                <w:bottom w:val="none" w:sz="0" w:space="0" w:color="auto"/>
                <w:right w:val="none" w:sz="0" w:space="0" w:color="auto"/>
              </w:divBdr>
              <w:divsChild>
                <w:div w:id="21">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51">
                  <w:marLeft w:val="0"/>
                  <w:marRight w:val="0"/>
                  <w:marTop w:val="0"/>
                  <w:marBottom w:val="0"/>
                  <w:divBdr>
                    <w:top w:val="none" w:sz="0" w:space="0" w:color="auto"/>
                    <w:left w:val="none" w:sz="0" w:space="0" w:color="auto"/>
                    <w:bottom w:val="none" w:sz="0" w:space="0" w:color="auto"/>
                    <w:right w:val="none" w:sz="0" w:space="0" w:color="auto"/>
                  </w:divBdr>
                </w:div>
                <w:div w:id="93">
                  <w:marLeft w:val="0"/>
                  <w:marRight w:val="0"/>
                  <w:marTop w:val="0"/>
                  <w:marBottom w:val="0"/>
                  <w:divBdr>
                    <w:top w:val="none" w:sz="0" w:space="0" w:color="auto"/>
                    <w:left w:val="none" w:sz="0" w:space="0" w:color="auto"/>
                    <w:bottom w:val="none" w:sz="0" w:space="0" w:color="auto"/>
                    <w:right w:val="none" w:sz="0" w:space="0" w:color="auto"/>
                  </w:divBdr>
                  <w:divsChild>
                    <w:div w:id="81">
                      <w:marLeft w:val="0"/>
                      <w:marRight w:val="0"/>
                      <w:marTop w:val="0"/>
                      <w:marBottom w:val="0"/>
                      <w:divBdr>
                        <w:top w:val="none" w:sz="0" w:space="0" w:color="auto"/>
                        <w:left w:val="none" w:sz="0" w:space="0" w:color="auto"/>
                        <w:bottom w:val="none" w:sz="0" w:space="0" w:color="auto"/>
                        <w:right w:val="none" w:sz="0" w:space="0" w:color="auto"/>
                      </w:divBdr>
                    </w:div>
                    <w:div w:id="82">
                      <w:marLeft w:val="0"/>
                      <w:marRight w:val="0"/>
                      <w:marTop w:val="0"/>
                      <w:marBottom w:val="0"/>
                      <w:divBdr>
                        <w:top w:val="none" w:sz="0" w:space="0" w:color="auto"/>
                        <w:left w:val="none" w:sz="0" w:space="0" w:color="auto"/>
                        <w:bottom w:val="none" w:sz="0" w:space="0" w:color="auto"/>
                        <w:right w:val="none" w:sz="0" w:space="0" w:color="auto"/>
                      </w:divBdr>
                    </w:div>
                  </w:divsChild>
                </w:div>
                <w:div w:id="101">
                  <w:marLeft w:val="0"/>
                  <w:marRight w:val="0"/>
                  <w:marTop w:val="0"/>
                  <w:marBottom w:val="0"/>
                  <w:divBdr>
                    <w:top w:val="none" w:sz="0" w:space="0" w:color="auto"/>
                    <w:left w:val="none" w:sz="0" w:space="0" w:color="auto"/>
                    <w:bottom w:val="none" w:sz="0" w:space="0" w:color="auto"/>
                    <w:right w:val="none" w:sz="0" w:space="0" w:color="auto"/>
                  </w:divBdr>
                </w:div>
                <w:div w:id="106">
                  <w:marLeft w:val="0"/>
                  <w:marRight w:val="0"/>
                  <w:marTop w:val="0"/>
                  <w:marBottom w:val="0"/>
                  <w:divBdr>
                    <w:top w:val="none" w:sz="0" w:space="0" w:color="auto"/>
                    <w:left w:val="none" w:sz="0" w:space="0" w:color="auto"/>
                    <w:bottom w:val="none" w:sz="0" w:space="0" w:color="auto"/>
                    <w:right w:val="none" w:sz="0" w:space="0" w:color="auto"/>
                  </w:divBdr>
                </w:div>
                <w:div w:id="112">
                  <w:marLeft w:val="0"/>
                  <w:marRight w:val="0"/>
                  <w:marTop w:val="0"/>
                  <w:marBottom w:val="0"/>
                  <w:divBdr>
                    <w:top w:val="none" w:sz="0" w:space="0" w:color="auto"/>
                    <w:left w:val="none" w:sz="0" w:space="0" w:color="auto"/>
                    <w:bottom w:val="none" w:sz="0" w:space="0" w:color="auto"/>
                    <w:right w:val="none" w:sz="0" w:space="0" w:color="auto"/>
                  </w:divBdr>
                  <w:divsChild>
                    <w:div w:id="55">
                      <w:marLeft w:val="0"/>
                      <w:marRight w:val="0"/>
                      <w:marTop w:val="0"/>
                      <w:marBottom w:val="0"/>
                      <w:divBdr>
                        <w:top w:val="none" w:sz="0" w:space="0" w:color="auto"/>
                        <w:left w:val="none" w:sz="0" w:space="0" w:color="auto"/>
                        <w:bottom w:val="none" w:sz="0" w:space="0" w:color="auto"/>
                        <w:right w:val="none" w:sz="0" w:space="0" w:color="auto"/>
                      </w:divBdr>
                    </w:div>
                    <w:div w:id="96">
                      <w:marLeft w:val="0"/>
                      <w:marRight w:val="0"/>
                      <w:marTop w:val="0"/>
                      <w:marBottom w:val="0"/>
                      <w:divBdr>
                        <w:top w:val="none" w:sz="0" w:space="0" w:color="auto"/>
                        <w:left w:val="none" w:sz="0" w:space="0" w:color="auto"/>
                        <w:bottom w:val="none" w:sz="0" w:space="0" w:color="auto"/>
                        <w:right w:val="none" w:sz="0" w:space="0" w:color="auto"/>
                      </w:divBdr>
                    </w:div>
                  </w:divsChild>
                </w:div>
                <w:div w:id="115">
                  <w:marLeft w:val="0"/>
                  <w:marRight w:val="0"/>
                  <w:marTop w:val="0"/>
                  <w:marBottom w:val="0"/>
                  <w:divBdr>
                    <w:top w:val="none" w:sz="0" w:space="0" w:color="auto"/>
                    <w:left w:val="none" w:sz="0" w:space="0" w:color="auto"/>
                    <w:bottom w:val="none" w:sz="0" w:space="0" w:color="auto"/>
                    <w:right w:val="none" w:sz="0" w:space="0" w:color="auto"/>
                  </w:divBdr>
                  <w:divsChild>
                    <w:div w:id="33">
                      <w:marLeft w:val="0"/>
                      <w:marRight w:val="0"/>
                      <w:marTop w:val="0"/>
                      <w:marBottom w:val="0"/>
                      <w:divBdr>
                        <w:top w:val="none" w:sz="0" w:space="0" w:color="auto"/>
                        <w:left w:val="none" w:sz="0" w:space="0" w:color="auto"/>
                        <w:bottom w:val="none" w:sz="0" w:space="0" w:color="auto"/>
                        <w:right w:val="none" w:sz="0" w:space="0" w:color="auto"/>
                      </w:divBdr>
                      <w:divsChild>
                        <w:div w:id="38">
                          <w:marLeft w:val="0"/>
                          <w:marRight w:val="0"/>
                          <w:marTop w:val="0"/>
                          <w:marBottom w:val="0"/>
                          <w:divBdr>
                            <w:top w:val="none" w:sz="0" w:space="0" w:color="auto"/>
                            <w:left w:val="none" w:sz="0" w:space="0" w:color="auto"/>
                            <w:bottom w:val="none" w:sz="0" w:space="0" w:color="auto"/>
                            <w:right w:val="none" w:sz="0" w:space="0" w:color="auto"/>
                          </w:divBdr>
                          <w:divsChild>
                            <w:div w:id="31">
                              <w:marLeft w:val="0"/>
                              <w:marRight w:val="0"/>
                              <w:marTop w:val="0"/>
                              <w:marBottom w:val="0"/>
                              <w:divBdr>
                                <w:top w:val="none" w:sz="0" w:space="0" w:color="auto"/>
                                <w:left w:val="none" w:sz="0" w:space="0" w:color="auto"/>
                                <w:bottom w:val="none" w:sz="0" w:space="0" w:color="auto"/>
                                <w:right w:val="none" w:sz="0" w:space="0" w:color="auto"/>
                              </w:divBdr>
                            </w:div>
                            <w:div w:id="57">
                              <w:marLeft w:val="0"/>
                              <w:marRight w:val="0"/>
                              <w:marTop w:val="0"/>
                              <w:marBottom w:val="0"/>
                              <w:divBdr>
                                <w:top w:val="none" w:sz="0" w:space="0" w:color="auto"/>
                                <w:left w:val="none" w:sz="0" w:space="0" w:color="auto"/>
                                <w:bottom w:val="none" w:sz="0" w:space="0" w:color="auto"/>
                                <w:right w:val="none" w:sz="0" w:space="0" w:color="auto"/>
                              </w:divBdr>
                            </w:div>
                            <w:div w:id="85">
                              <w:marLeft w:val="0"/>
                              <w:marRight w:val="0"/>
                              <w:marTop w:val="0"/>
                              <w:marBottom w:val="0"/>
                              <w:divBdr>
                                <w:top w:val="none" w:sz="0" w:space="0" w:color="auto"/>
                                <w:left w:val="none" w:sz="0" w:space="0" w:color="auto"/>
                                <w:bottom w:val="none" w:sz="0" w:space="0" w:color="auto"/>
                                <w:right w:val="none" w:sz="0" w:space="0" w:color="auto"/>
                              </w:divBdr>
                            </w:div>
                          </w:divsChild>
                        </w:div>
                        <w:div w:id="100">
                          <w:marLeft w:val="0"/>
                          <w:marRight w:val="0"/>
                          <w:marTop w:val="0"/>
                          <w:marBottom w:val="0"/>
                          <w:divBdr>
                            <w:top w:val="none" w:sz="0" w:space="0" w:color="auto"/>
                            <w:left w:val="none" w:sz="0" w:space="0" w:color="auto"/>
                            <w:bottom w:val="none" w:sz="0" w:space="0" w:color="auto"/>
                            <w:right w:val="none" w:sz="0" w:space="0" w:color="auto"/>
                          </w:divBdr>
                          <w:divsChild>
                            <w:div w:id="16">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
                      <w:marLeft w:val="0"/>
                      <w:marRight w:val="0"/>
                      <w:marTop w:val="0"/>
                      <w:marBottom w:val="0"/>
                      <w:divBdr>
                        <w:top w:val="none" w:sz="0" w:space="0" w:color="auto"/>
                        <w:left w:val="none" w:sz="0" w:space="0" w:color="auto"/>
                        <w:bottom w:val="none" w:sz="0" w:space="0" w:color="auto"/>
                        <w:right w:val="none" w:sz="0" w:space="0" w:color="auto"/>
                      </w:divBdr>
                    </w:div>
                    <w:div w:id="95">
                      <w:marLeft w:val="0"/>
                      <w:marRight w:val="0"/>
                      <w:marTop w:val="0"/>
                      <w:marBottom w:val="0"/>
                      <w:divBdr>
                        <w:top w:val="none" w:sz="0" w:space="0" w:color="auto"/>
                        <w:left w:val="none" w:sz="0" w:space="0" w:color="auto"/>
                        <w:bottom w:val="none" w:sz="0" w:space="0" w:color="auto"/>
                        <w:right w:val="none" w:sz="0" w:space="0" w:color="auto"/>
                      </w:divBdr>
                    </w:div>
                    <w:div w:id="109">
                      <w:marLeft w:val="0"/>
                      <w:marRight w:val="0"/>
                      <w:marTop w:val="0"/>
                      <w:marBottom w:val="0"/>
                      <w:divBdr>
                        <w:top w:val="none" w:sz="0" w:space="0" w:color="auto"/>
                        <w:left w:val="none" w:sz="0" w:space="0" w:color="auto"/>
                        <w:bottom w:val="none" w:sz="0" w:space="0" w:color="auto"/>
                        <w:right w:val="none" w:sz="0" w:space="0" w:color="auto"/>
                      </w:divBdr>
                    </w:div>
                  </w:divsChild>
                </w:div>
                <w:div w:id="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
      <w:marLeft w:val="0"/>
      <w:marRight w:val="0"/>
      <w:marTop w:val="0"/>
      <w:marBottom w:val="0"/>
      <w:divBdr>
        <w:top w:val="none" w:sz="0" w:space="0" w:color="auto"/>
        <w:left w:val="none" w:sz="0" w:space="0" w:color="auto"/>
        <w:bottom w:val="none" w:sz="0" w:space="0" w:color="auto"/>
        <w:right w:val="none" w:sz="0" w:space="0" w:color="auto"/>
      </w:divBdr>
      <w:divsChild>
        <w:div w:id="117">
          <w:marLeft w:val="0"/>
          <w:marRight w:val="0"/>
          <w:marTop w:val="0"/>
          <w:marBottom w:val="0"/>
          <w:divBdr>
            <w:top w:val="none" w:sz="0" w:space="0" w:color="auto"/>
            <w:left w:val="none" w:sz="0" w:space="0" w:color="auto"/>
            <w:bottom w:val="none" w:sz="0" w:space="0" w:color="auto"/>
            <w:right w:val="none" w:sz="0" w:space="0" w:color="auto"/>
          </w:divBdr>
          <w:divsChild>
            <w:div w:id="102">
              <w:marLeft w:val="0"/>
              <w:marRight w:val="0"/>
              <w:marTop w:val="0"/>
              <w:marBottom w:val="0"/>
              <w:divBdr>
                <w:top w:val="none" w:sz="0" w:space="0" w:color="auto"/>
                <w:left w:val="none" w:sz="0" w:space="0" w:color="auto"/>
                <w:bottom w:val="none" w:sz="0" w:space="0" w:color="auto"/>
                <w:right w:val="none" w:sz="0" w:space="0" w:color="auto"/>
              </w:divBdr>
              <w:divsChild>
                <w:div w:id="14">
                  <w:marLeft w:val="0"/>
                  <w:marRight w:val="0"/>
                  <w:marTop w:val="0"/>
                  <w:marBottom w:val="0"/>
                  <w:divBdr>
                    <w:top w:val="none" w:sz="0" w:space="0" w:color="auto"/>
                    <w:left w:val="none" w:sz="0" w:space="0" w:color="auto"/>
                    <w:bottom w:val="none" w:sz="0" w:space="0" w:color="auto"/>
                    <w:right w:val="none" w:sz="0" w:space="0" w:color="auto"/>
                  </w:divBdr>
                </w:div>
                <w:div w:id="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
      <w:marLeft w:val="0"/>
      <w:marRight w:val="0"/>
      <w:marTop w:val="0"/>
      <w:marBottom w:val="0"/>
      <w:divBdr>
        <w:top w:val="none" w:sz="0" w:space="0" w:color="auto"/>
        <w:left w:val="none" w:sz="0" w:space="0" w:color="auto"/>
        <w:bottom w:val="none" w:sz="0" w:space="0" w:color="auto"/>
        <w:right w:val="none" w:sz="0" w:space="0" w:color="auto"/>
      </w:divBdr>
      <w:divsChild>
        <w:div w:id="42">
          <w:marLeft w:val="0"/>
          <w:marRight w:val="0"/>
          <w:marTop w:val="0"/>
          <w:marBottom w:val="0"/>
          <w:divBdr>
            <w:top w:val="none" w:sz="0" w:space="0" w:color="auto"/>
            <w:left w:val="none" w:sz="0" w:space="0" w:color="auto"/>
            <w:bottom w:val="none" w:sz="0" w:space="0" w:color="auto"/>
            <w:right w:val="none" w:sz="0" w:space="0" w:color="auto"/>
          </w:divBdr>
          <w:divsChild>
            <w:div w:id="45">
              <w:marLeft w:val="0"/>
              <w:marRight w:val="0"/>
              <w:marTop w:val="0"/>
              <w:marBottom w:val="0"/>
              <w:divBdr>
                <w:top w:val="none" w:sz="0" w:space="0" w:color="auto"/>
                <w:left w:val="none" w:sz="0" w:space="0" w:color="auto"/>
                <w:bottom w:val="none" w:sz="0" w:space="0" w:color="auto"/>
                <w:right w:val="none" w:sz="0" w:space="0" w:color="auto"/>
              </w:divBdr>
              <w:divsChild>
                <w:div w:id="70">
                  <w:marLeft w:val="0"/>
                  <w:marRight w:val="0"/>
                  <w:marTop w:val="0"/>
                  <w:marBottom w:val="0"/>
                  <w:divBdr>
                    <w:top w:val="none" w:sz="0" w:space="0" w:color="auto"/>
                    <w:left w:val="none" w:sz="0" w:space="0" w:color="auto"/>
                    <w:bottom w:val="none" w:sz="0" w:space="0" w:color="auto"/>
                    <w:right w:val="none" w:sz="0" w:space="0" w:color="auto"/>
                  </w:divBdr>
                  <w:divsChild>
                    <w:div w:id="105">
                      <w:marLeft w:val="0"/>
                      <w:marRight w:val="0"/>
                      <w:marTop w:val="0"/>
                      <w:marBottom w:val="0"/>
                      <w:divBdr>
                        <w:top w:val="none" w:sz="0" w:space="0" w:color="auto"/>
                        <w:left w:val="none" w:sz="0" w:space="0" w:color="auto"/>
                        <w:bottom w:val="none" w:sz="0" w:space="0" w:color="auto"/>
                        <w:right w:val="none" w:sz="0" w:space="0" w:color="auto"/>
                      </w:divBdr>
                      <w:divsChild>
                        <w:div w:id="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
      <w:marLeft w:val="0"/>
      <w:marRight w:val="0"/>
      <w:marTop w:val="0"/>
      <w:marBottom w:val="0"/>
      <w:divBdr>
        <w:top w:val="none" w:sz="0" w:space="0" w:color="auto"/>
        <w:left w:val="none" w:sz="0" w:space="0" w:color="auto"/>
        <w:bottom w:val="none" w:sz="0" w:space="0" w:color="auto"/>
        <w:right w:val="none" w:sz="0" w:space="0" w:color="auto"/>
      </w:divBdr>
      <w:divsChild>
        <w:div w:id="104">
          <w:marLeft w:val="0"/>
          <w:marRight w:val="0"/>
          <w:marTop w:val="0"/>
          <w:marBottom w:val="0"/>
          <w:divBdr>
            <w:top w:val="none" w:sz="0" w:space="0" w:color="auto"/>
            <w:left w:val="none" w:sz="0" w:space="0" w:color="auto"/>
            <w:bottom w:val="none" w:sz="0" w:space="0" w:color="auto"/>
            <w:right w:val="none" w:sz="0" w:space="0" w:color="auto"/>
          </w:divBdr>
          <w:divsChild>
            <w:div w:id="50">
              <w:marLeft w:val="0"/>
              <w:marRight w:val="0"/>
              <w:marTop w:val="0"/>
              <w:marBottom w:val="0"/>
              <w:divBdr>
                <w:top w:val="none" w:sz="0" w:space="0" w:color="auto"/>
                <w:left w:val="none" w:sz="0" w:space="0" w:color="auto"/>
                <w:bottom w:val="none" w:sz="0" w:space="0" w:color="auto"/>
                <w:right w:val="none" w:sz="0" w:space="0" w:color="auto"/>
              </w:divBdr>
              <w:divsChild>
                <w:div w:id="36">
                  <w:marLeft w:val="0"/>
                  <w:marRight w:val="0"/>
                  <w:marTop w:val="0"/>
                  <w:marBottom w:val="0"/>
                  <w:divBdr>
                    <w:top w:val="none" w:sz="0" w:space="0" w:color="auto"/>
                    <w:left w:val="none" w:sz="0" w:space="0" w:color="auto"/>
                    <w:bottom w:val="none" w:sz="0" w:space="0" w:color="auto"/>
                    <w:right w:val="none" w:sz="0" w:space="0" w:color="auto"/>
                  </w:divBdr>
                  <w:divsChild>
                    <w:div w:id="32">
                      <w:marLeft w:val="0"/>
                      <w:marRight w:val="0"/>
                      <w:marTop w:val="0"/>
                      <w:marBottom w:val="0"/>
                      <w:divBdr>
                        <w:top w:val="none" w:sz="0" w:space="0" w:color="auto"/>
                        <w:left w:val="none" w:sz="0" w:space="0" w:color="auto"/>
                        <w:bottom w:val="none" w:sz="0" w:space="0" w:color="auto"/>
                        <w:right w:val="none" w:sz="0" w:space="0" w:color="auto"/>
                      </w:divBdr>
                    </w:div>
                    <w:div w:id="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
      <w:marLeft w:val="0"/>
      <w:marRight w:val="0"/>
      <w:marTop w:val="0"/>
      <w:marBottom w:val="0"/>
      <w:divBdr>
        <w:top w:val="none" w:sz="0" w:space="0" w:color="auto"/>
        <w:left w:val="none" w:sz="0" w:space="0" w:color="auto"/>
        <w:bottom w:val="none" w:sz="0" w:space="0" w:color="auto"/>
        <w:right w:val="none" w:sz="0" w:space="0" w:color="auto"/>
      </w:divBdr>
    </w:div>
    <w:div w:id="80">
      <w:marLeft w:val="0"/>
      <w:marRight w:val="0"/>
      <w:marTop w:val="0"/>
      <w:marBottom w:val="0"/>
      <w:divBdr>
        <w:top w:val="none" w:sz="0" w:space="0" w:color="auto"/>
        <w:left w:val="none" w:sz="0" w:space="0" w:color="auto"/>
        <w:bottom w:val="none" w:sz="0" w:space="0" w:color="auto"/>
        <w:right w:val="none" w:sz="0" w:space="0" w:color="auto"/>
      </w:divBdr>
    </w:div>
    <w:div w:id="84">
      <w:marLeft w:val="0"/>
      <w:marRight w:val="0"/>
      <w:marTop w:val="0"/>
      <w:marBottom w:val="0"/>
      <w:divBdr>
        <w:top w:val="none" w:sz="0" w:space="0" w:color="auto"/>
        <w:left w:val="none" w:sz="0" w:space="0" w:color="auto"/>
        <w:bottom w:val="none" w:sz="0" w:space="0" w:color="auto"/>
        <w:right w:val="none" w:sz="0" w:space="0" w:color="auto"/>
      </w:divBdr>
      <w:divsChild>
        <w:div w:id="24">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sChild>
    </w:div>
    <w:div w:id="86">
      <w:marLeft w:val="0"/>
      <w:marRight w:val="0"/>
      <w:marTop w:val="0"/>
      <w:marBottom w:val="0"/>
      <w:divBdr>
        <w:top w:val="none" w:sz="0" w:space="0" w:color="auto"/>
        <w:left w:val="none" w:sz="0" w:space="0" w:color="auto"/>
        <w:bottom w:val="none" w:sz="0" w:space="0" w:color="auto"/>
        <w:right w:val="none" w:sz="0" w:space="0" w:color="auto"/>
      </w:divBdr>
      <w:divsChild>
        <w:div w:id="89">
          <w:marLeft w:val="0"/>
          <w:marRight w:val="0"/>
          <w:marTop w:val="0"/>
          <w:marBottom w:val="0"/>
          <w:divBdr>
            <w:top w:val="none" w:sz="0" w:space="0" w:color="auto"/>
            <w:left w:val="none" w:sz="0" w:space="0" w:color="auto"/>
            <w:bottom w:val="none" w:sz="0" w:space="0" w:color="auto"/>
            <w:right w:val="none" w:sz="0" w:space="0" w:color="auto"/>
          </w:divBdr>
        </w:div>
      </w:divsChild>
    </w:div>
    <w:div w:id="90">
      <w:marLeft w:val="0"/>
      <w:marRight w:val="0"/>
      <w:marTop w:val="0"/>
      <w:marBottom w:val="0"/>
      <w:divBdr>
        <w:top w:val="none" w:sz="0" w:space="0" w:color="auto"/>
        <w:left w:val="none" w:sz="0" w:space="0" w:color="auto"/>
        <w:bottom w:val="none" w:sz="0" w:space="0" w:color="auto"/>
        <w:right w:val="none" w:sz="0" w:space="0" w:color="auto"/>
      </w:divBdr>
    </w:div>
    <w:div w:id="91">
      <w:marLeft w:val="0"/>
      <w:marRight w:val="0"/>
      <w:marTop w:val="0"/>
      <w:marBottom w:val="0"/>
      <w:divBdr>
        <w:top w:val="none" w:sz="0" w:space="0" w:color="auto"/>
        <w:left w:val="none" w:sz="0" w:space="0" w:color="auto"/>
        <w:bottom w:val="none" w:sz="0" w:space="0" w:color="auto"/>
        <w:right w:val="none" w:sz="0" w:space="0" w:color="auto"/>
      </w:divBdr>
    </w:div>
    <w:div w:id="99">
      <w:marLeft w:val="0"/>
      <w:marRight w:val="0"/>
      <w:marTop w:val="0"/>
      <w:marBottom w:val="0"/>
      <w:divBdr>
        <w:top w:val="none" w:sz="0" w:space="0" w:color="auto"/>
        <w:left w:val="none" w:sz="0" w:space="0" w:color="auto"/>
        <w:bottom w:val="none" w:sz="0" w:space="0" w:color="auto"/>
        <w:right w:val="none" w:sz="0" w:space="0" w:color="auto"/>
      </w:divBdr>
    </w:div>
    <w:div w:id="103">
      <w:marLeft w:val="0"/>
      <w:marRight w:val="0"/>
      <w:marTop w:val="0"/>
      <w:marBottom w:val="0"/>
      <w:divBdr>
        <w:top w:val="none" w:sz="0" w:space="0" w:color="auto"/>
        <w:left w:val="none" w:sz="0" w:space="0" w:color="auto"/>
        <w:bottom w:val="none" w:sz="0" w:space="0" w:color="auto"/>
        <w:right w:val="none" w:sz="0" w:space="0" w:color="auto"/>
      </w:divBdr>
    </w:div>
    <w:div w:id="121">
      <w:marLeft w:val="0"/>
      <w:marRight w:val="0"/>
      <w:marTop w:val="0"/>
      <w:marBottom w:val="0"/>
      <w:divBdr>
        <w:top w:val="none" w:sz="0" w:space="0" w:color="auto"/>
        <w:left w:val="none" w:sz="0" w:space="0" w:color="auto"/>
        <w:bottom w:val="none" w:sz="0" w:space="0" w:color="auto"/>
        <w:right w:val="none" w:sz="0" w:space="0" w:color="auto"/>
      </w:divBdr>
    </w:div>
    <w:div w:id="122">
      <w:marLeft w:val="0"/>
      <w:marRight w:val="0"/>
      <w:marTop w:val="0"/>
      <w:marBottom w:val="0"/>
      <w:divBdr>
        <w:top w:val="none" w:sz="0" w:space="0" w:color="auto"/>
        <w:left w:val="none" w:sz="0" w:space="0" w:color="auto"/>
        <w:bottom w:val="none" w:sz="0" w:space="0" w:color="auto"/>
        <w:right w:val="none" w:sz="0" w:space="0" w:color="auto"/>
      </w:divBdr>
      <w:divsChild>
        <w:div w:id="10">
          <w:marLeft w:val="0"/>
          <w:marRight w:val="0"/>
          <w:marTop w:val="0"/>
          <w:marBottom w:val="0"/>
          <w:divBdr>
            <w:top w:val="none" w:sz="0" w:space="0" w:color="auto"/>
            <w:left w:val="none" w:sz="0" w:space="0" w:color="auto"/>
            <w:bottom w:val="none" w:sz="0" w:space="0" w:color="auto"/>
            <w:right w:val="none" w:sz="0" w:space="0" w:color="auto"/>
          </w:divBdr>
          <w:divsChild>
            <w:div w:id="7">
              <w:marLeft w:val="2970"/>
              <w:marRight w:val="0"/>
              <w:marTop w:val="0"/>
              <w:marBottom w:val="0"/>
              <w:divBdr>
                <w:top w:val="none" w:sz="0" w:space="0" w:color="auto"/>
                <w:left w:val="none" w:sz="0" w:space="0" w:color="auto"/>
                <w:bottom w:val="none" w:sz="0" w:space="0" w:color="auto"/>
                <w:right w:val="none" w:sz="0" w:space="0" w:color="auto"/>
              </w:divBdr>
              <w:divsChild>
                <w:div w:id="123">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sChild>
                        <w:div w:id="13">
                          <w:marLeft w:val="0"/>
                          <w:marRight w:val="0"/>
                          <w:marTop w:val="0"/>
                          <w:marBottom w:val="0"/>
                          <w:divBdr>
                            <w:top w:val="none" w:sz="0" w:space="0" w:color="auto"/>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sChild>
                                <w:div w:id="5">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single" w:sz="6" w:space="25" w:color="E2E2E2"/>
                                        <w:bottom w:val="single" w:sz="6" w:space="29" w:color="E2E2E2"/>
                                        <w:right w:val="single" w:sz="6" w:space="25" w:color="E2E2E2"/>
                                      </w:divBdr>
                                    </w:div>
                                  </w:divsChild>
                                </w:div>
                              </w:divsChild>
                            </w:div>
                          </w:divsChild>
                        </w:div>
                      </w:divsChild>
                    </w:div>
                  </w:divsChild>
                </w:div>
              </w:divsChild>
            </w:div>
          </w:divsChild>
        </w:div>
      </w:divsChild>
    </w:div>
    <w:div w:id="124">
      <w:marLeft w:val="0"/>
      <w:marRight w:val="0"/>
      <w:marTop w:val="0"/>
      <w:marBottom w:val="0"/>
      <w:divBdr>
        <w:top w:val="none" w:sz="0" w:space="0" w:color="auto"/>
        <w:left w:val="none" w:sz="0" w:space="0" w:color="auto"/>
        <w:bottom w:val="none" w:sz="0" w:space="0" w:color="auto"/>
        <w:right w:val="none" w:sz="0" w:space="0" w:color="auto"/>
      </w:divBdr>
    </w:div>
    <w:div w:id="206453084">
      <w:bodyDiv w:val="1"/>
      <w:marLeft w:val="0"/>
      <w:marRight w:val="0"/>
      <w:marTop w:val="0"/>
      <w:marBottom w:val="0"/>
      <w:divBdr>
        <w:top w:val="none" w:sz="0" w:space="0" w:color="auto"/>
        <w:left w:val="none" w:sz="0" w:space="0" w:color="auto"/>
        <w:bottom w:val="none" w:sz="0" w:space="0" w:color="auto"/>
        <w:right w:val="none" w:sz="0" w:space="0" w:color="auto"/>
      </w:divBdr>
      <w:divsChild>
        <w:div w:id="2025092395">
          <w:marLeft w:val="0"/>
          <w:marRight w:val="0"/>
          <w:marTop w:val="0"/>
          <w:marBottom w:val="0"/>
          <w:divBdr>
            <w:top w:val="none" w:sz="0" w:space="0" w:color="auto"/>
            <w:left w:val="none" w:sz="0" w:space="0" w:color="auto"/>
            <w:bottom w:val="none" w:sz="0" w:space="0" w:color="auto"/>
            <w:right w:val="none" w:sz="0" w:space="0" w:color="auto"/>
          </w:divBdr>
          <w:divsChild>
            <w:div w:id="1768500404">
              <w:marLeft w:val="0"/>
              <w:marRight w:val="0"/>
              <w:marTop w:val="0"/>
              <w:marBottom w:val="0"/>
              <w:divBdr>
                <w:top w:val="none" w:sz="0" w:space="0" w:color="auto"/>
                <w:left w:val="none" w:sz="0" w:space="0" w:color="auto"/>
                <w:bottom w:val="none" w:sz="0" w:space="0" w:color="auto"/>
                <w:right w:val="none" w:sz="0" w:space="0" w:color="auto"/>
              </w:divBdr>
              <w:divsChild>
                <w:div w:id="1595283791">
                  <w:marLeft w:val="0"/>
                  <w:marRight w:val="0"/>
                  <w:marTop w:val="0"/>
                  <w:marBottom w:val="0"/>
                  <w:divBdr>
                    <w:top w:val="none" w:sz="0" w:space="0" w:color="auto"/>
                    <w:left w:val="none" w:sz="0" w:space="0" w:color="auto"/>
                    <w:bottom w:val="none" w:sz="0" w:space="0" w:color="auto"/>
                    <w:right w:val="none" w:sz="0" w:space="0" w:color="auto"/>
                  </w:divBdr>
                  <w:divsChild>
                    <w:div w:id="578367054">
                      <w:marLeft w:val="0"/>
                      <w:marRight w:val="0"/>
                      <w:marTop w:val="0"/>
                      <w:marBottom w:val="0"/>
                      <w:divBdr>
                        <w:top w:val="none" w:sz="0" w:space="0" w:color="auto"/>
                        <w:left w:val="none" w:sz="0" w:space="0" w:color="auto"/>
                        <w:bottom w:val="none" w:sz="0" w:space="0" w:color="auto"/>
                        <w:right w:val="none" w:sz="0" w:space="0" w:color="auto"/>
                      </w:divBdr>
                    </w:div>
                    <w:div w:id="2040735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9626968">
      <w:bodyDiv w:val="1"/>
      <w:marLeft w:val="0"/>
      <w:marRight w:val="0"/>
      <w:marTop w:val="0"/>
      <w:marBottom w:val="0"/>
      <w:divBdr>
        <w:top w:val="none" w:sz="0" w:space="0" w:color="auto"/>
        <w:left w:val="none" w:sz="0" w:space="0" w:color="auto"/>
        <w:bottom w:val="none" w:sz="0" w:space="0" w:color="auto"/>
        <w:right w:val="none" w:sz="0" w:space="0" w:color="auto"/>
      </w:divBdr>
      <w:divsChild>
        <w:div w:id="240916759">
          <w:marLeft w:val="0"/>
          <w:marRight w:val="0"/>
          <w:marTop w:val="0"/>
          <w:marBottom w:val="0"/>
          <w:divBdr>
            <w:top w:val="none" w:sz="0" w:space="0" w:color="auto"/>
            <w:left w:val="none" w:sz="0" w:space="0" w:color="auto"/>
            <w:bottom w:val="none" w:sz="0" w:space="0" w:color="auto"/>
            <w:right w:val="none" w:sz="0" w:space="0" w:color="auto"/>
          </w:divBdr>
          <w:divsChild>
            <w:div w:id="408116174">
              <w:marLeft w:val="0"/>
              <w:marRight w:val="0"/>
              <w:marTop w:val="0"/>
              <w:marBottom w:val="0"/>
              <w:divBdr>
                <w:top w:val="none" w:sz="0" w:space="0" w:color="auto"/>
                <w:left w:val="none" w:sz="0" w:space="0" w:color="auto"/>
                <w:bottom w:val="none" w:sz="0" w:space="0" w:color="auto"/>
                <w:right w:val="none" w:sz="0" w:space="0" w:color="auto"/>
              </w:divBdr>
              <w:divsChild>
                <w:div w:id="1559899944">
                  <w:marLeft w:val="0"/>
                  <w:marRight w:val="0"/>
                  <w:marTop w:val="0"/>
                  <w:marBottom w:val="0"/>
                  <w:divBdr>
                    <w:top w:val="none" w:sz="0" w:space="0" w:color="auto"/>
                    <w:left w:val="none" w:sz="0" w:space="0" w:color="auto"/>
                    <w:bottom w:val="none" w:sz="0" w:space="0" w:color="auto"/>
                    <w:right w:val="none" w:sz="0" w:space="0" w:color="auto"/>
                  </w:divBdr>
                </w:div>
              </w:divsChild>
            </w:div>
            <w:div w:id="1369337082">
              <w:marLeft w:val="0"/>
              <w:marRight w:val="0"/>
              <w:marTop w:val="0"/>
              <w:marBottom w:val="0"/>
              <w:divBdr>
                <w:top w:val="none" w:sz="0" w:space="0" w:color="auto"/>
                <w:left w:val="none" w:sz="0" w:space="0" w:color="auto"/>
                <w:bottom w:val="none" w:sz="0" w:space="0" w:color="auto"/>
                <w:right w:val="none" w:sz="0" w:space="0" w:color="auto"/>
              </w:divBdr>
            </w:div>
            <w:div w:id="148157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765639">
      <w:bodyDiv w:val="1"/>
      <w:marLeft w:val="0"/>
      <w:marRight w:val="0"/>
      <w:marTop w:val="0"/>
      <w:marBottom w:val="0"/>
      <w:divBdr>
        <w:top w:val="none" w:sz="0" w:space="0" w:color="auto"/>
        <w:left w:val="none" w:sz="0" w:space="0" w:color="auto"/>
        <w:bottom w:val="none" w:sz="0" w:space="0" w:color="auto"/>
        <w:right w:val="none" w:sz="0" w:space="0" w:color="auto"/>
      </w:divBdr>
    </w:div>
    <w:div w:id="632908684">
      <w:bodyDiv w:val="1"/>
      <w:marLeft w:val="0"/>
      <w:marRight w:val="0"/>
      <w:marTop w:val="0"/>
      <w:marBottom w:val="0"/>
      <w:divBdr>
        <w:top w:val="none" w:sz="0" w:space="0" w:color="auto"/>
        <w:left w:val="none" w:sz="0" w:space="0" w:color="auto"/>
        <w:bottom w:val="none" w:sz="0" w:space="0" w:color="auto"/>
        <w:right w:val="none" w:sz="0" w:space="0" w:color="auto"/>
      </w:divBdr>
    </w:div>
    <w:div w:id="696470769">
      <w:bodyDiv w:val="1"/>
      <w:marLeft w:val="0"/>
      <w:marRight w:val="0"/>
      <w:marTop w:val="0"/>
      <w:marBottom w:val="0"/>
      <w:divBdr>
        <w:top w:val="none" w:sz="0" w:space="0" w:color="auto"/>
        <w:left w:val="none" w:sz="0" w:space="0" w:color="auto"/>
        <w:bottom w:val="none" w:sz="0" w:space="0" w:color="auto"/>
        <w:right w:val="none" w:sz="0" w:space="0" w:color="auto"/>
      </w:divBdr>
    </w:div>
    <w:div w:id="802969397">
      <w:bodyDiv w:val="1"/>
      <w:marLeft w:val="0"/>
      <w:marRight w:val="0"/>
      <w:marTop w:val="0"/>
      <w:marBottom w:val="0"/>
      <w:divBdr>
        <w:top w:val="none" w:sz="0" w:space="0" w:color="auto"/>
        <w:left w:val="none" w:sz="0" w:space="0" w:color="auto"/>
        <w:bottom w:val="none" w:sz="0" w:space="0" w:color="auto"/>
        <w:right w:val="none" w:sz="0" w:space="0" w:color="auto"/>
      </w:divBdr>
    </w:div>
    <w:div w:id="901523095">
      <w:bodyDiv w:val="1"/>
      <w:marLeft w:val="0"/>
      <w:marRight w:val="0"/>
      <w:marTop w:val="0"/>
      <w:marBottom w:val="0"/>
      <w:divBdr>
        <w:top w:val="none" w:sz="0" w:space="0" w:color="auto"/>
        <w:left w:val="none" w:sz="0" w:space="0" w:color="auto"/>
        <w:bottom w:val="none" w:sz="0" w:space="0" w:color="auto"/>
        <w:right w:val="none" w:sz="0" w:space="0" w:color="auto"/>
      </w:divBdr>
    </w:div>
    <w:div w:id="912398624">
      <w:bodyDiv w:val="1"/>
      <w:marLeft w:val="0"/>
      <w:marRight w:val="0"/>
      <w:marTop w:val="0"/>
      <w:marBottom w:val="0"/>
      <w:divBdr>
        <w:top w:val="none" w:sz="0" w:space="0" w:color="auto"/>
        <w:left w:val="none" w:sz="0" w:space="0" w:color="auto"/>
        <w:bottom w:val="none" w:sz="0" w:space="0" w:color="auto"/>
        <w:right w:val="none" w:sz="0" w:space="0" w:color="auto"/>
      </w:divBdr>
    </w:div>
    <w:div w:id="1123959757">
      <w:bodyDiv w:val="1"/>
      <w:marLeft w:val="0"/>
      <w:marRight w:val="0"/>
      <w:marTop w:val="0"/>
      <w:marBottom w:val="0"/>
      <w:divBdr>
        <w:top w:val="none" w:sz="0" w:space="0" w:color="auto"/>
        <w:left w:val="none" w:sz="0" w:space="0" w:color="auto"/>
        <w:bottom w:val="none" w:sz="0" w:space="0" w:color="auto"/>
        <w:right w:val="none" w:sz="0" w:space="0" w:color="auto"/>
      </w:divBdr>
    </w:div>
    <w:div w:id="1125394715">
      <w:bodyDiv w:val="1"/>
      <w:marLeft w:val="0"/>
      <w:marRight w:val="0"/>
      <w:marTop w:val="0"/>
      <w:marBottom w:val="0"/>
      <w:divBdr>
        <w:top w:val="none" w:sz="0" w:space="0" w:color="auto"/>
        <w:left w:val="none" w:sz="0" w:space="0" w:color="auto"/>
        <w:bottom w:val="none" w:sz="0" w:space="0" w:color="auto"/>
        <w:right w:val="none" w:sz="0" w:space="0" w:color="auto"/>
      </w:divBdr>
    </w:div>
    <w:div w:id="1133061545">
      <w:bodyDiv w:val="1"/>
      <w:marLeft w:val="0"/>
      <w:marRight w:val="0"/>
      <w:marTop w:val="0"/>
      <w:marBottom w:val="0"/>
      <w:divBdr>
        <w:top w:val="none" w:sz="0" w:space="0" w:color="auto"/>
        <w:left w:val="none" w:sz="0" w:space="0" w:color="auto"/>
        <w:bottom w:val="none" w:sz="0" w:space="0" w:color="auto"/>
        <w:right w:val="none" w:sz="0" w:space="0" w:color="auto"/>
      </w:divBdr>
    </w:div>
    <w:div w:id="1258833710">
      <w:bodyDiv w:val="1"/>
      <w:marLeft w:val="0"/>
      <w:marRight w:val="0"/>
      <w:marTop w:val="0"/>
      <w:marBottom w:val="0"/>
      <w:divBdr>
        <w:top w:val="none" w:sz="0" w:space="0" w:color="auto"/>
        <w:left w:val="none" w:sz="0" w:space="0" w:color="auto"/>
        <w:bottom w:val="none" w:sz="0" w:space="0" w:color="auto"/>
        <w:right w:val="none" w:sz="0" w:space="0" w:color="auto"/>
      </w:divBdr>
    </w:div>
    <w:div w:id="1307470335">
      <w:bodyDiv w:val="1"/>
      <w:marLeft w:val="0"/>
      <w:marRight w:val="0"/>
      <w:marTop w:val="0"/>
      <w:marBottom w:val="0"/>
      <w:divBdr>
        <w:top w:val="none" w:sz="0" w:space="0" w:color="auto"/>
        <w:left w:val="none" w:sz="0" w:space="0" w:color="auto"/>
        <w:bottom w:val="none" w:sz="0" w:space="0" w:color="auto"/>
        <w:right w:val="none" w:sz="0" w:space="0" w:color="auto"/>
      </w:divBdr>
    </w:div>
    <w:div w:id="1548491369">
      <w:bodyDiv w:val="1"/>
      <w:marLeft w:val="0"/>
      <w:marRight w:val="0"/>
      <w:marTop w:val="0"/>
      <w:marBottom w:val="0"/>
      <w:divBdr>
        <w:top w:val="none" w:sz="0" w:space="0" w:color="auto"/>
        <w:left w:val="none" w:sz="0" w:space="0" w:color="auto"/>
        <w:bottom w:val="none" w:sz="0" w:space="0" w:color="auto"/>
        <w:right w:val="none" w:sz="0" w:space="0" w:color="auto"/>
      </w:divBdr>
    </w:div>
    <w:div w:id="1608267442">
      <w:bodyDiv w:val="1"/>
      <w:marLeft w:val="0"/>
      <w:marRight w:val="0"/>
      <w:marTop w:val="0"/>
      <w:marBottom w:val="0"/>
      <w:divBdr>
        <w:top w:val="none" w:sz="0" w:space="0" w:color="auto"/>
        <w:left w:val="none" w:sz="0" w:space="0" w:color="auto"/>
        <w:bottom w:val="none" w:sz="0" w:space="0" w:color="auto"/>
        <w:right w:val="none" w:sz="0" w:space="0" w:color="auto"/>
      </w:divBdr>
    </w:div>
    <w:div w:id="1760323523">
      <w:bodyDiv w:val="1"/>
      <w:marLeft w:val="0"/>
      <w:marRight w:val="0"/>
      <w:marTop w:val="0"/>
      <w:marBottom w:val="0"/>
      <w:divBdr>
        <w:top w:val="none" w:sz="0" w:space="0" w:color="auto"/>
        <w:left w:val="none" w:sz="0" w:space="0" w:color="auto"/>
        <w:bottom w:val="none" w:sz="0" w:space="0" w:color="auto"/>
        <w:right w:val="none" w:sz="0" w:space="0" w:color="auto"/>
      </w:divBdr>
    </w:div>
    <w:div w:id="1854997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219C3C73E1BB8B46AC96171FE6EF6BC4" ma:contentTypeVersion="4" ma:contentTypeDescription="Kurkite naują dokumentą." ma:contentTypeScope="" ma:versionID="85c823a094f3a9f31c5276abca599c35">
  <xsd:schema xmlns:xsd="http://www.w3.org/2001/XMLSchema" xmlns:xs="http://www.w3.org/2001/XMLSchema" xmlns:p="http://schemas.microsoft.com/office/2006/metadata/properties" xmlns:ns2="43d43418-aab9-4ca3-bfd5-0091ec32d794" targetNamespace="http://schemas.microsoft.com/office/2006/metadata/properties" ma:root="true" ma:fieldsID="3d401bf59b0299c6c2ea99f3db23587f" ns2:_="">
    <xsd:import namespace="43d43418-aab9-4ca3-bfd5-0091ec32d794"/>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d43418-aab9-4ca3-bfd5-0091ec32d794"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LastSharedByUser" ma:index="10" nillable="true" ma:displayName="Paskutinį kartą bendrinta pagal vartotoją" ma:description="" ma:internalName="LastSharedByUser" ma:readOnly="true">
      <xsd:simpleType>
        <xsd:restriction base="dms:Note">
          <xsd:maxLength value="255"/>
        </xsd:restriction>
      </xsd:simpleType>
    </xsd:element>
    <xsd:element name="LastSharedByTime" ma:index="11" nillable="true" ma:displayName="Paskutinį kartą bendrinta pagal laiką" ma:description="" ma:internalName="LastSharedByTime" ma:readOnly="tru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3a23a335e5314732b88830332c170158" PartId="f905bf818e2a426289e543c733a9b354">
    <Part Type="preambule" DocPartId="172f006da7c94c398a19cd99a57e7d5c" PartId="42401ac927044b0691ab30b2025ae101"/>
    <Part Type="punktas" Nr="1" Abbr="1 p." DocPartId="2785be509db042ad87ea8331e4ea510d" PartId="836e04cbb39742f3b448f2e4ee212029">
      <Part Type="citata" DocPartId="60f39a23d4a1478787e649e0868352ec" PartId="faf8f6d49e424edbb481b07306723177">
        <Part Type="punktas" Nr="22" Abbr="22 p." DocPartId="e1081e39ee0a4cdcb69947316d46114b" PartId="56416c613c8f4b93853ee075a3622f61"/>
      </Part>
    </Part>
    <Part Type="punktas" Nr="2" Abbr="2 p." DocPartId="5e4698e7af984be6a1e5805644df87fe" PartId="2dddb16d310142a58617a5e90fb8ec08">
      <Part Type="citata" DocPartId="1b977666b36a455886cd4b94b022ea90" PartId="57154b4a102d45639e9d7e9d846f1691">
        <Part Type="papunktis" Nr="35.1" Abbr="35.1 pp." DocPartId="e3111c470fbe4bdea7359553fe2a4abd" PartId="5488eebf51b54b60b4c4ab67a949329d"/>
      </Part>
    </Part>
    <Part Type="punktas" Nr="3" Abbr="3 p." DocPartId="2b8ec9a3a69d4419b840ce654048c1ad" PartId="86f360203c3747808fde30226a633cf2">
      <Part Type="citata" DocPartId="62bbde6f689d48ff84ca26326318856e" PartId="4b2f840f813b482e8b6807bb084d342a">
        <Part Type="pastraipa" DocPartId="0f75f5db3f864d1986bd475996e01cae" PartId="6aef0944d8c34bdbae36ec70fc61584f"/>
      </Part>
    </Part>
    <Part Type="punktas" Nr="4" Abbr="4 p." DocPartId="b2156fd052a74e9daa51735dafb5c15a" PartId="f98f6cfe21d14ade9b8f8cc925085e94">
      <Part Type="citata" DocPartId="326f72a4347b4e96be71e7eb694e6eb7" PartId="5545616507f4480492e7e838dad23bad">
        <Part Type="pastraipa" DocPartId="38be3bc58d2447938d00cddb5f3ae467" PartId="e21798f703bb44e4bc115eb995d07a60"/>
      </Part>
    </Part>
    <Part Type="signatura" DocPartId="e3573bdd61f64cf2a9d86d46e7cb10a1" PartId="d064ad23ed5e4907bdc838f26a61dbcc"/>
  </Part>
</Parts>
</file>

<file path=customXml/itemProps1.xml><?xml version="1.0" encoding="utf-8"?>
<ds:datastoreItem xmlns:ds="http://schemas.openxmlformats.org/officeDocument/2006/customXml" ds:itemID="{17C568E5-4267-4D3C-AA91-EA8B2BF7C44C}">
  <ds:schemaRefs>
    <ds:schemaRef ds:uri="http://schemas.microsoft.com/sharepoint/v3/contenttype/forms"/>
  </ds:schemaRefs>
</ds:datastoreItem>
</file>

<file path=customXml/itemProps2.xml><?xml version="1.0" encoding="utf-8"?>
<ds:datastoreItem xmlns:ds="http://schemas.openxmlformats.org/officeDocument/2006/customXml" ds:itemID="{73208153-6218-4F59-BE38-2E5F2D3BC5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d43418-aab9-4ca3-bfd5-0091ec32d7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7487EF9-2C6A-4E62-905D-86CC9DA63435}">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43d43418-aab9-4ca3-bfd5-0091ec32d794"/>
    <ds:schemaRef ds:uri="http://www.w3.org/XML/1998/namespace"/>
    <ds:schemaRef ds:uri="http://purl.org/dc/elements/1.1/"/>
  </ds:schemaRefs>
</ds:datastoreItem>
</file>

<file path=customXml/itemProps4.xml><?xml version="1.0" encoding="utf-8"?>
<ds:datastoreItem xmlns:ds="http://schemas.openxmlformats.org/officeDocument/2006/customXml" ds:itemID="{5A5087B6-7613-4905-8B6E-59E3DAE1891E}">
  <ds:schemaRefs>
    <ds:schemaRef ds:uri="http://schemas.openxmlformats.org/officeDocument/2006/bibliography"/>
  </ds:schemaRefs>
</ds:datastoreItem>
</file>

<file path=customXml/itemProps5.xml><?xml version="1.0" encoding="utf-8"?>
<ds:datastoreItem xmlns:ds="http://schemas.openxmlformats.org/officeDocument/2006/customXml" ds:itemID="{20DED974-5F02-4704-AFE8-5337350D719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730</Words>
  <Characters>5076</Characters>
  <Application>Microsoft Office Word</Application>
  <DocSecurity>4</DocSecurity>
  <Lines>145</Lines>
  <Paragraphs>28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FM</Company>
  <LinksUpToDate>false</LinksUpToDate>
  <CharactersWithSpaces>5778</CharactersWithSpaces>
  <SharedDoc>false</SharedDoc>
  <HyperlinkBase/>
  <HLinks>
    <vt:vector size="54" baseType="variant">
      <vt:variant>
        <vt:i4>1507402</vt:i4>
      </vt:variant>
      <vt:variant>
        <vt:i4>21</vt:i4>
      </vt:variant>
      <vt:variant>
        <vt:i4>0</vt:i4>
      </vt:variant>
      <vt:variant>
        <vt:i4>5</vt:i4>
      </vt:variant>
      <vt:variant>
        <vt:lpwstr>http://www.esinvesticijos.lt/</vt:lpwstr>
      </vt:variant>
      <vt:variant>
        <vt:lpwstr/>
      </vt:variant>
      <vt:variant>
        <vt:i4>1507402</vt:i4>
      </vt:variant>
      <vt:variant>
        <vt:i4>18</vt:i4>
      </vt:variant>
      <vt:variant>
        <vt:i4>0</vt:i4>
      </vt:variant>
      <vt:variant>
        <vt:i4>5</vt:i4>
      </vt:variant>
      <vt:variant>
        <vt:lpwstr>http://www.esinvesticijos.lt/</vt:lpwstr>
      </vt:variant>
      <vt:variant>
        <vt:lpwstr/>
      </vt:variant>
      <vt:variant>
        <vt:i4>1507402</vt:i4>
      </vt:variant>
      <vt:variant>
        <vt:i4>15</vt:i4>
      </vt:variant>
      <vt:variant>
        <vt:i4>0</vt:i4>
      </vt:variant>
      <vt:variant>
        <vt:i4>5</vt:i4>
      </vt:variant>
      <vt:variant>
        <vt:lpwstr>http://www.esinvesticijos.lt/</vt:lpwstr>
      </vt:variant>
      <vt:variant>
        <vt:lpwstr/>
      </vt:variant>
      <vt:variant>
        <vt:i4>1507402</vt:i4>
      </vt:variant>
      <vt:variant>
        <vt:i4>12</vt:i4>
      </vt:variant>
      <vt:variant>
        <vt:i4>0</vt:i4>
      </vt:variant>
      <vt:variant>
        <vt:i4>5</vt:i4>
      </vt:variant>
      <vt:variant>
        <vt:lpwstr>http://www.esinvesticijos.lt/</vt:lpwstr>
      </vt:variant>
      <vt:variant>
        <vt:lpwstr/>
      </vt:variant>
      <vt:variant>
        <vt:i4>1507402</vt:i4>
      </vt:variant>
      <vt:variant>
        <vt:i4>9</vt:i4>
      </vt:variant>
      <vt:variant>
        <vt:i4>0</vt:i4>
      </vt:variant>
      <vt:variant>
        <vt:i4>5</vt:i4>
      </vt:variant>
      <vt:variant>
        <vt:lpwstr>http://www.esinvesticijos.lt/</vt:lpwstr>
      </vt:variant>
      <vt:variant>
        <vt:lpwstr/>
      </vt:variant>
      <vt:variant>
        <vt:i4>1704017</vt:i4>
      </vt:variant>
      <vt:variant>
        <vt:i4>6</vt:i4>
      </vt:variant>
      <vt:variant>
        <vt:i4>0</vt:i4>
      </vt:variant>
      <vt:variant>
        <vt:i4>5</vt:i4>
      </vt:variant>
      <vt:variant>
        <vt:lpwstr>http://www.ppplietuva.lt/</vt:lpwstr>
      </vt:variant>
      <vt:variant>
        <vt:lpwstr/>
      </vt:variant>
      <vt:variant>
        <vt:i4>1507402</vt:i4>
      </vt:variant>
      <vt:variant>
        <vt:i4>3</vt:i4>
      </vt:variant>
      <vt:variant>
        <vt:i4>0</vt:i4>
      </vt:variant>
      <vt:variant>
        <vt:i4>5</vt:i4>
      </vt:variant>
      <vt:variant>
        <vt:lpwstr>http://www.esinvesticijos.lt/</vt:lpwstr>
      </vt:variant>
      <vt:variant>
        <vt:lpwstr/>
      </vt:variant>
      <vt:variant>
        <vt:i4>1507402</vt:i4>
      </vt:variant>
      <vt:variant>
        <vt:i4>0</vt:i4>
      </vt:variant>
      <vt:variant>
        <vt:i4>0</vt:i4>
      </vt:variant>
      <vt:variant>
        <vt:i4>5</vt:i4>
      </vt:variant>
      <vt:variant>
        <vt:lpwstr>http://www.esinvesticijos.lt/</vt:lpwstr>
      </vt:variant>
      <vt:variant>
        <vt:lpwstr/>
      </vt:variant>
      <vt:variant>
        <vt:i4>1900565</vt:i4>
      </vt:variant>
      <vt:variant>
        <vt:i4>0</vt:i4>
      </vt:variant>
      <vt:variant>
        <vt:i4>0</vt:i4>
      </vt:variant>
      <vt:variant>
        <vt:i4>5</vt:i4>
      </vt:variant>
      <vt:variant>
        <vt:lpwstr>http://eur-lex.europa.eu/legal-content/LT/AUTO/?uri=OJ:L:2012:315:TOC</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2018-04-12T15:08:00Z</dcterms:created>
  <dc:creator>Žana Zimina</dc:creator>
  <lastModifiedBy>adlibuser</lastModifiedBy>
  <lastPrinted>2017-04-03T13:12:00Z</lastPrinted>
  <dcterms:modified xsi:type="dcterms:W3CDTF">2018-04-12T15:08:00Z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0x010100219C3C73E1BB8B46AC96171FE6EF6BC4</vt:lpwstr>
  </property>
</Properties>
</file>