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4CF00903" w14:textId="77777777">
      <w:pPr>
        <w:widowControl w:val="0"/>
        <w:ind w:left="7533" w:right="140" w:firstLine="243"/>
        <w:rPr>
          <w:rFonts w:eastAsia="Arial"/>
          <w:b/>
          <w:color w:val="000000"/>
          <w:szCs w:val="24"/>
          <w:lang w:eastAsia="lt-LT"/>
        </w:rPr>
      </w:pPr>
      <w:r>
        <w:rPr>
          <w:rFonts w:eastAsia="Arial"/>
          <w:b/>
          <w:color w:val="000000"/>
          <w:szCs w:val="24"/>
          <w:lang w:eastAsia="lt-LT"/>
        </w:rPr>
        <w:t>Projektas</w:t>
      </w:r>
    </w:p>
    <w:p w14:paraId="4CF00904" w14:textId="77777777">
      <w:pPr>
        <w:widowControl w:val="0"/>
        <w:ind w:right="140"/>
        <w:jc w:val="center"/>
        <w:rPr>
          <w:rFonts w:eastAsia="Arial"/>
          <w:b/>
          <w:color w:val="000000"/>
          <w:szCs w:val="24"/>
          <w:lang w:eastAsia="x-none"/>
        </w:rPr>
      </w:pPr>
    </w:p>
    <w:p w14:paraId="4CF00905" w14:textId="77777777">
      <w:pPr>
        <w:widowControl w:val="0"/>
        <w:ind w:right="140"/>
        <w:jc w:val="center"/>
        <w:rPr>
          <w:rFonts w:eastAsia="Arial"/>
          <w:b/>
          <w:caps/>
          <w:color w:val="000000"/>
          <w:szCs w:val="24"/>
          <w:lang w:eastAsia="lt-LT"/>
        </w:rPr>
      </w:pPr>
      <w:r>
        <w:rPr>
          <w:rFonts w:eastAsia="Arial"/>
          <w:b/>
          <w:caps/>
          <w:color w:val="000000"/>
          <w:szCs w:val="24"/>
          <w:lang w:eastAsia="lt-LT"/>
        </w:rPr>
        <w:t>LIETUVOS rESPUBLIKOS</w:t>
      </w:r>
    </w:p>
    <w:p w14:paraId="4CF00906" w14:textId="77777777">
      <w:pPr>
        <w:widowControl w:val="0"/>
        <w:ind w:right="140"/>
        <w:jc w:val="center"/>
        <w:rPr>
          <w:rFonts w:eastAsia="Arial"/>
          <w:b/>
          <w:caps/>
          <w:color w:val="000000"/>
          <w:szCs w:val="24"/>
          <w:lang w:eastAsia="lt-LT"/>
        </w:rPr>
      </w:pPr>
      <w:r>
        <w:rPr>
          <w:rFonts w:eastAsia="Arial"/>
          <w:b/>
          <w:caps/>
          <w:color w:val="000000"/>
          <w:szCs w:val="24"/>
          <w:lang w:eastAsia="lt-LT"/>
        </w:rPr>
        <w:t>MOKSLO IR STUDIJŲ ĮSTATYMO NR. XI-242 4, 17 STRAIPSNIŲ PAKEITIMO ĮSTATYMAS</w:t>
      </w:r>
    </w:p>
    <w:p w14:paraId="4CF00907" w14:textId="77777777">
      <w:pPr>
        <w:widowControl w:val="0"/>
        <w:ind w:right="140"/>
        <w:jc w:val="center"/>
        <w:rPr>
          <w:rFonts w:eastAsia="Arial"/>
          <w:b/>
          <w:caps/>
          <w:color w:val="000000"/>
          <w:szCs w:val="24"/>
          <w:lang w:eastAsia="lt-LT"/>
        </w:rPr>
      </w:pPr>
    </w:p>
    <w:p w14:paraId="4CF00908" w14:textId="77777777">
      <w:pPr>
        <w:widowControl w:val="0"/>
        <w:ind w:right="140"/>
        <w:jc w:val="center"/>
        <w:rPr>
          <w:rFonts w:eastAsia="Arial"/>
          <w:color w:val="000000"/>
          <w:szCs w:val="24"/>
          <w:lang w:eastAsia="lt-LT"/>
        </w:rPr>
      </w:pPr>
      <w:r>
        <w:rPr>
          <w:rFonts w:eastAsia="Arial"/>
          <w:color w:val="000000"/>
          <w:szCs w:val="24"/>
          <w:lang w:eastAsia="lt-LT"/>
        </w:rPr>
        <w:t xml:space="preserve">2021 m.            d. Nr. </w:t>
        <w:br/>
        <w:t>Vilnius</w:t>
      </w:r>
    </w:p>
    <w:p w14:paraId="4CF00909" w14:textId="77777777">
      <w:pPr>
        <w:widowControl w:val="0"/>
        <w:spacing w:line="360" w:lineRule="auto"/>
        <w:ind w:left="2268" w:right="140" w:hanging="1548"/>
        <w:jc w:val="both"/>
        <w:rPr>
          <w:b/>
          <w:bCs/>
          <w:color w:val="000000"/>
          <w:szCs w:val="24"/>
          <w:lang w:eastAsia="lt-LT"/>
        </w:rPr>
      </w:pPr>
    </w:p>
    <w:p w14:paraId="4CF0090A" w14:textId="77777777">
      <w:pPr>
        <w:spacing w:line="360" w:lineRule="auto"/>
        <w:ind w:right="140" w:firstLine="851"/>
        <w:jc w:val="both"/>
        <w:rPr>
          <w:rFonts w:eastAsia="Arial"/>
          <w:b/>
          <w:szCs w:val="24"/>
        </w:rPr>
      </w:pPr>
      <w:r>
        <w:rPr>
          <w:rFonts w:eastAsia="Arial"/>
          <w:b/>
          <w:szCs w:val="24"/>
        </w:rPr>
        <w:t>1</w:t>
      </w:r>
      <w:r>
        <w:rPr>
          <w:rFonts w:eastAsia="Arial"/>
          <w:b/>
          <w:szCs w:val="24"/>
        </w:rPr>
        <w:t xml:space="preserve"> straipsnis. </w:t>
      </w:r>
      <w:r>
        <w:rPr>
          <w:rFonts w:eastAsia="Arial"/>
          <w:b/>
          <w:szCs w:val="24"/>
        </w:rPr>
        <w:t>4 straipsnio pakeitimas</w:t>
      </w:r>
    </w:p>
    <w:p w14:paraId="4CF0090B" w14:textId="77777777">
      <w:pPr>
        <w:spacing w:line="360" w:lineRule="auto"/>
        <w:ind w:right="140" w:firstLine="851"/>
        <w:jc w:val="both"/>
        <w:rPr>
          <w:rFonts w:eastAsia="Arial"/>
          <w:szCs w:val="24"/>
        </w:rPr>
      </w:pPr>
      <w:r>
        <w:rPr>
          <w:rFonts w:eastAsia="Arial"/>
          <w:szCs w:val="24"/>
        </w:rPr>
        <w:t>Pakeisti 4 straipsnio 2 dalį ir ją išdėstyti taip:</w:t>
      </w:r>
    </w:p>
    <w:p w14:paraId="4CF0090C" w14:textId="77777777">
      <w:pPr>
        <w:widowControl w:val="0"/>
        <w:spacing w:line="360" w:lineRule="auto"/>
        <w:ind w:right="140" w:firstLine="851"/>
        <w:jc w:val="both"/>
        <w:rPr>
          <w:rFonts w:eastAsia="Arial"/>
          <w:bCs/>
          <w:color w:val="000000"/>
          <w:szCs w:val="24"/>
          <w:lang w:eastAsia="lt-LT"/>
        </w:rPr>
      </w:pPr>
      <w:r>
        <w:rPr>
          <w:color w:val="000000"/>
          <w:szCs w:val="24"/>
          <w:lang w:eastAsia="lt-LT"/>
        </w:rPr>
        <w:t>„</w:t>
      </w:r>
      <w:r>
        <w:rPr>
          <w:rFonts w:eastAsia="Arial"/>
          <w:color w:val="000000"/>
          <w:szCs w:val="24"/>
        </w:rPr>
        <w:t>2</w:t>
      </w:r>
      <w:r>
        <w:rPr>
          <w:rFonts w:eastAsia="Arial"/>
          <w:color w:val="000000"/>
          <w:szCs w:val="24"/>
        </w:rPr>
        <w:t xml:space="preserve">. Akademinė etika – visuma visuotinai pripažintų vertybių, principų ir mokslinių praktikų, užtikrinančių studijų ir su studijomis susijusios veiklos,  mokslinės veiklos ir mokslo (meno) sklaidos skaidrumą, sąžiningumą, teisingumą, atsakingumą, akademinę laisvę, pasitikėjimą ir pagarbą.</w:t>
      </w:r>
      <w:r>
        <w:rPr>
          <w:rFonts w:eastAsia="Calibri"/>
          <w:color w:val="000000"/>
          <w:szCs w:val="24"/>
        </w:rPr>
        <w:t>“</w:t>
      </w:r>
    </w:p>
    <w:p w14:paraId="4CF0090D" w14:textId="77777777">
      <w:pPr>
        <w:spacing w:line="360" w:lineRule="auto"/>
        <w:ind w:right="140" w:firstLine="851"/>
        <w:jc w:val="both"/>
        <w:rPr>
          <w:rFonts w:eastAsia="Arial"/>
          <w:b/>
          <w:szCs w:val="24"/>
        </w:rPr>
      </w:pPr>
    </w:p>
    <w:p w14:paraId="4CF0090E" w14:textId="77777777">
      <w:pPr>
        <w:spacing w:line="360" w:lineRule="auto"/>
        <w:ind w:right="140" w:firstLine="851"/>
        <w:jc w:val="both"/>
        <w:rPr>
          <w:rFonts w:eastAsia="Arial"/>
          <w:b/>
          <w:szCs w:val="24"/>
        </w:rPr>
      </w:pPr>
      <w:r>
        <w:rPr>
          <w:rFonts w:eastAsia="Arial"/>
          <w:b/>
          <w:szCs w:val="24"/>
        </w:rPr>
        <w:t>2</w:t>
      </w:r>
      <w:r>
        <w:rPr>
          <w:rFonts w:eastAsia="Arial"/>
          <w:b/>
          <w:szCs w:val="24"/>
        </w:rPr>
        <w:t xml:space="preserve"> straipsnis. </w:t>
      </w:r>
      <w:r>
        <w:rPr>
          <w:rFonts w:eastAsia="Arial"/>
          <w:b/>
          <w:szCs w:val="24"/>
        </w:rPr>
        <w:t>17 straipsnio pakeitimas</w:t>
      </w:r>
    </w:p>
    <w:p w14:paraId="4CF0090F" w14:textId="77777777">
      <w:pPr>
        <w:spacing w:line="360" w:lineRule="auto"/>
        <w:ind w:right="140" w:firstLine="851"/>
        <w:jc w:val="both"/>
        <w:rPr>
          <w:rFonts w:eastAsia="Arial"/>
          <w:szCs w:val="24"/>
        </w:rPr>
      </w:pPr>
      <w:r>
        <w:rPr>
          <w:rFonts w:eastAsia="Arial"/>
          <w:szCs w:val="24"/>
        </w:rPr>
        <w:t>Pakeisti 17 straipsnio 1 dalį ir ją išdėstyti taip:</w:t>
      </w:r>
    </w:p>
    <w:p w14:paraId="4CF00910" w14:textId="77777777">
      <w:pPr>
        <w:widowControl w:val="0"/>
        <w:spacing w:line="360" w:lineRule="auto"/>
        <w:ind w:right="140" w:firstLine="851"/>
        <w:jc w:val="both"/>
        <w:rPr>
          <w:rFonts w:eastAsia="Calibri"/>
          <w:color w:val="000000"/>
          <w:szCs w:val="24"/>
        </w:rPr>
      </w:pPr>
      <w:r>
        <w:rPr>
          <w:rFonts w:eastAsia="Calibri"/>
          <w:color w:val="000000"/>
          <w:szCs w:val="24"/>
        </w:rPr>
        <w:t>„</w:t>
      </w:r>
      <w:r>
        <w:rPr>
          <w:rFonts w:eastAsia="Calibri"/>
          <w:color w:val="000000"/>
          <w:szCs w:val="24"/>
        </w:rPr>
        <w:t>1</w:t>
      </w:r>
      <w:r>
        <w:rPr>
          <w:rFonts w:eastAsia="Calibri"/>
          <w:color w:val="000000"/>
          <w:szCs w:val="24"/>
        </w:rPr>
        <w:t>. A</w:t>
      </w:r>
      <w:r>
        <w:rPr>
          <w:rFonts w:eastAsia="Arial"/>
          <w:color w:val="000000"/>
          <w:szCs w:val="24"/>
        </w:rPr>
        <w:t xml:space="preserve">kademinės etikos ir procedūrų kontrolierius (toliau – kontrolierius) yra valstybės pareigūnas, nagrinėjantis skundus ir savo iniciatyva atliekantis tyrimus dėl galimų akademinės etikos ir </w:t>
      </w:r>
      <w:r>
        <w:rPr>
          <w:rFonts w:eastAsia="Arial"/>
          <w:bCs/>
          <w:color w:val="000000"/>
          <w:szCs w:val="24"/>
        </w:rPr>
        <w:t>su ja susijusių</w:t>
      </w:r>
      <w:r>
        <w:rPr>
          <w:rFonts w:eastAsia="Arial"/>
          <w:color w:val="000000"/>
          <w:szCs w:val="24"/>
        </w:rPr>
        <w:t xml:space="preserve"> procedūrų pažeidimų (toliau šiame straipsnyje – tyrimas).</w:t>
      </w:r>
      <w:r>
        <w:rPr>
          <w:rFonts w:eastAsia="Calibri"/>
          <w:color w:val="000000"/>
          <w:szCs w:val="24"/>
        </w:rPr>
        <w:t>“</w:t>
      </w:r>
    </w:p>
    <w:p w14:paraId="4CF00911" w14:textId="77777777">
      <w:pPr>
        <w:widowControl w:val="0"/>
        <w:spacing w:line="360" w:lineRule="auto"/>
        <w:ind w:right="142" w:firstLine="851"/>
        <w:jc w:val="both"/>
        <w:rPr>
          <w:rFonts w:eastAsia="Arial"/>
          <w:bCs/>
          <w:color w:val="000000"/>
          <w:szCs w:val="24"/>
          <w:lang w:eastAsia="lt-LT"/>
        </w:rPr>
      </w:pPr>
    </w:p>
    <w:p w14:paraId="4CF00912" w14:textId="77777777">
      <w:pPr>
        <w:spacing w:line="360" w:lineRule="auto"/>
        <w:ind w:right="142" w:firstLine="851"/>
        <w:jc w:val="both"/>
        <w:rPr>
          <w:rFonts w:eastAsia="Arial"/>
          <w:szCs w:val="24"/>
        </w:rPr>
      </w:pPr>
      <w:r>
        <w:rPr>
          <w:rFonts w:eastAsia="Arial"/>
          <w:bCs/>
          <w:szCs w:val="24"/>
        </w:rPr>
        <w:t>2</w:t>
      </w:r>
      <w:r>
        <w:rPr>
          <w:rFonts w:eastAsia="Arial"/>
          <w:bCs/>
          <w:szCs w:val="24"/>
        </w:rPr>
        <w:t xml:space="preserve">. </w:t>
      </w:r>
      <w:r>
        <w:rPr>
          <w:rFonts w:eastAsia="Arial"/>
          <w:szCs w:val="24"/>
        </w:rPr>
        <w:t>Pakeisti 17 straipsnio 10 dalį ir ją išdėstyti taip:</w:t>
      </w:r>
    </w:p>
    <w:p w14:paraId="4CF00913" w14:textId="77777777">
      <w:pPr>
        <w:widowControl w:val="0"/>
        <w:spacing w:line="360" w:lineRule="auto"/>
        <w:ind w:right="142" w:firstLine="851"/>
        <w:jc w:val="both"/>
        <w:rPr>
          <w:rFonts w:eastAsia="Calibri"/>
          <w:color w:val="000000"/>
          <w:szCs w:val="24"/>
        </w:rPr>
      </w:pPr>
      <w:r>
        <w:rPr>
          <w:rFonts w:eastAsia="Calibri"/>
          <w:color w:val="000000"/>
          <w:szCs w:val="24"/>
        </w:rPr>
        <w:t>„</w:t>
      </w:r>
      <w:r>
        <w:rPr>
          <w:rFonts w:eastAsia="Calibri"/>
          <w:color w:val="000000"/>
          <w:szCs w:val="24"/>
        </w:rPr>
        <w:t>10</w:t>
      </w:r>
      <w:r>
        <w:rPr>
          <w:rFonts w:eastAsia="Calibri"/>
          <w:color w:val="000000"/>
          <w:szCs w:val="24"/>
        </w:rPr>
        <w:t>.</w:t>
      </w:r>
      <w:r>
        <w:rPr>
          <w:rFonts w:eastAsia="Arial"/>
          <w:color w:val="000000"/>
          <w:szCs w:val="24"/>
          <w:lang w:eastAsia="lt-LT"/>
        </w:rPr>
        <w:t xml:space="preserve"> </w:t>
      </w:r>
      <w:r>
        <w:rPr>
          <w:rFonts w:eastAsia="Calibri"/>
          <w:color w:val="000000"/>
          <w:szCs w:val="24"/>
        </w:rPr>
        <w:t xml:space="preserve">Kontrolierius skundą išnagrinėja ar tyrimą atlieka, priima sprendimą ir raštu informuoja pareiškėją ne vėliau kaip per 30 dienų nuo skundo gavimo ar tyrimo pradėjimo dienos. Dėl skundo ar tyrimo aplinkybių sudėtingumo arba dėl to, kad nagrinėjant ar tiriant skundą prireikia gauti papildomos informacijos, skundo nagrinėjimo ar tyrimo ir sprendimo priėmimo terminas gali būti pratęstas. Pratęsti skundai turi būti ištirti ir kontrolieriaus iniciatyva pradėti tyrimai turi būti atlikti per kuo trumpesnį laiką.“ </w:t>
      </w:r>
    </w:p>
    <w:p w14:paraId="4CF00914" w14:textId="77777777">
      <w:pPr>
        <w:widowControl w:val="0"/>
        <w:spacing w:line="360" w:lineRule="auto"/>
        <w:ind w:right="142" w:firstLine="851"/>
        <w:jc w:val="both"/>
        <w:rPr>
          <w:rFonts w:eastAsia="Arial"/>
          <w:bCs/>
          <w:color w:val="000000"/>
          <w:szCs w:val="24"/>
          <w:lang w:eastAsia="lt-LT"/>
        </w:rPr>
      </w:pPr>
    </w:p>
    <w:p w14:paraId="4CF00915" w14:textId="77777777">
      <w:pPr>
        <w:spacing w:line="360" w:lineRule="auto"/>
        <w:ind w:right="142" w:firstLine="851"/>
        <w:jc w:val="both"/>
        <w:rPr>
          <w:rFonts w:eastAsia="Arial"/>
          <w:szCs w:val="24"/>
        </w:rPr>
      </w:pPr>
      <w:r>
        <w:rPr>
          <w:rFonts w:eastAsia="Arial"/>
          <w:szCs w:val="24"/>
        </w:rPr>
        <w:t>3</w:t>
      </w:r>
      <w:r>
        <w:rPr>
          <w:rFonts w:eastAsia="Arial"/>
          <w:szCs w:val="24"/>
        </w:rPr>
        <w:t>. Papildyti 17 straipsnį nauja dalimi:</w:t>
      </w:r>
    </w:p>
    <w:p w14:paraId="4CF00916" w14:textId="77777777">
      <w:pPr>
        <w:widowControl w:val="0"/>
        <w:spacing w:line="360" w:lineRule="auto"/>
        <w:ind w:right="142" w:firstLine="851"/>
        <w:jc w:val="both"/>
        <w:rPr>
          <w:rFonts w:eastAsia="Arial"/>
          <w:bCs/>
          <w:color w:val="000000"/>
          <w:szCs w:val="24"/>
          <w:lang w:eastAsia="lt-LT"/>
        </w:rPr>
      </w:pPr>
      <w:r>
        <w:rPr>
          <w:rFonts w:eastAsia="Arial"/>
          <w:bCs/>
          <w:color w:val="000000"/>
          <w:szCs w:val="24"/>
          <w:lang w:eastAsia="lt-LT"/>
        </w:rPr>
        <w:t>„</w:t>
      </w:r>
      <w:r>
        <w:rPr>
          <w:rFonts w:eastAsia="Arial"/>
          <w:color w:val="000000"/>
          <w:szCs w:val="24"/>
          <w:lang w:eastAsia="lt-LT"/>
        </w:rPr>
        <w:t>11</w:t>
      </w:r>
      <w:r>
        <w:rPr>
          <w:rFonts w:eastAsia="Arial"/>
          <w:color w:val="000000"/>
          <w:szCs w:val="24"/>
          <w:lang w:eastAsia="lt-LT"/>
        </w:rPr>
        <w:t>. Skundui dėl su studijomis susijusios veiklos pateikti nustatomas šešių mėnesių terminas nuo skundžiamų veiksmų padarymo ar skundžiamo sprendimo priėmimo. Skundai, pateikti praėjus šiam terminui, nenagrinėjami, jeigu kontrolierius nenusprendžia kitaip.</w:t>
      </w:r>
      <w:r>
        <w:rPr>
          <w:rFonts w:eastAsia="Arial"/>
          <w:bCs/>
          <w:color w:val="000000"/>
          <w:szCs w:val="24"/>
          <w:lang w:eastAsia="lt-LT"/>
        </w:rPr>
        <w:t xml:space="preserve">“ </w:t>
      </w:r>
    </w:p>
    <w:p w14:paraId="4CF00917" w14:textId="77777777">
      <w:pPr>
        <w:widowControl w:val="0"/>
        <w:spacing w:line="360" w:lineRule="auto"/>
        <w:ind w:right="142" w:firstLine="851"/>
        <w:jc w:val="both"/>
        <w:rPr>
          <w:rFonts w:eastAsia="Arial"/>
          <w:bCs/>
          <w:color w:val="000000"/>
          <w:szCs w:val="24"/>
          <w:lang w:eastAsia="lt-LT"/>
        </w:rPr>
      </w:pPr>
    </w:p>
    <w:p w14:paraId="4CF00918" w14:textId="77777777">
      <w:pPr>
        <w:spacing w:line="360" w:lineRule="auto"/>
        <w:ind w:right="142" w:firstLine="851"/>
        <w:jc w:val="both"/>
        <w:rPr>
          <w:rFonts w:eastAsia="Arial"/>
          <w:szCs w:val="24"/>
        </w:rPr>
      </w:pPr>
      <w:r>
        <w:rPr>
          <w:rFonts w:eastAsia="Arial"/>
          <w:bCs/>
          <w:szCs w:val="24"/>
        </w:rPr>
        <w:t>Buvusias 17 straipsnio 11, 12, 13, 14, 15, 16, 17, 18, 19, 20 ir 21 dalis laikyti atitinkamai 12, 13, 14, 15, 16, 17, 18, 19, 20, 21 ir 22 dalimis.</w:t>
      </w:r>
    </w:p>
    <w:p w14:paraId="4CF00919" w14:textId="77777777">
      <w:pPr>
        <w:widowControl w:val="0"/>
        <w:spacing w:line="360" w:lineRule="auto"/>
        <w:ind w:right="142" w:firstLine="851"/>
        <w:jc w:val="both"/>
        <w:rPr>
          <w:rFonts w:eastAsia="Arial"/>
          <w:bCs/>
          <w:color w:val="000000"/>
          <w:szCs w:val="24"/>
          <w:lang w:eastAsia="lt-LT"/>
        </w:rPr>
      </w:pPr>
    </w:p>
    <w:p w14:paraId="4CF0091A" w14:textId="77777777">
      <w:pPr>
        <w:widowControl w:val="0"/>
        <w:spacing w:line="360" w:lineRule="auto"/>
        <w:ind w:right="142" w:firstLine="851"/>
        <w:jc w:val="both"/>
        <w:rPr>
          <w:rFonts w:eastAsia="Arial"/>
          <w:color w:val="000000"/>
          <w:szCs w:val="24"/>
          <w:lang w:eastAsia="lt-LT"/>
        </w:rPr>
      </w:pPr>
      <w:r>
        <w:rPr>
          <w:rFonts w:eastAsia="Arial"/>
          <w:color w:val="000000"/>
          <w:szCs w:val="24"/>
          <w:lang w:eastAsia="lt-LT"/>
        </w:rPr>
        <w:t>4</w:t>
      </w:r>
      <w:r>
        <w:rPr>
          <w:rFonts w:eastAsia="Arial"/>
          <w:color w:val="000000"/>
          <w:szCs w:val="24"/>
          <w:lang w:eastAsia="lt-LT"/>
        </w:rPr>
        <w:t>. Pakeisti 17 straipsnio 11 dalį ir ją išdėstyti taip:</w:t>
      </w:r>
    </w:p>
    <w:p w14:paraId="4CF0091B" w14:textId="77777777">
      <w:pPr>
        <w:widowControl w:val="0"/>
        <w:spacing w:line="360" w:lineRule="auto"/>
        <w:ind w:right="142" w:firstLine="851"/>
        <w:jc w:val="both"/>
        <w:rPr>
          <w:rFonts w:eastAsia="Arial"/>
          <w:color w:val="000000"/>
          <w:szCs w:val="24"/>
          <w:lang w:eastAsia="lt-LT"/>
        </w:rPr>
      </w:pPr>
      <w:r>
        <w:rPr>
          <w:rFonts w:eastAsia="Arial"/>
          <w:bCs/>
          <w:color w:val="000000"/>
          <w:szCs w:val="24"/>
          <w:lang w:eastAsia="lt-LT"/>
        </w:rPr>
        <w:t>„</w:t>
      </w:r>
      <w:r>
        <w:rPr>
          <w:rFonts w:eastAsia="Arial"/>
          <w:color w:val="000000"/>
          <w:szCs w:val="24"/>
          <w:lang w:eastAsia="lt-LT"/>
        </w:rPr>
        <w:t>12</w:t>
      </w:r>
      <w:r>
        <w:rPr>
          <w:rFonts w:eastAsia="Arial"/>
          <w:color w:val="000000"/>
          <w:szCs w:val="24"/>
          <w:lang w:eastAsia="lt-LT"/>
        </w:rPr>
        <w:t>. Išnagrinėjęs skundą arba atlikęs tyrimą, kontrolierius priima sprendimą:</w:t>
      </w:r>
    </w:p>
    <w:p w14:paraId="4CF0091C" w14:textId="77777777">
      <w:pPr>
        <w:widowControl w:val="0"/>
        <w:spacing w:line="360" w:lineRule="auto"/>
        <w:ind w:right="142" w:firstLine="851"/>
        <w:jc w:val="both"/>
        <w:rPr>
          <w:rFonts w:eastAsia="Arial"/>
          <w:color w:val="000000"/>
          <w:szCs w:val="24"/>
        </w:rPr>
      </w:pPr>
      <w:r>
        <w:rPr>
          <w:rFonts w:eastAsia="Arial"/>
          <w:color w:val="000000"/>
          <w:szCs w:val="24"/>
        </w:rPr>
        <w:t>1</w:t>
      </w:r>
      <w:r>
        <w:rPr>
          <w:rFonts w:eastAsia="Arial"/>
          <w:color w:val="000000"/>
          <w:szCs w:val="24"/>
        </w:rPr>
        <w:t>) nustatyti akademinės etikos ir / ar procedūrų pažeidimą;</w:t>
      </w:r>
    </w:p>
    <w:p w14:paraId="4CF0091D" w14:textId="77777777">
      <w:pPr>
        <w:widowControl w:val="0"/>
        <w:spacing w:line="360" w:lineRule="auto"/>
        <w:ind w:right="142" w:firstLine="851"/>
        <w:jc w:val="both"/>
        <w:rPr>
          <w:rFonts w:eastAsia="Arial"/>
          <w:color w:val="000000"/>
          <w:szCs w:val="24"/>
        </w:rPr>
      </w:pPr>
      <w:r>
        <w:rPr>
          <w:rFonts w:eastAsia="Arial"/>
          <w:color w:val="000000"/>
          <w:szCs w:val="24"/>
        </w:rPr>
        <w:t>2</w:t>
      </w:r>
      <w:r>
        <w:rPr>
          <w:rFonts w:eastAsia="Arial"/>
          <w:color w:val="000000"/>
          <w:szCs w:val="24"/>
        </w:rPr>
        <w:t xml:space="preserve">) įpareigoti aukštojo mokslo kvalifikaciją suteikusią ir (arba) konkursą pareigoms eiti vykdžiusią instituciją atšaukti sprendimą dėl aukštojo mokslo kvalifikacijos suteikimo ir (arba) konkurso laimėtojo; </w:t>
      </w:r>
    </w:p>
    <w:p w14:paraId="4CF0091E" w14:textId="77777777">
      <w:pPr>
        <w:widowControl w:val="0"/>
        <w:spacing w:line="360" w:lineRule="auto"/>
        <w:ind w:right="142" w:firstLine="851"/>
        <w:jc w:val="both"/>
        <w:rPr>
          <w:rFonts w:eastAsia="Arial"/>
          <w:color w:val="000000"/>
          <w:szCs w:val="24"/>
        </w:rPr>
      </w:pPr>
      <w:r>
        <w:rPr>
          <w:rFonts w:eastAsia="Arial"/>
          <w:color w:val="000000"/>
          <w:szCs w:val="24"/>
        </w:rPr>
        <w:t>3</w:t>
      </w:r>
      <w:r>
        <w:rPr>
          <w:rFonts w:eastAsia="Arial"/>
          <w:color w:val="000000"/>
          <w:szCs w:val="24"/>
        </w:rPr>
        <w:t>) kreiptis į teismą, jeigu nevykdomas šios dalies 2 punkte nurodytas kontrolieriaus įpareigojimas;</w:t>
      </w:r>
    </w:p>
    <w:p w14:paraId="4CF0091F" w14:textId="77777777">
      <w:pPr>
        <w:widowControl w:val="0"/>
        <w:spacing w:line="360" w:lineRule="auto"/>
        <w:ind w:right="142" w:firstLine="851"/>
        <w:jc w:val="both"/>
        <w:rPr>
          <w:rFonts w:eastAsia="Arial"/>
          <w:color w:val="000000"/>
          <w:szCs w:val="24"/>
        </w:rPr>
      </w:pPr>
      <w:r>
        <w:rPr>
          <w:rFonts w:eastAsia="Arial"/>
          <w:color w:val="000000"/>
          <w:szCs w:val="24"/>
        </w:rPr>
        <w:t>4</w:t>
      </w:r>
      <w:r>
        <w:rPr>
          <w:rFonts w:eastAsia="Arial"/>
          <w:color w:val="000000"/>
          <w:szCs w:val="24"/>
        </w:rPr>
        <w:t xml:space="preserve">) pripažinti skundą ar tyrimą nepagrįstu; </w:t>
      </w:r>
    </w:p>
    <w:p w14:paraId="4CF00920" w14:textId="77777777">
      <w:pPr>
        <w:widowControl w:val="0"/>
        <w:spacing w:line="360" w:lineRule="auto"/>
        <w:ind w:right="142" w:firstLine="851"/>
        <w:jc w:val="both"/>
        <w:rPr>
          <w:rFonts w:eastAsia="Arial"/>
          <w:color w:val="000000"/>
          <w:szCs w:val="24"/>
        </w:rPr>
      </w:pPr>
      <w:r>
        <w:rPr>
          <w:rFonts w:eastAsia="Arial"/>
          <w:color w:val="000000"/>
          <w:szCs w:val="24"/>
        </w:rPr>
        <w:t>5</w:t>
      </w:r>
      <w:r>
        <w:rPr>
          <w:rFonts w:eastAsia="Arial"/>
          <w:color w:val="000000"/>
          <w:szCs w:val="24"/>
        </w:rPr>
        <w:t>) skundo nagrinėjimą ar tyrimą nutraukti;</w:t>
      </w:r>
    </w:p>
    <w:p w14:paraId="4CF00921" w14:textId="77777777">
      <w:pPr>
        <w:widowControl w:val="0"/>
        <w:spacing w:line="360" w:lineRule="auto"/>
        <w:ind w:right="142" w:firstLine="851"/>
        <w:jc w:val="both"/>
        <w:rPr>
          <w:rFonts w:eastAsia="Arial"/>
          <w:color w:val="000000"/>
          <w:szCs w:val="24"/>
        </w:rPr>
      </w:pPr>
      <w:r>
        <w:rPr>
          <w:rFonts w:eastAsia="Arial"/>
          <w:color w:val="000000"/>
          <w:szCs w:val="24"/>
        </w:rPr>
        <w:t>6</w:t>
      </w:r>
      <w:r>
        <w:rPr>
          <w:rFonts w:eastAsia="Arial"/>
          <w:color w:val="000000"/>
          <w:szCs w:val="24"/>
        </w:rPr>
        <w:t>) teikti rekomendaciją imtis priemonių, kad būtų pašalinti akademinės etikos ir (ar) procedūrų pažeidimai ir (ar) jų priežastys.</w:t>
      </w:r>
      <w:r>
        <w:rPr>
          <w:rFonts w:eastAsia="Calibri"/>
          <w:color w:val="000000"/>
          <w:szCs w:val="24"/>
        </w:rPr>
        <w:t>“</w:t>
      </w:r>
    </w:p>
    <w:p w14:paraId="4CF00922" w14:textId="77777777">
      <w:pPr>
        <w:widowControl w:val="0"/>
        <w:spacing w:line="360" w:lineRule="auto"/>
        <w:ind w:right="142" w:firstLine="851"/>
        <w:jc w:val="both"/>
        <w:rPr>
          <w:rFonts w:eastAsia="Arial"/>
          <w:color w:val="000000"/>
          <w:szCs w:val="24"/>
          <w:lang w:eastAsia="lt-LT"/>
        </w:rPr>
      </w:pPr>
      <w:r>
        <w:rPr>
          <w:rFonts w:eastAsia="Arial"/>
          <w:color w:val="000000"/>
          <w:szCs w:val="24"/>
          <w:lang w:eastAsia="lt-LT"/>
        </w:rPr>
        <w:t>7</w:t>
      </w:r>
      <w:r>
        <w:rPr>
          <w:rFonts w:eastAsia="Arial"/>
          <w:color w:val="000000"/>
          <w:szCs w:val="24"/>
          <w:lang w:eastAsia="lt-LT"/>
        </w:rPr>
        <w:t>) informuoti teisėsaugos institucijas, jeigu nustatoma nusikalstamos veikos požymių;“</w:t>
      </w:r>
    </w:p>
    <w:p w14:paraId="4CF00923" w14:textId="77777777">
      <w:pPr>
        <w:widowControl w:val="0"/>
        <w:spacing w:line="360" w:lineRule="auto"/>
        <w:ind w:right="142" w:firstLine="851"/>
        <w:jc w:val="both"/>
        <w:rPr>
          <w:rFonts w:eastAsia="Arial"/>
          <w:color w:val="000000"/>
          <w:szCs w:val="24"/>
          <w:lang w:eastAsia="lt-LT"/>
        </w:rPr>
      </w:pPr>
    </w:p>
    <w:p w14:paraId="4CF00924" w14:textId="77777777">
      <w:pPr>
        <w:widowControl w:val="0"/>
        <w:spacing w:line="360" w:lineRule="auto"/>
        <w:ind w:right="142" w:firstLine="851"/>
        <w:jc w:val="both"/>
        <w:rPr>
          <w:rFonts w:eastAsia="Arial"/>
          <w:bCs/>
          <w:color w:val="000000"/>
          <w:szCs w:val="24"/>
          <w:lang w:eastAsia="lt-LT"/>
        </w:rPr>
      </w:pPr>
      <w:r>
        <w:rPr>
          <w:rFonts w:eastAsia="Arial"/>
          <w:color w:val="000000"/>
          <w:szCs w:val="24"/>
          <w:lang w:eastAsia="lt-LT"/>
        </w:rPr>
        <w:t>5</w:t>
      </w:r>
      <w:r>
        <w:rPr>
          <w:rFonts w:eastAsia="Arial"/>
          <w:color w:val="000000"/>
          <w:szCs w:val="24"/>
          <w:lang w:eastAsia="lt-LT"/>
        </w:rPr>
        <w:t>. Pakeisti 17 straipsnio 14 dalį ir ją išdėstyti taip:</w:t>
      </w:r>
    </w:p>
    <w:p w14:paraId="4CF00925" w14:textId="77777777">
      <w:pPr>
        <w:widowControl w:val="0"/>
        <w:spacing w:line="360" w:lineRule="auto"/>
        <w:ind w:right="142" w:firstLine="851"/>
        <w:jc w:val="both"/>
        <w:rPr>
          <w:rFonts w:eastAsia="Arial"/>
          <w:color w:val="000000"/>
          <w:szCs w:val="24"/>
        </w:rPr>
      </w:pPr>
      <w:r>
        <w:rPr>
          <w:rFonts w:eastAsia="Arial"/>
          <w:bCs/>
          <w:color w:val="000000"/>
          <w:szCs w:val="24"/>
        </w:rPr>
        <w:t>„</w:t>
      </w:r>
      <w:r>
        <w:rPr>
          <w:rFonts w:eastAsia="Arial"/>
          <w:bCs/>
          <w:color w:val="000000"/>
          <w:szCs w:val="24"/>
        </w:rPr>
        <w:t>15</w:t>
      </w:r>
      <w:r>
        <w:rPr>
          <w:rFonts w:eastAsia="Arial"/>
          <w:bCs/>
          <w:color w:val="000000"/>
          <w:szCs w:val="24"/>
        </w:rPr>
        <w:t>.</w:t>
      </w:r>
      <w:r>
        <w:rPr>
          <w:rFonts w:eastAsia="Arial"/>
          <w:color w:val="000000"/>
          <w:szCs w:val="24"/>
        </w:rPr>
        <w:t xml:space="preserve"> Kontrolierius kartą per metus, iki kovo 1 dienos, atsiskaito Seimui už praėjusių kalendorinių metų Tarnybos veiklos ataskaitą.“</w:t>
      </w:r>
    </w:p>
    <w:p w14:paraId="4CF00926" w14:textId="77777777">
      <w:pPr>
        <w:widowControl w:val="0"/>
        <w:spacing w:line="360" w:lineRule="auto"/>
        <w:ind w:right="142" w:firstLine="851"/>
        <w:jc w:val="both"/>
        <w:rPr>
          <w:rFonts w:eastAsia="Arial"/>
          <w:bCs/>
          <w:color w:val="000000"/>
          <w:szCs w:val="24"/>
          <w:lang w:eastAsia="lt-LT"/>
        </w:rPr>
      </w:pPr>
    </w:p>
    <w:p w14:paraId="4CF00927" w14:textId="77777777">
      <w:pPr>
        <w:widowControl w:val="0"/>
        <w:spacing w:line="360" w:lineRule="auto"/>
        <w:ind w:right="142" w:firstLine="851"/>
        <w:jc w:val="both"/>
        <w:rPr>
          <w:rFonts w:eastAsia="Arial"/>
          <w:bCs/>
          <w:color w:val="000000"/>
          <w:szCs w:val="24"/>
          <w:lang w:eastAsia="lt-LT"/>
        </w:rPr>
      </w:pPr>
      <w:r>
        <w:rPr>
          <w:rFonts w:eastAsia="Arial"/>
          <w:color w:val="000000"/>
          <w:szCs w:val="24"/>
          <w:lang w:eastAsia="lt-LT"/>
        </w:rPr>
        <w:t>6</w:t>
      </w:r>
      <w:r>
        <w:rPr>
          <w:rFonts w:eastAsia="Arial"/>
          <w:color w:val="000000"/>
          <w:szCs w:val="24"/>
          <w:lang w:eastAsia="lt-LT"/>
        </w:rPr>
        <w:t>. Pakeisti 17 straipsnio 16 dalį ir ją išdėstyti taip:</w:t>
      </w:r>
    </w:p>
    <w:p w14:paraId="4CF00928" w14:textId="77777777">
      <w:pPr>
        <w:widowControl w:val="0"/>
        <w:spacing w:line="360" w:lineRule="auto"/>
        <w:ind w:right="142" w:firstLine="851"/>
        <w:jc w:val="both"/>
        <w:rPr>
          <w:rFonts w:eastAsia="Arial"/>
          <w:szCs w:val="24"/>
          <w:lang w:eastAsia="lt-LT"/>
        </w:rPr>
      </w:pPr>
      <w:r>
        <w:rPr>
          <w:rFonts w:eastAsia="Arial"/>
          <w:bCs/>
          <w:color w:val="000000"/>
          <w:szCs w:val="24"/>
          <w:lang w:eastAsia="lt-LT"/>
        </w:rPr>
        <w:t>„</w:t>
      </w:r>
      <w:r>
        <w:rPr>
          <w:rFonts w:eastAsia="Arial"/>
          <w:color w:val="000000"/>
          <w:szCs w:val="24"/>
          <w:lang w:eastAsia="lt-LT"/>
        </w:rPr>
        <w:t>17</w:t>
      </w:r>
      <w:r>
        <w:rPr>
          <w:rFonts w:eastAsia="Arial"/>
          <w:color w:val="000000"/>
          <w:szCs w:val="24"/>
          <w:lang w:eastAsia="lt-LT"/>
        </w:rPr>
        <w:t xml:space="preserve">. Kontrolierius gali atsisakyti nagrinėti skundą dėl galimų akademinės etikos ir (ar) procedūrų pažeidimų ir, informavęs pareiškėją, perduoti šį skundą atitinkamai mokslo ir studijų institucijai, jeigu dėl tų pačių galimų akademinės etikos ir procedūrų pažeidimų nebuvo kreiptasi į atitinkamą mokslo ir studijų instituciją. </w:t>
      </w:r>
      <w:r>
        <w:rPr>
          <w:rFonts w:eastAsia="Arial"/>
          <w:bCs/>
          <w:color w:val="000000"/>
          <w:szCs w:val="24"/>
          <w:lang w:eastAsia="lt-LT"/>
        </w:rPr>
        <w:t>Jei skundo nagrinėjimas gali sukelti</w:t>
      </w:r>
      <w:r>
        <w:rPr>
          <w:rFonts w:eastAsia="Arial"/>
          <w:color w:val="000000"/>
          <w:szCs w:val="24"/>
          <w:lang w:eastAsia="lt-LT"/>
        </w:rPr>
        <w:t xml:space="preserve"> </w:t>
      </w:r>
      <w:r>
        <w:rPr>
          <w:rFonts w:eastAsia="Arial"/>
          <w:bCs/>
          <w:color w:val="000000"/>
          <w:szCs w:val="24"/>
          <w:lang w:eastAsia="lt-LT"/>
        </w:rPr>
        <w:t>viešųjų ir privačių interesų konfliktą, kontrolierius informuoja Seimo valdybą apie interesų konfliktą ir pareiškia apie nusišalinimą. Tuo atveju, kai priimamas kontrolieriaus nusišalinimas ar jis nušalinamas nuo skundo nagrinėjimo, Seimo valdybos sprendimu skundo išnagrinėjimui paskiriamas Seimo kontrolierius arba Lygių galimybių kontrolierius</w:t>
      </w:r>
      <w:r>
        <w:rPr>
          <w:rFonts w:eastAsia="Arial"/>
          <w:color w:val="000000"/>
          <w:szCs w:val="24"/>
          <w:lang w:eastAsia="lt-LT"/>
        </w:rPr>
        <w:t xml:space="preserve">.“ </w:t>
      </w:r>
    </w:p>
    <w:p w14:paraId="4CF00929" w14:textId="77777777">
      <w:pPr>
        <w:widowControl w:val="0"/>
        <w:spacing w:line="360" w:lineRule="auto"/>
        <w:ind w:right="142" w:firstLine="851"/>
        <w:jc w:val="both"/>
        <w:rPr>
          <w:rFonts w:eastAsia="Arial"/>
          <w:color w:val="000000"/>
          <w:szCs w:val="24"/>
        </w:rPr>
      </w:pPr>
    </w:p>
    <w:p w14:paraId="4CF0092A" w14:textId="77777777">
      <w:pPr>
        <w:widowControl w:val="0"/>
        <w:spacing w:line="360" w:lineRule="auto"/>
        <w:ind w:right="142" w:firstLine="851"/>
        <w:jc w:val="both"/>
        <w:rPr>
          <w:rFonts w:eastAsia="Calibri"/>
          <w:bCs/>
          <w:color w:val="000000"/>
          <w:szCs w:val="24"/>
        </w:rPr>
      </w:pPr>
      <w:r>
        <w:rPr>
          <w:rFonts w:eastAsia="Calibri"/>
          <w:bCs/>
          <w:color w:val="000000"/>
          <w:szCs w:val="24"/>
        </w:rPr>
        <w:t>7</w:t>
      </w:r>
      <w:r>
        <w:rPr>
          <w:rFonts w:eastAsia="Calibri"/>
          <w:bCs/>
          <w:color w:val="000000"/>
          <w:szCs w:val="24"/>
        </w:rPr>
        <w:t xml:space="preserve">. Pakeisti 17 straipsnio 20 dalį </w:t>
      </w:r>
      <w:r>
        <w:rPr>
          <w:rFonts w:eastAsia="Arial"/>
          <w:bCs/>
          <w:color w:val="000000"/>
          <w:szCs w:val="24"/>
          <w:lang w:eastAsia="lt-LT"/>
        </w:rPr>
        <w:t>ir ją išdėstyti taip</w:t>
      </w:r>
      <w:r>
        <w:rPr>
          <w:rFonts w:eastAsia="Calibri"/>
          <w:bCs/>
          <w:color w:val="000000"/>
          <w:szCs w:val="24"/>
        </w:rPr>
        <w:t>:</w:t>
      </w:r>
    </w:p>
    <w:p w14:paraId="4CF0092B" w14:textId="77777777">
      <w:pPr>
        <w:widowControl w:val="0"/>
        <w:spacing w:line="360" w:lineRule="auto"/>
        <w:ind w:right="142" w:firstLine="851"/>
        <w:jc w:val="both"/>
        <w:rPr>
          <w:rFonts w:eastAsia="Calibri"/>
          <w:bCs/>
          <w:color w:val="000000"/>
          <w:szCs w:val="24"/>
        </w:rPr>
      </w:pPr>
      <w:r>
        <w:rPr>
          <w:rFonts w:eastAsia="Calibri"/>
          <w:bCs/>
          <w:color w:val="000000"/>
          <w:szCs w:val="24"/>
        </w:rPr>
        <w:t>„</w:t>
      </w:r>
      <w:r>
        <w:rPr>
          <w:rFonts w:eastAsia="Calibri"/>
          <w:bCs/>
          <w:color w:val="000000"/>
          <w:szCs w:val="24"/>
        </w:rPr>
        <w:t>21</w:t>
      </w:r>
      <w:r>
        <w:rPr>
          <w:rFonts w:eastAsia="Calibri"/>
          <w:bCs/>
          <w:color w:val="000000"/>
          <w:szCs w:val="24"/>
        </w:rPr>
        <w:t xml:space="preserve">. </w:t>
      </w:r>
      <w:r>
        <w:rPr>
          <w:rFonts w:eastAsia="Arial"/>
          <w:color w:val="000000"/>
          <w:szCs w:val="24"/>
        </w:rPr>
        <w:t xml:space="preserve">Kontrolierius apie sprendime nustatytus akademinės etikos ir (arba) procedūrų pažeidimus informuoja pareiškėją, atitinkamą mokslo ir studijų instituciją, </w:t>
      </w:r>
      <w:r>
        <w:rPr>
          <w:rFonts w:eastAsia="Arial"/>
          <w:bCs/>
          <w:color w:val="000000"/>
          <w:szCs w:val="24"/>
        </w:rPr>
        <w:t xml:space="preserve">Lietuvos Respublikos švietimo, mokslo ir sporto ministeriją, </w:t>
      </w:r>
      <w:r>
        <w:rPr>
          <w:rFonts w:eastAsia="Arial"/>
          <w:color w:val="000000"/>
          <w:szCs w:val="24"/>
        </w:rPr>
        <w:t>prireikus atitinkamos valstybinės mokslo ir studijų institucijos steigėją ir kitus asmenis.</w:t>
      </w:r>
      <w:r>
        <w:rPr>
          <w:rFonts w:eastAsia="Calibri"/>
          <w:color w:val="000000"/>
          <w:szCs w:val="24"/>
        </w:rPr>
        <w:t>“</w:t>
      </w:r>
      <w:r>
        <w:rPr>
          <w:rFonts w:eastAsia="Calibri"/>
          <w:bCs/>
          <w:color w:val="000000"/>
          <w:szCs w:val="24"/>
        </w:rPr>
        <w:t xml:space="preserve"> </w:t>
      </w:r>
    </w:p>
    <w:p w14:paraId="4CF0092C" w14:textId="77777777">
      <w:pPr>
        <w:widowControl w:val="0"/>
        <w:shd w:val="clear" w:color="auto" w:fill="FFFFFF"/>
        <w:spacing w:line="360" w:lineRule="auto"/>
        <w:ind w:right="142" w:firstLine="851"/>
        <w:jc w:val="both"/>
        <w:rPr>
          <w:rFonts w:eastAsia="Arial"/>
          <w:color w:val="000000"/>
          <w:szCs w:val="24"/>
        </w:rPr>
      </w:pPr>
    </w:p>
    <w:p w14:paraId="4CF0092D" w14:textId="77777777">
      <w:pPr>
        <w:widowControl w:val="0"/>
        <w:shd w:val="clear" w:color="auto" w:fill="FFFFFF"/>
        <w:spacing w:line="360" w:lineRule="auto"/>
        <w:ind w:right="142" w:firstLine="851"/>
        <w:jc w:val="both"/>
        <w:rPr>
          <w:rFonts w:eastAsia="Calibri"/>
          <w:bCs/>
          <w:color w:val="000000"/>
          <w:szCs w:val="24"/>
        </w:rPr>
      </w:pPr>
      <w:r>
        <w:rPr>
          <w:rFonts w:eastAsia="Arial"/>
          <w:color w:val="000000"/>
          <w:szCs w:val="24"/>
        </w:rPr>
        <w:t>8</w:t>
      </w:r>
      <w:r>
        <w:rPr>
          <w:rFonts w:eastAsia="Arial"/>
          <w:color w:val="000000"/>
          <w:szCs w:val="24"/>
        </w:rPr>
        <w:t xml:space="preserve">. </w:t>
      </w:r>
      <w:r>
        <w:rPr>
          <w:rFonts w:eastAsia="Calibri"/>
          <w:bCs/>
          <w:color w:val="000000"/>
          <w:szCs w:val="24"/>
        </w:rPr>
        <w:t xml:space="preserve">Pakeisti 17 straipsnio 21 dalį </w:t>
      </w:r>
      <w:r>
        <w:rPr>
          <w:rFonts w:eastAsia="Arial"/>
          <w:bCs/>
          <w:color w:val="000000"/>
          <w:szCs w:val="24"/>
          <w:lang w:eastAsia="lt-LT"/>
        </w:rPr>
        <w:t>ir ją išdėstyti taip</w:t>
      </w:r>
      <w:r>
        <w:rPr>
          <w:rFonts w:eastAsia="Calibri"/>
          <w:bCs/>
          <w:color w:val="000000"/>
          <w:szCs w:val="24"/>
        </w:rPr>
        <w:t>:</w:t>
      </w:r>
    </w:p>
    <w:p w14:paraId="4CF0092E" w14:textId="77777777">
      <w:pPr>
        <w:widowControl w:val="0"/>
        <w:spacing w:line="360" w:lineRule="auto"/>
        <w:ind w:right="142" w:firstLine="851"/>
        <w:jc w:val="both"/>
        <w:rPr>
          <w:rFonts w:eastAsia="Calibri"/>
          <w:color w:val="000000"/>
          <w:szCs w:val="24"/>
          <w:lang w:eastAsia="lt-LT"/>
        </w:rPr>
      </w:pPr>
      <w:r>
        <w:rPr>
          <w:rFonts w:eastAsia="Arial"/>
          <w:bCs/>
          <w:color w:val="000000"/>
          <w:szCs w:val="24"/>
          <w:lang w:eastAsia="lt-LT"/>
        </w:rPr>
        <w:t>„</w:t>
      </w:r>
      <w:r>
        <w:rPr>
          <w:rFonts w:eastAsia="Calibri"/>
          <w:color w:val="000000"/>
          <w:szCs w:val="24"/>
          <w:lang w:eastAsia="lt-LT"/>
        </w:rPr>
        <w:t>22</w:t>
      </w:r>
      <w:r>
        <w:rPr>
          <w:rFonts w:eastAsia="Calibri"/>
          <w:color w:val="000000"/>
          <w:szCs w:val="24"/>
          <w:lang w:eastAsia="lt-LT"/>
        </w:rPr>
        <w:t xml:space="preserve">. Mokslo ir studijų institucija </w:t>
      </w:r>
      <w:r>
        <w:rPr>
          <w:rFonts w:eastAsia="Calibri"/>
          <w:bCs/>
          <w:color w:val="000000"/>
          <w:szCs w:val="24"/>
          <w:lang w:eastAsia="lt-LT"/>
        </w:rPr>
        <w:t>per kontrolieriaus nustatytą terminą</w:t>
      </w:r>
      <w:r>
        <w:rPr>
          <w:rFonts w:eastAsia="Calibri"/>
          <w:color w:val="000000"/>
          <w:szCs w:val="24"/>
          <w:lang w:eastAsia="lt-LT"/>
        </w:rPr>
        <w:t xml:space="preserve"> privalo pateikti kontrolieriui informaciją, kokių ėmėsi, atsižvelgiant į kontrolieriaus sprendimą.“ </w:t>
      </w:r>
    </w:p>
    <w:p w14:paraId="4CF0092F" w14:textId="77777777">
      <w:pPr>
        <w:widowControl w:val="0"/>
        <w:shd w:val="clear" w:color="auto" w:fill="FFFFFF"/>
        <w:spacing w:line="360" w:lineRule="auto"/>
        <w:ind w:right="142" w:firstLine="851"/>
        <w:jc w:val="both"/>
        <w:rPr>
          <w:rFonts w:eastAsia="Arial"/>
          <w:color w:val="000000"/>
          <w:szCs w:val="24"/>
        </w:rPr>
      </w:pPr>
    </w:p>
    <w:p w14:paraId="4CF00930" w14:textId="77777777">
      <w:pPr>
        <w:spacing w:line="360" w:lineRule="auto"/>
        <w:ind w:right="142" w:firstLine="851"/>
        <w:jc w:val="both"/>
        <w:rPr>
          <w:rFonts w:eastAsia="Arial"/>
          <w:b/>
          <w:szCs w:val="24"/>
        </w:rPr>
      </w:pPr>
      <w:r>
        <w:rPr>
          <w:rFonts w:eastAsia="Arial"/>
          <w:b/>
          <w:szCs w:val="24"/>
        </w:rPr>
        <w:t>3</w:t>
      </w:r>
      <w:r>
        <w:rPr>
          <w:rFonts w:eastAsia="Arial"/>
          <w:b/>
          <w:szCs w:val="24"/>
        </w:rPr>
        <w:t xml:space="preserve"> </w:t>
      </w:r>
      <w:r>
        <w:rPr>
          <w:rFonts w:eastAsia="Arial"/>
          <w:b/>
          <w:bCs/>
          <w:szCs w:val="24"/>
        </w:rPr>
        <w:t xml:space="preserve">straipsnis. </w:t>
      </w:r>
      <w:r>
        <w:rPr>
          <w:rFonts w:eastAsia="Arial"/>
          <w:b/>
          <w:bCs/>
          <w:szCs w:val="24"/>
        </w:rPr>
        <w:t>Įstatymo įsigaliojimas</w:t>
      </w:r>
    </w:p>
    <w:p w14:paraId="4CF00931" w14:textId="77777777">
      <w:pPr>
        <w:widowControl w:val="0"/>
        <w:spacing w:line="360" w:lineRule="auto"/>
        <w:ind w:right="142" w:firstLine="851"/>
        <w:jc w:val="both"/>
        <w:rPr>
          <w:rFonts w:eastAsia="Arial"/>
          <w:color w:val="000000"/>
          <w:szCs w:val="24"/>
          <w:lang w:eastAsia="lt-LT"/>
        </w:rPr>
      </w:pPr>
      <w:r>
        <w:rPr>
          <w:rFonts w:eastAsia="Arial"/>
          <w:bCs/>
          <w:color w:val="000000"/>
          <w:szCs w:val="24"/>
          <w:lang w:eastAsia="lt-LT"/>
        </w:rPr>
        <w:t>Šis įstatymas įsigalioja 2021 m. liepos 1 d.</w:t>
      </w:r>
    </w:p>
    <w:p w14:paraId="4CF00932" w14:textId="77777777">
      <w:pPr>
        <w:widowControl w:val="0"/>
        <w:spacing w:line="360" w:lineRule="auto"/>
        <w:ind w:right="142" w:firstLine="913"/>
        <w:jc w:val="both"/>
        <w:rPr>
          <w:rFonts w:eastAsia="Arial"/>
          <w:b/>
          <w:color w:val="000000"/>
          <w:szCs w:val="24"/>
          <w:lang w:eastAsia="lt-LT"/>
        </w:rPr>
      </w:pPr>
    </w:p>
    <w:p w14:paraId="4CF00933" w14:textId="77777777">
      <w:pPr>
        <w:tabs>
          <w:tab w:val="left" w:pos="1134"/>
        </w:tabs>
        <w:spacing w:line="360" w:lineRule="auto"/>
        <w:ind w:right="142" w:firstLine="62"/>
        <w:jc w:val="both"/>
        <w:rPr>
          <w:bCs/>
          <w:i/>
          <w:color w:val="000000"/>
          <w:szCs w:val="24"/>
        </w:rPr>
      </w:pPr>
      <w:r>
        <w:rPr>
          <w:bCs/>
          <w:i/>
          <w:color w:val="000000"/>
          <w:szCs w:val="24"/>
        </w:rPr>
        <w:t>Skelbiu šį Lietuvos Respublikos Seimo priimtą įstatymą.</w:t>
      </w:r>
    </w:p>
    <w:p w14:paraId="4CF00934" w14:textId="77777777">
      <w:pPr>
        <w:tabs>
          <w:tab w:val="left" w:pos="1134"/>
        </w:tabs>
        <w:spacing w:line="360" w:lineRule="auto"/>
        <w:ind w:right="140" w:firstLine="851"/>
        <w:jc w:val="both"/>
        <w:rPr>
          <w:bCs/>
          <w:i/>
          <w:color w:val="000000"/>
          <w:szCs w:val="24"/>
        </w:rPr>
      </w:pPr>
    </w:p>
    <w:p w14:paraId="4CF00935" w14:textId="77777777">
      <w:pPr>
        <w:spacing w:line="360" w:lineRule="auto"/>
        <w:ind w:right="140"/>
        <w:jc w:val="both"/>
        <w:rPr>
          <w:szCs w:val="24"/>
        </w:rPr>
      </w:pPr>
      <w:r>
        <w:rPr>
          <w:bCs/>
          <w:szCs w:val="24"/>
        </w:rPr>
        <w:t>Respublikos Prezidentas</w:t>
      </w:r>
    </w:p>
    <w:p w14:paraId="4CF00936" w14:textId="77777777">
      <w:pPr>
        <w:widowControl w:val="0"/>
        <w:spacing w:line="360" w:lineRule="auto"/>
        <w:ind w:right="140" w:firstLine="1134"/>
        <w:jc w:val="both"/>
        <w:rPr>
          <w:color w:val="000000"/>
          <w:szCs w:val="24"/>
          <w:lang w:val="en-US" w:eastAsia="lt-LT"/>
        </w:rPr>
      </w:pPr>
    </w:p>
    <w:p w14:paraId="4CF00937" w14:textId="77777777">
      <w:pPr>
        <w:widowControl w:val="0"/>
        <w:spacing w:line="360" w:lineRule="auto"/>
        <w:ind w:right="140" w:firstLine="851"/>
        <w:jc w:val="both"/>
        <w:rPr>
          <w:rFonts w:eastAsia="Arial"/>
          <w:color w:val="000000"/>
          <w:szCs w:val="24"/>
          <w:lang w:eastAsia="lt-LT"/>
        </w:rPr>
      </w:pPr>
    </w:p>
    <w:p w14:paraId="4CF00938" w14:textId="77777777">
      <w:pPr>
        <w:widowControl w:val="0"/>
        <w:spacing w:line="360" w:lineRule="auto"/>
        <w:ind w:right="140"/>
        <w:jc w:val="both"/>
        <w:rPr>
          <w:color w:val="000000"/>
          <w:szCs w:val="24"/>
          <w:lang w:eastAsia="lt-LT"/>
        </w:rPr>
      </w:pPr>
      <w:r>
        <w:rPr>
          <w:rFonts w:eastAsia="Arial"/>
          <w:color w:val="000000"/>
          <w:szCs w:val="24"/>
          <w:lang w:eastAsia="lt-LT"/>
        </w:rPr>
        <w:t xml:space="preserve">Teikia </w:t>
      </w:r>
    </w:p>
    <w:p w14:paraId="4CF00939" w14:textId="77777777">
      <w:pPr>
        <w:widowControl w:val="0"/>
        <w:spacing w:line="360" w:lineRule="auto"/>
        <w:ind w:right="140"/>
        <w:jc w:val="both"/>
        <w:rPr>
          <w:rFonts w:eastAsia="Arial"/>
          <w:color w:val="000000"/>
          <w:szCs w:val="24"/>
          <w:lang w:eastAsia="lt-LT"/>
        </w:rPr>
      </w:pPr>
      <w:r>
        <w:rPr>
          <w:rFonts w:eastAsia="Arial"/>
          <w:color w:val="000000"/>
          <w:szCs w:val="24"/>
          <w:lang w:eastAsia="lt-LT"/>
        </w:rPr>
        <w:t xml:space="preserve">Seimo narys </w:t>
        <w:tab/>
        <w:tab/>
        <w:tab/>
        <w:tab/>
        <w:tab/>
        <w:t>Artūras Žukauskas</w:t>
      </w:r>
    </w:p>
    <w:p w14:paraId="4CF0093A" w14:textId="77777777">
      <w:pPr>
        <w:widowControl w:val="0"/>
        <w:spacing w:line="360" w:lineRule="auto"/>
        <w:ind w:right="140" w:firstLine="851"/>
        <w:jc w:val="both"/>
        <w:rPr>
          <w:rFonts w:eastAsia="Arial"/>
          <w:color w:val="000000"/>
          <w:szCs w:val="24"/>
          <w:lang w:eastAsia="lt-LT"/>
        </w:rPr>
      </w:pPr>
    </w:p>
    <w:p w14:paraId="4CF0093B" w14:textId="77777777">
      <w:pPr>
        <w:widowControl w:val="0"/>
        <w:spacing w:line="360" w:lineRule="auto"/>
        <w:ind w:right="140" w:firstLine="1134"/>
        <w:jc w:val="both"/>
        <w:rPr>
          <w:rFonts w:eastAsia="Arial"/>
          <w:color w:val="000000"/>
          <w:szCs w:val="24"/>
          <w:lang w:eastAsia="lt-LT"/>
        </w:rPr>
      </w:pPr>
    </w:p>
    <w:sectPr>
      <w:pgSz w:w="11906" w:h="16838"/>
      <w:pgMar w:top="1134"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090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49577483">
      <w:bodyDiv w:val="1"/>
      <w:marLeft w:val="0"/>
      <w:marRight w:val="0"/>
      <w:marTop w:val="0"/>
      <w:marBottom w:val="0"/>
      <w:divBdr>
        <w:top w:val="none" w:sz="0" w:space="0" w:color="auto"/>
        <w:left w:val="none" w:sz="0" w:space="0" w:color="auto"/>
        <w:bottom w:val="none" w:sz="0" w:space="0" w:color="auto"/>
        <w:right w:val="none" w:sz="0" w:space="0" w:color="auto"/>
      </w:divBdr>
    </w:div>
    <w:div w:id="325942713">
      <w:bodyDiv w:val="1"/>
      <w:marLeft w:val="0"/>
      <w:marRight w:val="0"/>
      <w:marTop w:val="0"/>
      <w:marBottom w:val="0"/>
      <w:divBdr>
        <w:top w:val="none" w:sz="0" w:space="0" w:color="auto"/>
        <w:left w:val="none" w:sz="0" w:space="0" w:color="auto"/>
        <w:bottom w:val="none" w:sz="0" w:space="0" w:color="auto"/>
        <w:right w:val="none" w:sz="0" w:space="0" w:color="auto"/>
      </w:divBdr>
      <w:divsChild>
        <w:div w:id="686718840">
          <w:marLeft w:val="0"/>
          <w:marRight w:val="0"/>
          <w:marTop w:val="0"/>
          <w:marBottom w:val="0"/>
          <w:divBdr>
            <w:top w:val="none" w:sz="0" w:space="0" w:color="auto"/>
            <w:left w:val="none" w:sz="0" w:space="0" w:color="auto"/>
            <w:bottom w:val="none" w:sz="0" w:space="0" w:color="auto"/>
            <w:right w:val="none" w:sz="0" w:space="0" w:color="auto"/>
          </w:divBdr>
        </w:div>
        <w:div w:id="1083068320">
          <w:marLeft w:val="0"/>
          <w:marRight w:val="0"/>
          <w:marTop w:val="0"/>
          <w:marBottom w:val="0"/>
          <w:divBdr>
            <w:top w:val="none" w:sz="0" w:space="0" w:color="auto"/>
            <w:left w:val="none" w:sz="0" w:space="0" w:color="auto"/>
            <w:bottom w:val="none" w:sz="0" w:space="0" w:color="auto"/>
            <w:right w:val="none" w:sz="0" w:space="0" w:color="auto"/>
          </w:divBdr>
        </w:div>
        <w:div w:id="1245190727">
          <w:marLeft w:val="0"/>
          <w:marRight w:val="0"/>
          <w:marTop w:val="0"/>
          <w:marBottom w:val="0"/>
          <w:divBdr>
            <w:top w:val="none" w:sz="0" w:space="0" w:color="auto"/>
            <w:left w:val="none" w:sz="0" w:space="0" w:color="auto"/>
            <w:bottom w:val="none" w:sz="0" w:space="0" w:color="auto"/>
            <w:right w:val="none" w:sz="0" w:space="0" w:color="auto"/>
          </w:divBdr>
        </w:div>
      </w:divsChild>
    </w:div>
    <w:div w:id="159220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3888</Characters>
  <Application>Microsoft Office Word</Application>
  <DocSecurity>4</DocSecurity>
  <Lines>88</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2021-02-19T12:02:00Z</dcterms:created>
  <dc:creator>STEPONĖNIENĖ Rūta</dc:creator>
  <lastModifiedBy>adlibuser</lastModifiedBy>
  <dcterms:modified xsi:type="dcterms:W3CDTF">2021-02-19T12:02:00Z</dcterms:modified>
  <revision>2</revision>
</coreProperties>
</file>