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0dea96c25a40219c2939fbab86c41d"/>
        <w:lock w:val="sdtLocked"/>
        <w:richText/>
      </w:sdtPr>
      <w:sdtContent>
        <w:p>
          <w:pPr>
            <w:tabs>
              <w:tab w:val="center" w:pos="4819"/>
              <w:tab w:val="right" w:pos="9638"/>
            </w:tabs>
            <w:rPr>
              <w:szCs w:val="24"/>
              <w:lang w:eastAsia="lt-LT"/>
            </w:rPr>
          </w:pPr>
        </w:p>
        <w:p>
          <w:pPr>
            <w:ind w:left="5954"/>
            <w:jc w:val="right"/>
            <w:rPr>
              <w:b/>
              <w:szCs w:val="24"/>
              <w:lang w:eastAsia="lt-LT"/>
            </w:rPr>
          </w:pPr>
          <w:r>
            <w:rPr>
              <w:b/>
              <w:caps/>
              <w:szCs w:val="24"/>
              <w:lang w:eastAsia="lt-LT"/>
            </w:rPr>
            <w:t>P</w:t>
          </w:r>
          <w:r>
            <w:rPr>
              <w:b/>
              <w:szCs w:val="24"/>
              <w:lang w:eastAsia="lt-LT"/>
            </w:rPr>
            <w:t>rojektas</w:t>
          </w:r>
        </w:p>
        <w:p>
          <w:pPr>
            <w:ind w:right="98"/>
            <w:jc w:val="center"/>
            <w:rPr>
              <w:b/>
              <w:szCs w:val="24"/>
              <w:lang w:eastAsia="lt-LT"/>
            </w:rPr>
          </w:pPr>
        </w:p>
        <w:p>
          <w:pPr>
            <w:ind w:right="98"/>
            <w:jc w:val="center"/>
            <w:rPr>
              <w:b/>
              <w:szCs w:val="24"/>
              <w:lang w:eastAsia="lt-LT"/>
            </w:rPr>
          </w:pPr>
          <w:r>
            <w:rPr>
              <w:b/>
              <w:szCs w:val="24"/>
              <w:lang w:eastAsia="lt-LT"/>
            </w:rPr>
            <w:t>LIETUVOS RESPUBLIKOS VYRIAUSYBĖ</w:t>
          </w:r>
        </w:p>
        <w:p>
          <w:pPr>
            <w:ind w:right="98"/>
            <w:jc w:val="center"/>
            <w:rPr>
              <w:b/>
              <w:szCs w:val="24"/>
              <w:lang w:eastAsia="lt-LT"/>
            </w:rPr>
          </w:pPr>
        </w:p>
        <w:p>
          <w:pPr>
            <w:ind w:right="-81"/>
            <w:jc w:val="center"/>
            <w:rPr>
              <w:b/>
              <w:szCs w:val="24"/>
              <w:lang w:eastAsia="lt-LT"/>
            </w:rPr>
          </w:pPr>
          <w:r>
            <w:rPr>
              <w:b/>
              <w:szCs w:val="24"/>
              <w:lang w:eastAsia="lt-LT"/>
            </w:rPr>
            <w:t>NUTARIMAS</w:t>
          </w:r>
        </w:p>
        <w:p>
          <w:pPr>
            <w:jc w:val="center"/>
            <w:rPr>
              <w:b/>
              <w:caps/>
              <w:szCs w:val="24"/>
              <w:lang w:eastAsia="lt-LT"/>
            </w:rPr>
          </w:pPr>
          <w:r>
            <w:rPr>
              <w:b/>
              <w:caps/>
              <w:szCs w:val="24"/>
              <w:lang w:eastAsia="lt-LT"/>
            </w:rPr>
            <w:t>DĖL Lietuvos Respublikos Vyriausybės 2002 m. gegužės 29 d. nutarimo Nr. 780 „Dėl Mokesčiams apskaičiuoti naudojamų apskaitos dokumentų išrašymo ir pripažinimo taisyklių patvirtinimo“ pakeitimo</w:t>
          </w:r>
        </w:p>
        <w:p>
          <w:pPr>
            <w:jc w:val="center"/>
            <w:rPr>
              <w:szCs w:val="24"/>
              <w:lang w:eastAsia="lt-LT"/>
            </w:rPr>
          </w:pPr>
        </w:p>
        <w:p>
          <w:pPr>
            <w:ind w:right="98"/>
            <w:jc w:val="center"/>
            <w:rPr>
              <w:szCs w:val="24"/>
              <w:lang w:eastAsia="lt-LT"/>
            </w:rPr>
          </w:pPr>
          <w:r>
            <w:rPr>
              <w:szCs w:val="24"/>
              <w:lang w:eastAsia="lt-LT"/>
            </w:rPr>
            <w:t xml:space="preserve">2022 m.    </w:t>
            <w:tab/>
            <w:t xml:space="preserve">               d. Nr.</w:t>
          </w:r>
        </w:p>
        <w:p>
          <w:pPr>
            <w:ind w:right="98"/>
            <w:jc w:val="center"/>
            <w:rPr>
              <w:szCs w:val="24"/>
              <w:lang w:eastAsia="lt-LT"/>
            </w:rPr>
          </w:pPr>
          <w:r>
            <w:rPr>
              <w:szCs w:val="24"/>
              <w:lang w:eastAsia="lt-LT"/>
            </w:rPr>
            <w:t>Vilnius</w:t>
          </w:r>
        </w:p>
        <w:p>
          <w:pPr>
            <w:ind w:right="98"/>
            <w:jc w:val="center"/>
            <w:rPr>
              <w:b/>
              <w:szCs w:val="24"/>
              <w:lang w:eastAsia="lt-LT"/>
            </w:rPr>
          </w:pPr>
        </w:p>
        <w:sdt>
          <w:sdtPr>
            <w:alias w:val="preambule"/>
            <w:tag w:val="part_afd57196fea0435e9454666d69e01a39"/>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80"/>
                  <w:szCs w:val="24"/>
                  <w:lang w:eastAsia="lt-LT"/>
                </w:rPr>
                <w:t xml:space="preserve"> nutari</w:t>
              </w:r>
              <w:r>
                <w:rPr>
                  <w:szCs w:val="24"/>
                  <w:lang w:eastAsia="lt-LT"/>
                </w:rPr>
                <w:t>a:</w:t>
              </w:r>
            </w:p>
          </w:sdtContent>
        </w:sdt>
        <w:sdt>
          <w:sdtPr>
            <w:alias w:val="1 p."/>
            <w:tag w:val="part_a197f1bfd81242f5a725b5fdc17db333"/>
            <w:lock w:val="sdtLocked"/>
            <w:richText/>
          </w:sdtPr>
          <w:sdtContent>
            <w:p>
              <w:pPr>
                <w:spacing w:line="360" w:lineRule="atLeast"/>
                <w:ind w:firstLine="720"/>
                <w:jc w:val="both"/>
                <w:rPr>
                  <w:color w:val="000000"/>
                  <w:szCs w:val="24"/>
                  <w:lang w:eastAsia="lt-LT"/>
                </w:rPr>
              </w:pPr>
              <w:sdt>
                <w:sdtPr>
                  <w:alias w:val="Numeris"/>
                  <w:tag w:val="nr_a197f1bfd81242f5a725b5fdc17db333"/>
                  <w:lock w:val="sdtLocked"/>
                  <w:richText/>
                </w:sdtPr>
                <w:sdtContent>
                  <w:r>
                    <w:rPr>
                      <w:color w:val="000000"/>
                      <w:szCs w:val="24"/>
                      <w:lang w:eastAsia="lt-LT"/>
                    </w:rPr>
                    <w:t>1</w:t>
                  </w:r>
                </w:sdtContent>
              </w:sdt>
              <w:r>
                <w:rPr>
                  <w:color w:val="000000"/>
                  <w:szCs w:val="24"/>
                  <w:lang w:eastAsia="lt-LT"/>
                </w:rPr>
                <w:t>. Pakeisti Lietuvos Respublikos Vyriausybės 2002 m. gegužės 29 d. nutarimą Nr. 780 „Dėl Mokesčiams apskaičiuoti naudojamų apskaitos dokumentų išrašymo ir pripažinimo taisyklių patvirtinimo“:</w:t>
              </w:r>
            </w:p>
            <w:sdt>
              <w:sdtPr>
                <w:alias w:val="1.1 pp."/>
                <w:tag w:val="part_c40e8544a69c4853856c810eb54b2232"/>
                <w:lock w:val="sdtLocked"/>
                <w:richText/>
              </w:sdtPr>
              <w:sdtContent>
                <w:p>
                  <w:pPr>
                    <w:spacing w:line="360" w:lineRule="atLeast"/>
                    <w:ind w:firstLine="720"/>
                    <w:jc w:val="both"/>
                    <w:rPr>
                      <w:color w:val="000000"/>
                      <w:szCs w:val="24"/>
                      <w:lang w:eastAsia="lt-LT"/>
                    </w:rPr>
                  </w:pPr>
                  <w:sdt>
                    <w:sdtPr>
                      <w:alias w:val="Numeris"/>
                      <w:tag w:val="nr_c40e8544a69c4853856c810eb54b2232"/>
                      <w:lock w:val="sdtLocked"/>
                      <w:richText/>
                    </w:sdtPr>
                    <w:sdtContent>
                      <w:r>
                        <w:rPr>
                          <w:color w:val="000000"/>
                          <w:szCs w:val="24"/>
                          <w:lang w:eastAsia="lt-LT"/>
                        </w:rPr>
                        <w:t>1.1</w:t>
                      </w:r>
                    </w:sdtContent>
                  </w:sdt>
                  <w:r>
                    <w:rPr>
                      <w:color w:val="000000"/>
                      <w:szCs w:val="24"/>
                      <w:lang w:eastAsia="lt-LT"/>
                    </w:rPr>
                    <w:t>. Pakeisti preambulę ir ją išdėstyti taip:</w:t>
                  </w:r>
                </w:p>
                <w:sdt>
                  <w:sdtPr>
                    <w:alias w:val="citata"/>
                    <w:tag w:val="part_32b78ffd930d4910a1c1f16d107b5c65"/>
                    <w:lock w:val="sdtLocked"/>
                    <w:richText/>
                  </w:sdtPr>
                  <w:sdtContent>
                    <w:sdt>
                      <w:sdtPr>
                        <w:alias w:val="pastraipa"/>
                        <w:tag w:val="part_8cffd551acc3488aa4643a2418d04c81"/>
                        <w:lock w:val="sdtLocked"/>
                        <w:richText/>
                      </w:sdtPr>
                      <w:sdtContent>
                        <w:p>
                          <w:pPr>
                            <w:spacing w:line="360" w:lineRule="atLeast"/>
                            <w:ind w:firstLine="720"/>
                            <w:jc w:val="both"/>
                            <w:rPr>
                              <w:szCs w:val="24"/>
                              <w:lang w:eastAsia="lt-LT"/>
                            </w:rPr>
                          </w:pPr>
                          <w:r>
                            <w:rPr>
                              <w:color w:val="000000"/>
                              <w:szCs w:val="24"/>
                              <w:lang w:eastAsia="lt-LT"/>
                            </w:rPr>
                            <w:t>„Vadovaudamasi Lietuvos Respublikos finansinės apskaitos įstatymo 7 straipsnio 6 dalimi, Lietuvos Respublikos pridėtinės vertės mokesčio įstatymo 64 straipsnio 4 dalimi, 79 straipsnio 1 dalies 1 punktu, 3 ir 5 dalimis, 80 straipsnio 2–4 dalimis ir 89</w:t>
                          </w:r>
                          <w:r>
                            <w:rPr>
                              <w:color w:val="000000"/>
                              <w:szCs w:val="24"/>
                              <w:vertAlign w:val="superscript"/>
                              <w:lang w:eastAsia="lt-LT"/>
                            </w:rPr>
                            <w:t>1</w:t>
                          </w:r>
                          <w:r>
                            <w:rPr>
                              <w:color w:val="000000"/>
                              <w:szCs w:val="24"/>
                              <w:lang w:eastAsia="lt-LT"/>
                            </w:rPr>
                            <w:t xml:space="preserve"> straipsnio 2 dalimi, Lietuvos Respublikos pelno mokesčio įstatymo 11 straipsnio 4 dalimi ir Lietuvos Respublikos akcizų įstatymo 13 ir 49 straipsniais, Lietuvos Respublikos Vyriausybė </w:t>
                          </w:r>
                          <w:r>
                            <w:rPr>
                              <w:spacing w:val="100"/>
                              <w:szCs w:val="24"/>
                              <w:lang w:eastAsia="lt-LT"/>
                            </w:rPr>
                            <w:t>nutari</w:t>
                          </w:r>
                          <w:r>
                            <w:rPr>
                              <w:szCs w:val="24"/>
                              <w:lang w:eastAsia="lt-LT"/>
                            </w:rPr>
                            <w:t>a</w:t>
                          </w:r>
                          <w:r>
                            <w:rPr>
                              <w:color w:val="000000"/>
                              <w:szCs w:val="24"/>
                              <w:lang w:eastAsia="lt-LT"/>
                            </w:rPr>
                            <w:t>:“.</w:t>
                          </w:r>
                        </w:p>
                      </w:sdtContent>
                    </w:sdt>
                  </w:sdtContent>
                </w:sdt>
              </w:sdtContent>
            </w:sdt>
            <w:sdt>
              <w:sdtPr>
                <w:alias w:val="1.2 pp."/>
                <w:tag w:val="part_c744c6b3657d4f0ba3c85f8e3b3564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744c6b3657d4f0ba3c85f8e3b3564df"/>
                      <w:lock w:val="sdtLocked"/>
                      <w:richText/>
                    </w:sdtPr>
                    <w:sdtContent>
                      <w:r>
                        <w:rPr>
                          <w:szCs w:val="24"/>
                          <w:lang w:eastAsia="lt-LT"/>
                        </w:rPr>
                        <w:t>1.2</w:t>
                      </w:r>
                    </w:sdtContent>
                  </w:sdt>
                  <w:r>
                    <w:rPr>
                      <w:szCs w:val="24"/>
                      <w:lang w:eastAsia="lt-LT"/>
                    </w:rPr>
                    <w:t>. Pakeisti nurodytu nutarimu patvirtintas Mokesčiams apskaičiuoti naudojamų apskaitos dokumentų išrašymo ir pripažinimo taisykles:</w:t>
                  </w:r>
                </w:p>
                <w:sdt>
                  <w:sdtPr>
                    <w:alias w:val="1.2.1 pp."/>
                    <w:tag w:val="part_2c6113dabf9a4aa6b42485bb9573279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c6113dabf9a4aa6b42485bb9573279f"/>
                          <w:lock w:val="sdtLocked"/>
                          <w:richText/>
                        </w:sdtPr>
                        <w:sdtContent>
                          <w:r>
                            <w:rPr>
                              <w:szCs w:val="24"/>
                              <w:lang w:eastAsia="lt-LT"/>
                            </w:rPr>
                            <w:t>1.2.1</w:t>
                          </w:r>
                        </w:sdtContent>
                      </w:sdt>
                      <w:r>
                        <w:rPr>
                          <w:szCs w:val="24"/>
                          <w:lang w:eastAsia="lt-LT"/>
                        </w:rPr>
                        <w:t>. Pakeisti 3 punktą ir jį išdėstyti taip:</w:t>
                      </w:r>
                    </w:p>
                    <w:sdt>
                      <w:sdtPr>
                        <w:alias w:val="citata"/>
                        <w:tag w:val="part_444605f2c4704ff2aba075bda21f790f"/>
                        <w:lock w:val="sdtLocked"/>
                        <w:richText/>
                      </w:sdtPr>
                      <w:sdtContent>
                        <w:sdt>
                          <w:sdtPr>
                            <w:alias w:val="3 p."/>
                            <w:tag w:val="part_6614c9fd917c4f3ca9903ace3810cc7b"/>
                            <w:lock w:val="sdtLocked"/>
                            <w:richText/>
                          </w:sdtPr>
                          <w:sdtContent>
                            <w:p>
                              <w:pPr>
                                <w:spacing w:line="360" w:lineRule="atLeast"/>
                                <w:ind w:firstLine="720"/>
                                <w:jc w:val="both"/>
                                <w:rPr>
                                  <w:color w:val="000000"/>
                                  <w:szCs w:val="24"/>
                                  <w:lang w:eastAsia="lt-LT"/>
                                </w:rPr>
                              </w:pPr>
                              <w:r>
                                <w:rPr>
                                  <w:color w:val="000000"/>
                                  <w:szCs w:val="24"/>
                                  <w:lang w:eastAsia="lt-LT"/>
                                </w:rPr>
                                <w:t>„</w:t>
                              </w:r>
                              <w:sdt>
                                <w:sdtPr>
                                  <w:alias w:val="Numeris"/>
                                  <w:tag w:val="nr_6614c9fd917c4f3ca9903ace3810cc7b"/>
                                  <w:lock w:val="sdtLocked"/>
                                  <w:richText/>
                                </w:sdtPr>
                                <w:sdtContent>
                                  <w:r>
                                    <w:rPr>
                                      <w:color w:val="000000"/>
                                      <w:szCs w:val="24"/>
                                      <w:lang w:eastAsia="lt-LT"/>
                                    </w:rPr>
                                    <w:t>3</w:t>
                                  </w:r>
                                </w:sdtContent>
                              </w:sdt>
                              <w:r>
                                <w:rPr>
                                  <w:color w:val="000000"/>
                                  <w:szCs w:val="24"/>
                                  <w:lang w:eastAsia="lt-LT"/>
                                </w:rPr>
                                <w:t>. Ūkio subjektai ne PVM mokėtojai, išskyrus fizinius asmenis prekių tiekimui (paslaugų teikimui), kaip tai suprantama pagal Lietuvos Respublikos pridėtinės vertės mokesčio įstatymą, įforminti privalo naudoti sąskaitas faktūras. Ūkio subjektai gali nenaudoti sąskaitos faktūros (išskyrus šių Taisyklių 28 punkte nustatytą atvejį), kai prekės tiekiamos (paslaugos teikiamos) ekonominės veiklos nevykdančiam fiziniam asmeniui ir jam išduodamas kasos aparato kvitas arba kai vadovaujantis Kasos aparatų diegimo ir naudojimo tvarkos aprašu, patvirtintu Lietuvos Respublikos Vyriausybės 2002 m. rugpjūčio 13 d. nutarimu Nr. 1283 „Dėl Kasos aparatų diegimo ir naudojimo tvarkos aprašo patvirtinimo“,</w:t>
                              </w:r>
                              <w:r>
                                <w:rPr>
                                  <w:bCs/>
                                  <w:color w:val="000000"/>
                                  <w:szCs w:val="24"/>
                                  <w:lang w:eastAsia="lt-LT"/>
                                </w:rPr>
                                <w:t xml:space="preserve"> </w:t>
                              </w:r>
                              <w:r>
                                <w:rPr>
                                  <w:color w:val="000000"/>
                                  <w:szCs w:val="24"/>
                                  <w:lang w:eastAsia="lt-LT"/>
                                </w:rPr>
                                <w:t>nereikalaujama naudoti kasos aparatų.“</w:t>
                              </w:r>
                            </w:p>
                          </w:sdtContent>
                        </w:sdt>
                      </w:sdtContent>
                    </w:sdt>
                  </w:sdtContent>
                </w:sdt>
                <w:sdt>
                  <w:sdtPr>
                    <w:alias w:val="1.2.2 pp."/>
                    <w:tag w:val="part_194e8a39b14e469dae7c692ecea55d63"/>
                    <w:lock w:val="sdtLocked"/>
                    <w:richText/>
                  </w:sdtPr>
                  <w:sdtContent>
                    <w:p>
                      <w:pPr>
                        <w:spacing w:line="360" w:lineRule="atLeast"/>
                        <w:ind w:firstLine="720"/>
                        <w:jc w:val="both"/>
                        <w:rPr>
                          <w:color w:val="000000"/>
                          <w:szCs w:val="24"/>
                          <w:lang w:eastAsia="lt-LT"/>
                        </w:rPr>
                      </w:pPr>
                      <w:sdt>
                        <w:sdtPr>
                          <w:alias w:val="Numeris"/>
                          <w:tag w:val="nr_194e8a39b14e469dae7c692ecea55d63"/>
                          <w:lock w:val="sdtLocked"/>
                          <w:richText/>
                        </w:sdtPr>
                        <w:sdtContent>
                          <w:r>
                            <w:rPr>
                              <w:color w:val="000000"/>
                              <w:szCs w:val="24"/>
                              <w:lang w:val="en-US" w:eastAsia="lt-LT"/>
                            </w:rPr>
                            <w:t>1.2.2</w:t>
                          </w:r>
                        </w:sdtContent>
                      </w:sdt>
                      <w:r>
                        <w:rPr>
                          <w:color w:val="000000"/>
                          <w:szCs w:val="24"/>
                          <w:lang w:val="en-US" w:eastAsia="lt-LT"/>
                        </w:rPr>
                        <w:t xml:space="preserve">. </w:t>
                      </w:r>
                      <w:r>
                        <w:rPr>
                          <w:color w:val="000000"/>
                          <w:szCs w:val="24"/>
                          <w:lang w:eastAsia="lt-LT"/>
                        </w:rPr>
                        <w:t>Pakeisti 4 punktą ir jį išdėstyti taip:</w:t>
                      </w:r>
                    </w:p>
                    <w:sdt>
                      <w:sdtPr>
                        <w:alias w:val="citata"/>
                        <w:tag w:val="part_42adaac31c374d9db2b4d3fa8193573f"/>
                        <w:lock w:val="sdtLocked"/>
                        <w:richText/>
                      </w:sdtPr>
                      <w:sdtContent>
                        <w:sdt>
                          <w:sdtPr>
                            <w:alias w:val="4 p."/>
                            <w:tag w:val="part_b0bfb857845f4b78962b83b2389f3498"/>
                            <w:lock w:val="sdtLocked"/>
                            <w:richText/>
                          </w:sdtPr>
                          <w:sdtContent>
                            <w:p>
                              <w:pPr>
                                <w:spacing w:line="360" w:lineRule="atLeast"/>
                                <w:ind w:firstLine="720"/>
                                <w:jc w:val="both"/>
                                <w:rPr>
                                  <w:color w:val="000000"/>
                                  <w:szCs w:val="24"/>
                                  <w:lang w:eastAsia="lt-LT"/>
                                </w:rPr>
                              </w:pPr>
                              <w:r>
                                <w:rPr>
                                  <w:color w:val="000000"/>
                                  <w:szCs w:val="24"/>
                                  <w:lang w:eastAsia="lt-LT"/>
                                </w:rPr>
                                <w:t>„</w:t>
                              </w:r>
                              <w:sdt>
                                <w:sdtPr>
                                  <w:alias w:val="Numeris"/>
                                  <w:tag w:val="nr_b0bfb857845f4b78962b83b2389f3498"/>
                                  <w:lock w:val="sdtLocked"/>
                                  <w:richText/>
                                </w:sdtPr>
                                <w:sdtContent>
                                  <w:r>
                                    <w:rPr>
                                      <w:color w:val="000000"/>
                                      <w:szCs w:val="24"/>
                                      <w:lang w:eastAsia="lt-LT"/>
                                    </w:rPr>
                                    <w:t>4</w:t>
                                  </w:r>
                                </w:sdtContent>
                              </w:sdt>
                              <w:r>
                                <w:rPr>
                                  <w:color w:val="000000"/>
                                  <w:szCs w:val="24"/>
                                  <w:lang w:eastAsia="lt-LT"/>
                                </w:rPr>
                                <w:t>. Popierinės sąskaitos faktūros komplektą turi sudaryti ne mažiau kaip 2 egzemplioriai. Vienas egzempliorius skirtas pirkėjui, kitas – prekių tiekėjui (paslaugų teikėjui), t. y. pardavėjui.“</w:t>
                              </w:r>
                            </w:p>
                          </w:sdtContent>
                        </w:sdt>
                      </w:sdtContent>
                    </w:sdt>
                  </w:sdtContent>
                </w:sdt>
                <w:sdt>
                  <w:sdtPr>
                    <w:alias w:val="1.2.3 pp."/>
                    <w:tag w:val="part_55b6730e7ae842bba37cc108bcb4e5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5b6730e7ae842bba37cc108bcb4e50a"/>
                          <w:lock w:val="sdtLocked"/>
                          <w:richText/>
                        </w:sdtPr>
                        <w:sdtContent>
                          <w:r>
                            <w:rPr>
                              <w:szCs w:val="24"/>
                              <w:lang w:eastAsia="lt-LT"/>
                            </w:rPr>
                            <w:t>1.2.</w:t>
                          </w:r>
                          <w:r>
                            <w:rPr>
                              <w:szCs w:val="24"/>
                              <w:lang w:val="en-US" w:eastAsia="lt-LT"/>
                            </w:rPr>
                            <w:t>3</w:t>
                          </w:r>
                        </w:sdtContent>
                      </w:sdt>
                      <w:r>
                        <w:rPr>
                          <w:szCs w:val="24"/>
                          <w:lang w:val="en-US" w:eastAsia="lt-LT"/>
                        </w:rPr>
                        <w:t>.</w:t>
                      </w:r>
                      <w:r>
                        <w:rPr>
                          <w:szCs w:val="24"/>
                          <w:lang w:eastAsia="lt-LT"/>
                        </w:rPr>
                        <w:t xml:space="preserve"> Pakeisti 5 punktą ir jį išdėstyti taip:</w:t>
                      </w:r>
                    </w:p>
                    <w:sdt>
                      <w:sdtPr>
                        <w:alias w:val="citata"/>
                        <w:tag w:val="part_84db11f66fd74639b2436a0af012a55f"/>
                        <w:lock w:val="sdtLocked"/>
                        <w:richText/>
                      </w:sdtPr>
                      <w:sdtContent>
                        <w:sdt>
                          <w:sdtPr>
                            <w:alias w:val="5 p."/>
                            <w:tag w:val="part_448ef7815ee94e5f93100f76510c27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448ef7815ee94e5f93100f76510c2795"/>
                                  <w:lock w:val="sdtLocked"/>
                                  <w:richText/>
                                </w:sdtPr>
                                <w:sdtContent>
                                  <w:r>
                                    <w:rPr>
                                      <w:szCs w:val="24"/>
                                      <w:lang w:eastAsia="lt-LT"/>
                                    </w:rPr>
                                    <w:t>5</w:t>
                                  </w:r>
                                </w:sdtContent>
                              </w:sdt>
                              <w:r>
                                <w:rPr>
                                  <w:szCs w:val="24"/>
                                  <w:lang w:eastAsia="lt-LT"/>
                                </w:rPr>
                                <w:t>. Sąskaitoje faktūroje, be Lietuvos Respublikos</w:t>
                              </w:r>
                              <w:r>
                                <w:rPr>
                                  <w:b/>
                                  <w:szCs w:val="24"/>
                                  <w:lang w:eastAsia="lt-LT"/>
                                </w:rPr>
                                <w:t xml:space="preserve"> </w:t>
                              </w:r>
                              <w:r>
                                <w:rPr>
                                  <w:szCs w:val="24"/>
                                  <w:lang w:eastAsia="lt-LT"/>
                                </w:rPr>
                                <w:t>finansinės apskaitos įstatyme nustatytos privalomos apskaitos dokumento informacijos ir šių Taisyklių 6 punkte nurodytų</w:t>
                              </w:r>
                              <w:r>
                                <w:rPr>
                                  <w:b/>
                                  <w:szCs w:val="24"/>
                                  <w:lang w:eastAsia="lt-LT"/>
                                </w:rPr>
                                <w:t xml:space="preserve"> </w:t>
                              </w:r>
                              <w:r>
                                <w:rPr>
                                  <w:szCs w:val="24"/>
                                  <w:lang w:eastAsia="lt-LT"/>
                                </w:rPr>
                                <w:t>rekvizitų, turi būti nurodyta:</w:t>
                              </w:r>
                            </w:p>
                            <w:sdt>
                              <w:sdtPr>
                                <w:alias w:val="5.1 pp."/>
                                <w:tag w:val="part_6f0f8fb49b1b4b00addb9600e67f5b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f0f8fb49b1b4b00addb9600e67f5be1"/>
                                      <w:lock w:val="sdtLocked"/>
                                      <w:richText/>
                                    </w:sdtPr>
                                    <w:sdtContent>
                                      <w:r>
                                        <w:rPr>
                                          <w:color w:val="000000"/>
                                          <w:szCs w:val="24"/>
                                          <w:lang w:eastAsia="lt-LT"/>
                                        </w:rPr>
                                        <w:t>5.1</w:t>
                                      </w:r>
                                    </w:sdtContent>
                                  </w:sdt>
                                  <w:r>
                                    <w:rPr>
                                      <w:color w:val="000000"/>
                                      <w:szCs w:val="24"/>
                                      <w:lang w:eastAsia="lt-LT"/>
                                    </w:rPr>
                                    <w:t>. pirkėjo pavadinimas (vardas ir pavardė), kodas (jeigu jis fizinis asmuo, – PVM mokėtojo kodas, o jeigu jis jo neturi, – asmens pasirinkimu arba asmens kodas, arba individualios veiklos vykdymo pažymos numeris, arba verslo liudijimo numeris), prekės (paslaugos) pavadinimas, prekės (paslaugos) kaina. Jeigu pirkėjas yra ekonominės veiklos nevykdantis fizinis asmuo, pirkėjo vardas, pavardė, asmens kodas sąskaitoje faktūroje nurodomi pirkėjo pageidavimu;</w:t>
                                  </w:r>
                                </w:p>
                              </w:sdtContent>
                            </w:sdt>
                            <w:sdt>
                              <w:sdtPr>
                                <w:alias w:val="5.2 pp."/>
                                <w:tag w:val="part_1500c5439f5949ff88ba9b86f7d26d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500c5439f5949ff88ba9b86f7d26dc6"/>
                                      <w:lock w:val="sdtLocked"/>
                                      <w:richText/>
                                    </w:sdtPr>
                                    <w:sdtContent>
                                      <w:r>
                                        <w:rPr>
                                          <w:color w:val="000000"/>
                                          <w:szCs w:val="24"/>
                                          <w:lang w:eastAsia="lt-LT"/>
                                        </w:rPr>
                                        <w:t>5.2</w:t>
                                      </w:r>
                                    </w:sdtContent>
                                  </w:sdt>
                                  <w:r>
                                    <w:rPr>
                                      <w:color w:val="000000"/>
                                      <w:szCs w:val="24"/>
                                      <w:lang w:eastAsia="lt-LT"/>
                                    </w:rPr>
                                    <w:t>. jeigu sąskaita faktūra išrašoma asmeniui, turinčiam teisę Lietuvos Respublikos teisės aktų nustatyta tvarka susigrąžinti akcizus, – už prekes apskaičiuotų akcizų suma (nurodoma pirkėjo prašymu).</w:t>
                                  </w:r>
                                  <w:r>
                                    <w:rPr>
                                      <w:szCs w:val="24"/>
                                      <w:lang w:eastAsia="lt-LT"/>
                                    </w:rPr>
                                    <w:t>“</w:t>
                                  </w:r>
                                </w:p>
                              </w:sdtContent>
                            </w:sdt>
                          </w:sdtContent>
                        </w:sdt>
                      </w:sdtContent>
                    </w:sdt>
                  </w:sdtContent>
                </w:sdt>
                <w:sdt>
                  <w:sdtPr>
                    <w:alias w:val="1.2.4 pp."/>
                    <w:tag w:val="part_8e0fb4019b0f4a4db684f438331fa9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e0fb4019b0f4a4db684f438331fa906"/>
                          <w:lock w:val="sdtLocked"/>
                          <w:richText/>
                        </w:sdtPr>
                        <w:sdtContent>
                          <w:r>
                            <w:rPr>
                              <w:szCs w:val="24"/>
                              <w:lang w:eastAsia="lt-LT"/>
                            </w:rPr>
                            <w:t>1.2.4</w:t>
                          </w:r>
                        </w:sdtContent>
                      </w:sdt>
                      <w:r>
                        <w:rPr>
                          <w:szCs w:val="24"/>
                          <w:lang w:eastAsia="lt-LT"/>
                        </w:rPr>
                        <w:t>. Papildyti 6</w:t>
                      </w:r>
                      <w:r>
                        <w:rPr>
                          <w:szCs w:val="24"/>
                          <w:vertAlign w:val="superscript"/>
                          <w:lang w:eastAsia="lt-LT"/>
                        </w:rPr>
                        <w:t>1</w:t>
                      </w:r>
                      <w:r>
                        <w:rPr>
                          <w:szCs w:val="24"/>
                          <w:lang w:eastAsia="lt-LT"/>
                        </w:rPr>
                        <w:t xml:space="preserve"> punktu:</w:t>
                      </w:r>
                    </w:p>
                    <w:sdt>
                      <w:sdtPr>
                        <w:alias w:val="citata"/>
                        <w:tag w:val="part_dc729083fb9d45268bf7b809984c3136"/>
                        <w:lock w:val="sdtLocked"/>
                        <w:richText/>
                      </w:sdtPr>
                      <w:sdtContent>
                        <w:sdt>
                          <w:sdtPr>
                            <w:alias w:val="6-1 p."/>
                            <w:tag w:val="part_e3e96c4f262f49069112adb5860bf3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3e96c4f262f49069112adb5860bf31c"/>
                                  <w:lock w:val="sdtLocked"/>
                                  <w:richText/>
                                </w:sdtPr>
                                <w:sdtContent>
                                  <w:r>
                                    <w:rPr>
                                      <w:szCs w:val="24"/>
                                      <w:lang w:eastAsia="lt-LT"/>
                                    </w:rPr>
                                    <w:t>6</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Sąskaita faktūra gali būti elektroninė. Elektroninės sąskaitos faktūros išrašymui ir kilmės autentiškumo, turinio vientisumo ir įskaitomumo užtikrinimui </w:t>
                              </w:r>
                              <w:r>
                                <w:rPr>
                                  <w:i/>
                                  <w:iCs/>
                                  <w:szCs w:val="24"/>
                                  <w:lang w:eastAsia="lt-LT"/>
                                </w:rPr>
                                <w:t xml:space="preserve">mutatis mutandis </w:t>
                              </w:r>
                              <w:r>
                                <w:rPr>
                                  <w:szCs w:val="24"/>
                                  <w:lang w:eastAsia="lt-LT"/>
                                </w:rPr>
                                <w:t>taikomos Lietuvos Respublikos pridėtinės vertės mokesčio įstatymo 79 straipsnio 11 dalies nuostatos.“</w:t>
                              </w:r>
                            </w:p>
                          </w:sdtContent>
                        </w:sdt>
                      </w:sdtContent>
                    </w:sdt>
                  </w:sdtContent>
                </w:sdt>
                <w:sdt>
                  <w:sdtPr>
                    <w:alias w:val="1.2.5 pp."/>
                    <w:tag w:val="part_ac477c96fc8b4beab9fe4031256c93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c477c96fc8b4beab9fe4031256c93da"/>
                          <w:lock w:val="sdtLocked"/>
                          <w:richText/>
                        </w:sdtPr>
                        <w:sdtContent>
                          <w:r>
                            <w:rPr>
                              <w:szCs w:val="24"/>
                              <w:lang w:eastAsia="lt-LT"/>
                            </w:rPr>
                            <w:t>1.2.5</w:t>
                          </w:r>
                        </w:sdtContent>
                      </w:sdt>
                      <w:r>
                        <w:rPr>
                          <w:szCs w:val="24"/>
                          <w:lang w:eastAsia="lt-LT"/>
                        </w:rPr>
                        <w:t>. Pakeisti 8 punktą ir jį išdėstyti taip:</w:t>
                      </w:r>
                    </w:p>
                    <w:sdt>
                      <w:sdtPr>
                        <w:alias w:val="citata"/>
                        <w:tag w:val="part_46113d91bf8540a99a4a3e6213518355"/>
                        <w:lock w:val="sdtLocked"/>
                        <w:richText/>
                      </w:sdtPr>
                      <w:sdtContent>
                        <w:sdt>
                          <w:sdtPr>
                            <w:alias w:val="8 p."/>
                            <w:tag w:val="part_25aac6e36da743edbf128235a842a05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25aac6e36da743edbf128235a842a059"/>
                                  <w:lock w:val="sdtLocked"/>
                                  <w:richText/>
                                </w:sdtPr>
                                <w:sdtContent>
                                  <w:r>
                                    <w:rPr>
                                      <w:szCs w:val="24"/>
                                      <w:lang w:eastAsia="lt-LT"/>
                                    </w:rPr>
                                    <w:t>8</w:t>
                                  </w:r>
                                </w:sdtContent>
                              </w:sdt>
                              <w:r>
                                <w:rPr>
                                  <w:szCs w:val="24"/>
                                  <w:lang w:eastAsia="lt-LT"/>
                                </w:rPr>
                                <w:t xml:space="preserve">. Sąskaitas faktūras naudoja ir ūkininkai, nesantys PVM mokėtojais, privalantys tvarkyti buhalterinę apskaitą, tačiau tik tais atvejais, kai pirkėjas neprivalo įforminti žemės ūkio produkcijos pirkimo ar kai nenaudojamas Lietuvos Respublikos </w:t>
                              </w:r>
                              <w:r>
                                <w:rPr>
                                  <w:iCs/>
                                  <w:color w:val="000000"/>
                                  <w:szCs w:val="24"/>
                                  <w:lang w:eastAsia="lt-LT"/>
                                </w:rPr>
                                <w:t>pridėtinės vertės mokesčio įstatymo 98</w:t>
                              </w:r>
                              <w:r>
                                <w:rPr>
                                  <w:szCs w:val="24"/>
                                  <w:lang w:eastAsia="lt-LT"/>
                                </w:rPr>
                                <w:t xml:space="preserve"> straipsnio 4 dalyje nustatytas apskaitos dokumentas. Kiti gyventojai, vykdantys individualią veiklą ir nesantys PVM mokėtojai</w:t>
                              </w:r>
                              <w:r>
                                <w:rPr>
                                  <w:b/>
                                  <w:szCs w:val="24"/>
                                  <w:lang w:eastAsia="lt-LT"/>
                                </w:rPr>
                                <w:t>s</w:t>
                              </w:r>
                              <w:r>
                                <w:rPr>
                                  <w:szCs w:val="24"/>
                                  <w:lang w:eastAsia="lt-LT"/>
                                </w:rPr>
                                <w:t>, prekių tiekimą ar paslaugų teikimą gali įforminti sąskaita faktūra. Už žemės ūkio produkcijos tiekėjų, kurie nėra PVM mokėtojai ir kuriems netaikoma kompensacinio PVM tarifo schema, nurodyta Lietuvos Respublikos pridėtinės vertės mokesčio įstatymo XII skyriaus pirmajame skirsnyje, patiektą žemės ūkio produkciją sąskaitą faktūrą išrašo žemės ūkio produkcijos pirkėjas (įskaitant PVM mokėtojus, bet išskyrus asmenis, kurie nėra apmokestinamieji asmenys). Šioje sąskaitoje faktūroje turi būti visi Lietuvos Respublikos buhalterinės apskaitos įstatyme nurodyti, taip pat Lietuvos Respublikos žemės ūkio ministerijos nustatyti rekvizitai.“</w:t>
                              </w:r>
                            </w:p>
                          </w:sdtContent>
                        </w:sdt>
                      </w:sdtContent>
                    </w:sdt>
                  </w:sdtContent>
                </w:sdt>
                <w:sdt>
                  <w:sdtPr>
                    <w:alias w:val="1.2.6 pp."/>
                    <w:tag w:val="part_e1671bde3fe24ebcb1bf95501528474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1671bde3fe24ebcb1bf955015284741"/>
                          <w:lock w:val="sdtLocked"/>
                          <w:richText/>
                        </w:sdtPr>
                        <w:sdtContent>
                          <w:r>
                            <w:rPr>
                              <w:szCs w:val="24"/>
                              <w:lang w:eastAsia="lt-LT"/>
                            </w:rPr>
                            <w:t>1.2.6</w:t>
                          </w:r>
                        </w:sdtContent>
                      </w:sdt>
                      <w:r>
                        <w:rPr>
                          <w:szCs w:val="24"/>
                          <w:lang w:eastAsia="lt-LT"/>
                        </w:rPr>
                        <w:t>. Pakeisti 8 punktą ir jį išdėstyti taip:</w:t>
                      </w:r>
                    </w:p>
                    <w:sdt>
                      <w:sdtPr>
                        <w:alias w:val="citata"/>
                        <w:tag w:val="part_0409ccea63a34f8b96d5092a5653924a"/>
                        <w:lock w:val="sdtLocked"/>
                        <w:richText/>
                      </w:sdtPr>
                      <w:sdtContent>
                        <w:sdt>
                          <w:sdtPr>
                            <w:alias w:val="8 p."/>
                            <w:tag w:val="part_0b6eac10e6a74618899cad13a0c1f7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0b6eac10e6a74618899cad13a0c1f781"/>
                                  <w:lock w:val="sdtLocked"/>
                                  <w:richText/>
                                </w:sdtPr>
                                <w:sdtContent>
                                  <w:r>
                                    <w:rPr>
                                      <w:szCs w:val="24"/>
                                      <w:lang w:eastAsia="lt-LT"/>
                                    </w:rPr>
                                    <w:t>8</w:t>
                                  </w:r>
                                </w:sdtContent>
                              </w:sdt>
                              <w:r>
                                <w:rPr>
                                  <w:szCs w:val="24"/>
                                  <w:lang w:eastAsia="lt-LT"/>
                                </w:rPr>
                                <w:t>. Sąskaitas faktūras naudoja ir ūkininkai, nesantys PVM mokėtojais, privalantys tvarkyti finansinę</w:t>
                              </w:r>
                              <w:r>
                                <w:rPr>
                                  <w:b/>
                                  <w:szCs w:val="24"/>
                                  <w:lang w:eastAsia="lt-LT"/>
                                </w:rPr>
                                <w:t xml:space="preserve"> </w:t>
                              </w:r>
                              <w:r>
                                <w:rPr>
                                  <w:szCs w:val="24"/>
                                  <w:lang w:eastAsia="lt-LT"/>
                                </w:rPr>
                                <w:t xml:space="preserve">apskaitą, tačiau tik tais atvejais, kai pirkėjas neprivalo įforminti žemės ūkio produkcijos pirkimo ar kai nenaudojamas </w:t>
                              </w:r>
                              <w:r>
                                <w:rPr>
                                  <w:iCs/>
                                  <w:color w:val="000000"/>
                                  <w:szCs w:val="24"/>
                                  <w:lang w:eastAsia="lt-LT"/>
                                </w:rPr>
                                <w:t>Lietuvos Respublikos pridėtinės vertės mokesčio įstatymo 98</w:t>
                              </w:r>
                              <w:r>
                                <w:rPr>
                                  <w:szCs w:val="24"/>
                                  <w:lang w:eastAsia="lt-LT"/>
                                </w:rPr>
                                <w:t xml:space="preserve"> straipsnio 4 dalyje nustatytas apskaitos dokumentas.“</w:t>
                              </w:r>
                            </w:p>
                          </w:sdtContent>
                        </w:sdt>
                      </w:sdtContent>
                    </w:sdt>
                  </w:sdtContent>
                </w:sdt>
                <w:sdt>
                  <w:sdtPr>
                    <w:alias w:val="1.2.7 pp."/>
                    <w:tag w:val="part_413d27f9df8b48bc915b82e1ad5e2c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13d27f9df8b48bc915b82e1ad5e2c2d"/>
                          <w:lock w:val="sdtLocked"/>
                          <w:richText/>
                        </w:sdtPr>
                        <w:sdtContent>
                          <w:r>
                            <w:rPr>
                              <w:szCs w:val="24"/>
                              <w:lang w:eastAsia="lt-LT"/>
                            </w:rPr>
                            <w:t>1.2.</w:t>
                          </w:r>
                          <w:r>
                            <w:rPr>
                              <w:szCs w:val="24"/>
                              <w:lang w:val="en-US" w:eastAsia="lt-LT"/>
                            </w:rPr>
                            <w:t>7</w:t>
                          </w:r>
                        </w:sdtContent>
                      </w:sdt>
                      <w:r>
                        <w:rPr>
                          <w:szCs w:val="24"/>
                          <w:lang w:eastAsia="lt-LT"/>
                        </w:rPr>
                        <w:t>. Papildyti 8</w:t>
                      </w:r>
                      <w:r>
                        <w:rPr>
                          <w:szCs w:val="24"/>
                          <w:vertAlign w:val="superscript"/>
                          <w:lang w:eastAsia="lt-LT"/>
                        </w:rPr>
                        <w:t>1</w:t>
                      </w:r>
                      <w:r>
                        <w:rPr>
                          <w:szCs w:val="24"/>
                          <w:lang w:eastAsia="lt-LT"/>
                        </w:rPr>
                        <w:t xml:space="preserve"> punktu:</w:t>
                      </w:r>
                    </w:p>
                    <w:sdt>
                      <w:sdtPr>
                        <w:alias w:val="citata"/>
                        <w:tag w:val="part_f57cbd3f761b4b9a82593f5203080301"/>
                        <w:lock w:val="sdtLocked"/>
                        <w:richText/>
                      </w:sdtPr>
                      <w:sdtContent>
                        <w:sdt>
                          <w:sdtPr>
                            <w:alias w:val="8-1 p."/>
                            <w:tag w:val="part_c9b2ecc2d25e481ab635ffd156e71c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9b2ecc2d25e481ab635ffd156e71c47"/>
                                  <w:lock w:val="sdtLocked"/>
                                  <w:richText/>
                                </w:sdtPr>
                                <w:sdtContent>
                                  <w:r>
                                    <w:rPr>
                                      <w:szCs w:val="24"/>
                                      <w:lang w:eastAsia="lt-LT"/>
                                    </w:rPr>
                                    <w:t>8</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Gyventojai, vykdantys ekonominę veiklą, įskaitant individualią veiklą, ir nesantys PVM mokėtojais, prekių tiekimą (paslaugų teikimą) gali įforminti sąskaita faktūra, o tais atvejais, kai privalėjo įsiregistruoti PVM mokėtojais, bet to nepadarė, privalo įforminti sąskaita faktūra, jeigu būtų privalėję išrašyti PVM sąskaitą faktūrą, įsiregistravę PVM mokėtojais. Už žemės ūkio produkcijos tiekėjų, kurie nėra PVM mokėtojai ir kuriems netaikoma kompensacinio PVM tarifo schema, nurodyta </w:t>
                              </w:r>
                              <w:r>
                                <w:rPr>
                                  <w:iCs/>
                                  <w:color w:val="000000"/>
                                  <w:szCs w:val="24"/>
                                  <w:lang w:eastAsia="lt-LT"/>
                                </w:rPr>
                                <w:t>Lietuvos Respublikos pridėtinės vertės mokesčio įstatymo</w:t>
                              </w:r>
                              <w:r>
                                <w:rPr>
                                  <w:szCs w:val="24"/>
                                  <w:lang w:eastAsia="lt-LT"/>
                                </w:rPr>
                                <w:t xml:space="preserve"> XII skyriaus pirmajame skirsnyje, patiektą žemės ūkio produkciją sąskaitą faktūrą išrašo žemės ūkio produkcijos pirkėjas, įskaitant PVM mokėtojus, bet išskyrus asmenis, kurie nėra apmokestinamieji asmenys. Šioje sąskaitoje faktūroje turi būti nurodyta visa Lietuvos Respublikos f</w:t>
                              </w:r>
                              <w:r>
                                <w:rPr>
                                  <w:iCs/>
                                  <w:color w:val="000000"/>
                                  <w:szCs w:val="24"/>
                                  <w:lang w:eastAsia="lt-LT"/>
                                </w:rPr>
                                <w:t>inansinės apskaitos įstatyme</w:t>
                              </w:r>
                              <w:r>
                                <w:rPr>
                                  <w:szCs w:val="24"/>
                                  <w:lang w:eastAsia="lt-LT"/>
                                </w:rPr>
                                <w:t xml:space="preserve"> nustatyta apskaitos dokumentų privaloma informacija ir žemės ūkio ministro nustatyta kita privaloma informacija.“</w:t>
                              </w:r>
                            </w:p>
                          </w:sdtContent>
                        </w:sdt>
                      </w:sdtContent>
                    </w:sdt>
                  </w:sdtContent>
                </w:sdt>
                <w:sdt>
                  <w:sdtPr>
                    <w:alias w:val="1.2.8 pp."/>
                    <w:tag w:val="part_36dcbbaa370740d9bd5ba6d54cbc3e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6dcbbaa370740d9bd5ba6d54cbc3e7f"/>
                          <w:lock w:val="sdtLocked"/>
                          <w:richText/>
                        </w:sdtPr>
                        <w:sdtContent>
                          <w:r>
                            <w:rPr>
                              <w:szCs w:val="24"/>
                              <w:lang w:val="en-US" w:eastAsia="lt-LT"/>
                            </w:rPr>
                            <w:t>1.2.8</w:t>
                          </w:r>
                        </w:sdtContent>
                      </w:sdt>
                      <w:r>
                        <w:rPr>
                          <w:szCs w:val="24"/>
                          <w:lang w:val="en-US" w:eastAsia="lt-LT"/>
                        </w:rPr>
                        <w:t xml:space="preserve">. </w:t>
                      </w:r>
                      <w:r>
                        <w:rPr>
                          <w:szCs w:val="24"/>
                          <w:lang w:eastAsia="lt-LT"/>
                        </w:rPr>
                        <w:t>Pakeisti 10 punktą ir jį išdėstyti taip:</w:t>
                      </w:r>
                    </w:p>
                    <w:sdt>
                      <w:sdtPr>
                        <w:alias w:val="citata"/>
                        <w:tag w:val="part_00920950ac624639b15b082559010c41"/>
                        <w:lock w:val="sdtLocked"/>
                        <w:richText/>
                      </w:sdtPr>
                      <w:sdtContent>
                        <w:sdt>
                          <w:sdtPr>
                            <w:alias w:val="10 p."/>
                            <w:tag w:val="part_ce8f1b735e314530b39168b6cfd65c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e8f1b735e314530b39168b6cfd65ce5"/>
                                  <w:lock w:val="sdtLocked"/>
                                  <w:richText/>
                                </w:sdtPr>
                                <w:sdtContent>
                                  <w:r>
                                    <w:rPr>
                                      <w:szCs w:val="24"/>
                                      <w:lang w:eastAsia="lt-LT"/>
                                    </w:rPr>
                                    <w:t>10</w:t>
                                  </w:r>
                                </w:sdtContent>
                              </w:sdt>
                              <w:r>
                                <w:rPr>
                                  <w:szCs w:val="24"/>
                                  <w:lang w:eastAsia="lt-LT"/>
                                </w:rPr>
                                <w:t>. Popierinės PVM sąskaitos faktūros komplektą turi sudaryti ne mažiau kaip 2 egzemplioriai. Vienas egzempliorius skirtas prekių (paslaugų) pirkėjui, kitas – prekių tiekėjui (paslaugų teikėjui), tai yra pardavėjui. PVM sąskaitoje faktūroje turi būti visi Lietuvos Respublikos pridėtinės vertės mokesčio įstatymo 80 straipsnio 1 dalyje ar 9 dalyje (jeigu išrašoma supaprastinta PVM sąskaita faktūra) nustatyti privalomi rekvizitai, išskyrus šiose Taisyklėse nustatytus atvejus.“</w:t>
                              </w:r>
                            </w:p>
                          </w:sdtContent>
                        </w:sdt>
                      </w:sdtContent>
                    </w:sdt>
                  </w:sdtContent>
                </w:sdt>
                <w:sdt>
                  <w:sdtPr>
                    <w:alias w:val="1.2.9 pp."/>
                    <w:tag w:val="part_5a18058bf6a7431e936d2307843d4e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a18058bf6a7431e936d2307843d4eb9"/>
                          <w:lock w:val="sdtLocked"/>
                          <w:richText/>
                        </w:sdtPr>
                        <w:sdtContent>
                          <w:r>
                            <w:rPr>
                              <w:szCs w:val="24"/>
                              <w:lang w:eastAsia="lt-LT"/>
                            </w:rPr>
                            <w:t>1.2.9</w:t>
                          </w:r>
                        </w:sdtContent>
                      </w:sdt>
                      <w:r>
                        <w:rPr>
                          <w:szCs w:val="24"/>
                          <w:lang w:eastAsia="lt-LT"/>
                        </w:rPr>
                        <w:t>. Pakeisti 19.2 papunktį ir jį išdėstyti taip:</w:t>
                      </w:r>
                    </w:p>
                    <w:sdt>
                      <w:sdtPr>
                        <w:alias w:val="citata"/>
                        <w:tag w:val="part_e5d3671cc9fd46a28eb28c87ceeac75e"/>
                        <w:lock w:val="sdtLocked"/>
                        <w:richText/>
                      </w:sdtPr>
                      <w:sdtContent>
                        <w:sdt>
                          <w:sdtPr>
                            <w:alias w:val="19.2 pp."/>
                            <w:tag w:val="part_c18d9fd655d04bf09410ae555174cae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18d9fd655d04bf09410ae555174caee"/>
                                  <w:lock w:val="sdtLocked"/>
                                  <w:richText/>
                                </w:sdtPr>
                                <w:sdtContent>
                                  <w:r>
                                    <w:rPr>
                                      <w:szCs w:val="24"/>
                                      <w:lang w:eastAsia="lt-LT"/>
                                    </w:rPr>
                                    <w:t>19.2</w:t>
                                  </w:r>
                                </w:sdtContent>
                              </w:sdt>
                              <w:r>
                                <w:rPr>
                                  <w:szCs w:val="24"/>
                                  <w:lang w:eastAsia="lt-LT"/>
                                </w:rPr>
                                <w:t>. kai draudimo paslaugoms įforminti naudojamas draudimo liudijimas, kuriame nurodoma Lietuvos Respublikos finansinės apskaitos įstatyme nustatyta apskaitos dokumento privaloma informacija ir kuris atitinka Lietuvos Respublikos draudimo įstatymo nuostatas;“.</w:t>
                              </w:r>
                            </w:p>
                          </w:sdtContent>
                        </w:sdt>
                      </w:sdtContent>
                    </w:sdt>
                  </w:sdtContent>
                </w:sdt>
                <w:sdt>
                  <w:sdtPr>
                    <w:alias w:val="1.2.10 pp."/>
                    <w:tag w:val="part_2f10813063694568aba444f0bd2891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f10813063694568aba444f0bd289163"/>
                          <w:lock w:val="sdtLocked"/>
                          <w:richText/>
                        </w:sdtPr>
                        <w:sdtContent>
                          <w:r>
                            <w:rPr>
                              <w:szCs w:val="24"/>
                              <w:lang w:eastAsia="lt-LT"/>
                            </w:rPr>
                            <w:t>1.2.10</w:t>
                          </w:r>
                        </w:sdtContent>
                      </w:sdt>
                      <w:r>
                        <w:rPr>
                          <w:szCs w:val="24"/>
                          <w:lang w:eastAsia="lt-LT"/>
                        </w:rPr>
                        <w:t>. Pakeisti 19.3 papunktį ir jį išdėstyti taip:</w:t>
                      </w:r>
                    </w:p>
                    <w:sdt>
                      <w:sdtPr>
                        <w:alias w:val="citata"/>
                        <w:tag w:val="part_755cba6a2a444db89a758a5a3e77f891"/>
                        <w:lock w:val="sdtLocked"/>
                        <w:richText/>
                      </w:sdtPr>
                      <w:sdtContent>
                        <w:sdt>
                          <w:sdtPr>
                            <w:alias w:val="19.3 pp."/>
                            <w:tag w:val="part_33a3bd2cf133436e9dcb54a53877b6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33a3bd2cf133436e9dcb54a53877b605"/>
                                  <w:lock w:val="sdtLocked"/>
                                  <w:richText/>
                                </w:sdtPr>
                                <w:sdtContent>
                                  <w:r>
                                    <w:rPr>
                                      <w:szCs w:val="24"/>
                                      <w:lang w:eastAsia="lt-LT"/>
                                    </w:rPr>
                                    <w:t>19.3</w:t>
                                  </w:r>
                                </w:sdtContent>
                              </w:sdt>
                              <w:r>
                                <w:rPr>
                                  <w:szCs w:val="24"/>
                                  <w:lang w:eastAsia="lt-LT"/>
                                </w:rPr>
                                <w:t>. kai teikiant Lietuvos Respublikos pridėtinės vertės mokesčio įstatymo 28 straipsnyje nurodytas paslaugas naudojami apskaitos dokumentai, kuriuose nurodyta Lietuvos Respublikos finansinės apskaitos įstatyme nustatyta apskaitos dokumento privaloma informacija, o jeigu vertybinių popierių viešąją apyvartą reglamentuojantys teisės aktai nustato kitus reikalavimus, – apskaitos dokumentai, atitinkantys šiuos reikalavimus;“.</w:t>
                              </w:r>
                            </w:p>
                          </w:sdtContent>
                        </w:sdt>
                      </w:sdtContent>
                    </w:sdt>
                  </w:sdtContent>
                </w:sdt>
                <w:sdt>
                  <w:sdtPr>
                    <w:alias w:val="1.2.11 pp."/>
                    <w:tag w:val="part_0e5ee06d041c4956ad2b9ce7435771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e5ee06d041c4956ad2b9ce7435771aa"/>
                          <w:lock w:val="sdtLocked"/>
                          <w:richText/>
                        </w:sdtPr>
                        <w:sdtContent>
                          <w:r>
                            <w:rPr>
                              <w:szCs w:val="24"/>
                              <w:lang w:eastAsia="lt-LT"/>
                            </w:rPr>
                            <w:t>1.2.11</w:t>
                          </w:r>
                        </w:sdtContent>
                      </w:sdt>
                      <w:r>
                        <w:rPr>
                          <w:szCs w:val="24"/>
                          <w:lang w:eastAsia="lt-LT"/>
                        </w:rPr>
                        <w:t>. Pakeisti 19.4 papunktį ir jį išdėstyti taip:</w:t>
                      </w:r>
                    </w:p>
                    <w:sdt>
                      <w:sdtPr>
                        <w:alias w:val="citata"/>
                        <w:tag w:val="part_30dfa7b4c11c4504995c9e897a2bc2a9"/>
                        <w:lock w:val="sdtLocked"/>
                        <w:richText/>
                      </w:sdtPr>
                      <w:sdtContent>
                        <w:sdt>
                          <w:sdtPr>
                            <w:alias w:val="19.4 pp."/>
                            <w:tag w:val="part_c908eda249f14b45a02c61c19163def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908eda249f14b45a02c61c19163def0"/>
                                  <w:lock w:val="sdtLocked"/>
                                  <w:richText/>
                                </w:sdtPr>
                                <w:sdtContent>
                                  <w:r>
                                    <w:rPr>
                                      <w:szCs w:val="24"/>
                                      <w:lang w:eastAsia="lt-LT"/>
                                    </w:rPr>
                                    <w:t>19.4</w:t>
                                  </w:r>
                                </w:sdtContent>
                              </w:sdt>
                              <w:r>
                                <w:rPr>
                                  <w:szCs w:val="24"/>
                                  <w:lang w:eastAsia="lt-LT"/>
                                </w:rPr>
                                <w:t xml:space="preserve">. kai teikiamos Lietuvos Respublikos finansinės apskaitos įstatymo </w:t>
                              </w:r>
                              <w:r>
                                <w:rPr>
                                  <w:szCs w:val="24"/>
                                  <w:lang w:val="en-US" w:eastAsia="lt-LT"/>
                                </w:rPr>
                                <w:t xml:space="preserve">6 </w:t>
                              </w:r>
                              <w:r>
                                <w:rPr>
                                  <w:szCs w:val="24"/>
                                  <w:lang w:eastAsia="lt-LT"/>
                                </w:rPr>
                                <w:t>straipsnio 2 dalyje nurodytos paslaugos“.</w:t>
                              </w:r>
                            </w:p>
                          </w:sdtContent>
                        </w:sdt>
                      </w:sdtContent>
                    </w:sdt>
                  </w:sdtContent>
                </w:sdt>
                <w:sdt>
                  <w:sdtPr>
                    <w:alias w:val="1.2.12 pp."/>
                    <w:tag w:val="part_a580c04f36e644d0b4a59bfc61c454e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580c04f36e644d0b4a59bfc61c454eb"/>
                          <w:lock w:val="sdtLocked"/>
                          <w:richText/>
                        </w:sdtPr>
                        <w:sdtContent>
                          <w:r>
                            <w:rPr>
                              <w:szCs w:val="24"/>
                              <w:lang w:eastAsia="lt-LT"/>
                            </w:rPr>
                            <w:t>1.2.12</w:t>
                          </w:r>
                        </w:sdtContent>
                      </w:sdt>
                      <w:r>
                        <w:rPr>
                          <w:szCs w:val="24"/>
                          <w:lang w:eastAsia="lt-LT"/>
                        </w:rPr>
                        <w:t>. Pakeisti 20 punktą ir jį išdėstyti taip:</w:t>
                      </w:r>
                    </w:p>
                    <w:sdt>
                      <w:sdtPr>
                        <w:alias w:val="citata"/>
                        <w:tag w:val="part_d368d2ae75e74359be3901b11cf8648d"/>
                        <w:lock w:val="sdtLocked"/>
                        <w:richText/>
                      </w:sdtPr>
                      <w:sdtContent>
                        <w:sdt>
                          <w:sdtPr>
                            <w:alias w:val="20 p."/>
                            <w:tag w:val="part_a3c4e5dd4dbb4ebeb704b306d9c36ba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a3c4e5dd4dbb4ebeb704b306d9c36ba9"/>
                                  <w:lock w:val="sdtLocked"/>
                                  <w:richText/>
                                </w:sdtPr>
                                <w:sdtContent>
                                  <w:r>
                                    <w:rPr>
                                      <w:szCs w:val="24"/>
                                      <w:lang w:eastAsia="lt-LT"/>
                                    </w:rPr>
                                    <w:t>20</w:t>
                                  </w:r>
                                </w:sdtContent>
                              </w:sdt>
                              <w:r>
                                <w:rPr>
                                  <w:szCs w:val="24"/>
                                  <w:lang w:eastAsia="lt-LT"/>
                                </w:rPr>
                                <w:t>. Kitais, ne šių Taisyklių 19 punkte nurodytais, atvejais fiziniam asmeniui turi būti išrašoma PVM sąskaita faktūra, kurioje turi būti nurodyta visa Lietuvos Respublikos finansinės apskaitos įstatyme nustatyta apskaitos dokumento privaloma informacija. Pirkėjo prašymu turi būti nurodyta ir kita PVM sąskaitai faktūrai Lietuvos Respublikos pridėtinės vertės mokesčio įstatymo 80 straipsnio 1 ar 9 dalyje (jeigu išrašoma supaprastinta PVM sąskaita faktūra) nustatyta informacija.“</w:t>
                              </w:r>
                            </w:p>
                          </w:sdtContent>
                        </w:sdt>
                      </w:sdtContent>
                    </w:sdt>
                  </w:sdtContent>
                </w:sdt>
                <w:sdt>
                  <w:sdtPr>
                    <w:alias w:val="1.2.13 pp."/>
                    <w:tag w:val="part_13fc6ef51b9242da9503f80e4cba03f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3fc6ef51b9242da9503f80e4cba03fa"/>
                          <w:lock w:val="sdtLocked"/>
                          <w:richText/>
                        </w:sdtPr>
                        <w:sdtContent>
                          <w:r>
                            <w:rPr>
                              <w:szCs w:val="24"/>
                              <w:lang w:eastAsia="lt-LT"/>
                            </w:rPr>
                            <w:t>1.2.13</w:t>
                          </w:r>
                        </w:sdtContent>
                      </w:sdt>
                      <w:r>
                        <w:rPr>
                          <w:szCs w:val="24"/>
                          <w:lang w:eastAsia="lt-LT"/>
                        </w:rPr>
                        <w:t>. Pakeisti 27 punktą ir jį išdėstyti taip:</w:t>
                      </w:r>
                    </w:p>
                    <w:sdt>
                      <w:sdtPr>
                        <w:alias w:val="citata"/>
                        <w:tag w:val="part_1def95f92bfc4e84a3f603d97fb1fc67"/>
                        <w:lock w:val="sdtLocked"/>
                        <w:richText/>
                      </w:sdtPr>
                      <w:sdtContent>
                        <w:sdt>
                          <w:sdtPr>
                            <w:alias w:val="27 p."/>
                            <w:tag w:val="part_bb9c28ca77fc40a1ade77f4aa4eeb49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bb9c28ca77fc40a1ade77f4aa4eeb498"/>
                                  <w:lock w:val="sdtLocked"/>
                                  <w:richText/>
                                </w:sdtPr>
                                <w:sdtContent>
                                  <w:r>
                                    <w:rPr>
                                      <w:szCs w:val="24"/>
                                      <w:lang w:eastAsia="lt-LT"/>
                                    </w:rPr>
                                    <w:t>27</w:t>
                                  </w:r>
                                </w:sdtContent>
                              </w:sdt>
                              <w:r>
                                <w:rPr>
                                  <w:szCs w:val="24"/>
                                  <w:lang w:eastAsia="lt-LT"/>
                                </w:rPr>
                                <w:t>. Be šiose Taisyklėse nurodytų atvejų, individualią veiklą vykdantiems gyventojams taikomos tik tos šių Taisyklių nuostatos, kurios taikomos PVM mokėtojams, jeigu gyventojas yra PVM mokėtojas. Kiti individualią veiklą vykdančių gyventojų išrašomiems apskaitos dokumentams taikomi reikalavimai nustatyti jų finansinę apskaitą reglamentuojančiuose teisės aktuose.“</w:t>
                              </w:r>
                            </w:p>
                          </w:sdtContent>
                        </w:sdt>
                      </w:sdtContent>
                    </w:sdt>
                  </w:sdtContent>
                </w:sdt>
                <w:sdt>
                  <w:sdtPr>
                    <w:alias w:val="1.2.14 pp."/>
                    <w:tag w:val="part_d683ff1c51cc4973ba7299f241bc8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683ff1c51cc4973ba7299f241bc8d55"/>
                          <w:lock w:val="sdtLocked"/>
                          <w:richText/>
                        </w:sdtPr>
                        <w:sdtContent>
                          <w:r>
                            <w:rPr>
                              <w:szCs w:val="24"/>
                              <w:lang w:eastAsia="lt-LT"/>
                            </w:rPr>
                            <w:t>1.2.14</w:t>
                          </w:r>
                        </w:sdtContent>
                      </w:sdt>
                      <w:r>
                        <w:rPr>
                          <w:szCs w:val="24"/>
                          <w:lang w:eastAsia="lt-LT"/>
                        </w:rPr>
                        <w:t>. Pripažinti netekusiu galios 30 punktą.</w:t>
                      </w:r>
                    </w:p>
                  </w:sdtContent>
                </w:sdt>
                <w:sdt>
                  <w:sdtPr>
                    <w:alias w:val="1.2.15 pp."/>
                    <w:tag w:val="part_8f9bfc2e12d44aa38cc9d0f93e28ea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f9bfc2e12d44aa38cc9d0f93e28ea3e"/>
                          <w:lock w:val="sdtLocked"/>
                          <w:richText/>
                        </w:sdtPr>
                        <w:sdtContent>
                          <w:r>
                            <w:rPr>
                              <w:szCs w:val="24"/>
                              <w:lang w:eastAsia="lt-LT"/>
                            </w:rPr>
                            <w:t>1.2.15</w:t>
                          </w:r>
                        </w:sdtContent>
                      </w:sdt>
                      <w:r>
                        <w:rPr>
                          <w:szCs w:val="24"/>
                          <w:lang w:eastAsia="lt-LT"/>
                        </w:rPr>
                        <w:t>. Pakeisti 31 punktą ir jį išdėstyti taip:</w:t>
                      </w:r>
                    </w:p>
                    <w:sdt>
                      <w:sdtPr>
                        <w:alias w:val="citata"/>
                        <w:tag w:val="part_bbd5a5364e8b4af0878ad37b8d15fe4c"/>
                        <w:lock w:val="sdtLocked"/>
                        <w:richText/>
                      </w:sdtPr>
                      <w:sdtContent>
                        <w:sdt>
                          <w:sdtPr>
                            <w:alias w:val="31 p."/>
                            <w:tag w:val="part_6a86a1c70c0647d8a4a2da2a67bbfd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a86a1c70c0647d8a4a2da2a67bbfd9e"/>
                                  <w:lock w:val="sdtLocked"/>
                                  <w:richText/>
                                </w:sdtPr>
                                <w:sdtContent>
                                  <w:r>
                                    <w:rPr>
                                      <w:szCs w:val="24"/>
                                      <w:lang w:eastAsia="lt-LT"/>
                                    </w:rPr>
                                    <w:t>31</w:t>
                                  </w:r>
                                </w:sdtContent>
                              </w:sdt>
                              <w:r>
                                <w:rPr>
                                  <w:szCs w:val="24"/>
                                  <w:lang w:eastAsia="lt-LT"/>
                                </w:rPr>
                                <w:t>. Jeigu išrašymo metu mokesčiams apskaičiuoti naudojami popieriniai</w:t>
                              </w:r>
                              <w:r>
                                <w:rPr>
                                  <w:b/>
                                  <w:szCs w:val="24"/>
                                  <w:lang w:eastAsia="lt-LT"/>
                                </w:rPr>
                                <w:t xml:space="preserve"> </w:t>
                              </w:r>
                              <w:r>
                                <w:rPr>
                                  <w:szCs w:val="24"/>
                                  <w:lang w:eastAsia="lt-LT"/>
                                </w:rPr>
                                <w:t>apskaitos dokumentai sugadinami, jie iš karto žymimi žodžiu „Anuliuota“, nurodoma anuliavimo data ir anuliavimas patvirtinamas dokumentą išrašiusio asmens parašu. Asmuo anuliuotus ir panaudotus mokesčiams apskaičiuoti naudojamus apskaitos dokumentus saugo laikydamasis Lietuvos vyriausiojo archyvaro nustatytų dokumentų saugojimo terminų.“</w:t>
                              </w:r>
                            </w:p>
                          </w:sdtContent>
                        </w:sdt>
                      </w:sdtContent>
                    </w:sdt>
                  </w:sdtContent>
                </w:sdt>
              </w:sdtContent>
            </w:sdt>
          </w:sdtContent>
        </w:sdt>
        <w:sdt>
          <w:sdtPr>
            <w:alias w:val="2 p."/>
            <w:tag w:val="part_cee222adf9aa41789ba1c52b4234de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ee222adf9aa41789ba1c52b4234dea1"/>
                  <w:lock w:val="sdtLocked"/>
                  <w:richText/>
                </w:sdtPr>
                <w:sdtContent>
                  <w:r>
                    <w:rPr>
                      <w:szCs w:val="24"/>
                      <w:lang w:eastAsia="lt-LT"/>
                    </w:rPr>
                    <w:t>2</w:t>
                  </w:r>
                </w:sdtContent>
              </w:sdt>
              <w:r>
                <w:rPr>
                  <w:szCs w:val="24"/>
                  <w:lang w:eastAsia="lt-LT"/>
                </w:rPr>
                <w:t xml:space="preserve">. Nustatyti, kad šis nutarimas, išskyrus šio nutarimo 1.2.5 papunktį, įsigalioja </w:t>
              </w:r>
              <w:r>
                <w:rPr>
                  <w:szCs w:val="24"/>
                  <w:lang w:val="en-US" w:eastAsia="lt-LT"/>
                </w:rPr>
                <w:t>2022 m</w:t>
              </w:r>
              <w:r>
                <w:rPr>
                  <w:szCs w:val="24"/>
                  <w:lang w:eastAsia="lt-LT"/>
                </w:rPr>
                <w:t>. gegužės 1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lt-LT"/>
                </w:rPr>
              </w:pPr>
            </w:p>
          </w:sdtContent>
        </w:sdt>
        <w:sdt>
          <w:sdtPr>
            <w:alias w:val="signatura"/>
            <w:tag w:val="part_4e989d4ffee748cbb3814544f8994d5f"/>
            <w:lock w:val="sdtLocked"/>
            <w:richText/>
          </w:sdtPr>
          <w:sdtContent>
            <w:p>
              <w:pPr>
                <w:jc w:val="both"/>
                <w:rPr>
                  <w:szCs w:val="24"/>
                  <w:lang w:eastAsia="lt-LT"/>
                </w:rPr>
              </w:pPr>
              <w:r>
                <w:rPr>
                  <w:szCs w:val="24"/>
                  <w:lang w:eastAsia="lt-LT"/>
                </w:rPr>
                <w:t>Ministras Pirmininkas</w:t>
              </w:r>
            </w:p>
            <w:p>
              <w:pPr>
                <w:jc w:val="both"/>
                <w:rPr>
                  <w:szCs w:val="24"/>
                  <w:lang w:eastAsia="lt-LT"/>
                </w:rPr>
              </w:pPr>
            </w:p>
            <w:p>
              <w:pPr>
                <w:jc w:val="both"/>
                <w:rPr>
                  <w:szCs w:val="24"/>
                  <w:lang w:eastAsia="lt-LT"/>
                </w:rPr>
              </w:pPr>
              <w:r>
                <w:rPr>
                  <w:szCs w:val="24"/>
                  <w:lang w:eastAsia="lt-LT"/>
                </w:rPr>
                <w:t>Finansų ministras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3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7969CDC-2E79-40D9-9C98-001701D7BEB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914917">
      <w:bodyDiv w:val="1"/>
      <w:marLeft w:val="0"/>
      <w:marRight w:val="0"/>
      <w:marTop w:val="0"/>
      <w:marBottom w:val="0"/>
      <w:divBdr>
        <w:top w:val="none" w:sz="0" w:space="0" w:color="auto"/>
        <w:left w:val="none" w:sz="0" w:space="0" w:color="auto"/>
        <w:bottom w:val="none" w:sz="0" w:space="0" w:color="auto"/>
        <w:right w:val="none" w:sz="0" w:space="0" w:color="auto"/>
      </w:divBdr>
    </w:div>
    <w:div w:id="139346820">
      <w:bodyDiv w:val="1"/>
      <w:marLeft w:val="0"/>
      <w:marRight w:val="0"/>
      <w:marTop w:val="0"/>
      <w:marBottom w:val="0"/>
      <w:divBdr>
        <w:top w:val="none" w:sz="0" w:space="0" w:color="auto"/>
        <w:left w:val="none" w:sz="0" w:space="0" w:color="auto"/>
        <w:bottom w:val="none" w:sz="0" w:space="0" w:color="auto"/>
        <w:right w:val="none" w:sz="0" w:space="0" w:color="auto"/>
      </w:divBdr>
    </w:div>
    <w:div w:id="207576005">
      <w:bodyDiv w:val="1"/>
      <w:marLeft w:val="0"/>
      <w:marRight w:val="0"/>
      <w:marTop w:val="0"/>
      <w:marBottom w:val="0"/>
      <w:divBdr>
        <w:top w:val="none" w:sz="0" w:space="0" w:color="auto"/>
        <w:left w:val="none" w:sz="0" w:space="0" w:color="auto"/>
        <w:bottom w:val="none" w:sz="0" w:space="0" w:color="auto"/>
        <w:right w:val="none" w:sz="0" w:space="0" w:color="auto"/>
      </w:divBdr>
    </w:div>
    <w:div w:id="230433131">
      <w:bodyDiv w:val="1"/>
      <w:marLeft w:val="0"/>
      <w:marRight w:val="0"/>
      <w:marTop w:val="0"/>
      <w:marBottom w:val="0"/>
      <w:divBdr>
        <w:top w:val="none" w:sz="0" w:space="0" w:color="auto"/>
        <w:left w:val="none" w:sz="0" w:space="0" w:color="auto"/>
        <w:bottom w:val="none" w:sz="0" w:space="0" w:color="auto"/>
        <w:right w:val="none" w:sz="0" w:space="0" w:color="auto"/>
      </w:divBdr>
    </w:div>
    <w:div w:id="304628251">
      <w:bodyDiv w:val="1"/>
      <w:marLeft w:val="0"/>
      <w:marRight w:val="0"/>
      <w:marTop w:val="0"/>
      <w:marBottom w:val="0"/>
      <w:divBdr>
        <w:top w:val="none" w:sz="0" w:space="0" w:color="auto"/>
        <w:left w:val="none" w:sz="0" w:space="0" w:color="auto"/>
        <w:bottom w:val="none" w:sz="0" w:space="0" w:color="auto"/>
        <w:right w:val="none" w:sz="0" w:space="0" w:color="auto"/>
      </w:divBdr>
    </w:div>
    <w:div w:id="394671480">
      <w:bodyDiv w:val="1"/>
      <w:marLeft w:val="0"/>
      <w:marRight w:val="0"/>
      <w:marTop w:val="0"/>
      <w:marBottom w:val="0"/>
      <w:divBdr>
        <w:top w:val="none" w:sz="0" w:space="0" w:color="auto"/>
        <w:left w:val="none" w:sz="0" w:space="0" w:color="auto"/>
        <w:bottom w:val="none" w:sz="0" w:space="0" w:color="auto"/>
        <w:right w:val="none" w:sz="0" w:space="0" w:color="auto"/>
      </w:divBdr>
    </w:div>
    <w:div w:id="404452355">
      <w:bodyDiv w:val="1"/>
      <w:marLeft w:val="0"/>
      <w:marRight w:val="0"/>
      <w:marTop w:val="0"/>
      <w:marBottom w:val="0"/>
      <w:divBdr>
        <w:top w:val="none" w:sz="0" w:space="0" w:color="auto"/>
        <w:left w:val="none" w:sz="0" w:space="0" w:color="auto"/>
        <w:bottom w:val="none" w:sz="0" w:space="0" w:color="auto"/>
        <w:right w:val="none" w:sz="0" w:space="0" w:color="auto"/>
      </w:divBdr>
    </w:div>
    <w:div w:id="414056794">
      <w:bodyDiv w:val="1"/>
      <w:marLeft w:val="0"/>
      <w:marRight w:val="0"/>
      <w:marTop w:val="0"/>
      <w:marBottom w:val="0"/>
      <w:divBdr>
        <w:top w:val="none" w:sz="0" w:space="0" w:color="auto"/>
        <w:left w:val="none" w:sz="0" w:space="0" w:color="auto"/>
        <w:bottom w:val="none" w:sz="0" w:space="0" w:color="auto"/>
        <w:right w:val="none" w:sz="0" w:space="0" w:color="auto"/>
      </w:divBdr>
    </w:div>
    <w:div w:id="603458077">
      <w:bodyDiv w:val="1"/>
      <w:marLeft w:val="0"/>
      <w:marRight w:val="0"/>
      <w:marTop w:val="0"/>
      <w:marBottom w:val="0"/>
      <w:divBdr>
        <w:top w:val="none" w:sz="0" w:space="0" w:color="auto"/>
        <w:left w:val="none" w:sz="0" w:space="0" w:color="auto"/>
        <w:bottom w:val="none" w:sz="0" w:space="0" w:color="auto"/>
        <w:right w:val="none" w:sz="0" w:space="0" w:color="auto"/>
      </w:divBdr>
    </w:div>
    <w:div w:id="630481476">
      <w:bodyDiv w:val="1"/>
      <w:marLeft w:val="0"/>
      <w:marRight w:val="0"/>
      <w:marTop w:val="0"/>
      <w:marBottom w:val="0"/>
      <w:divBdr>
        <w:top w:val="none" w:sz="0" w:space="0" w:color="auto"/>
        <w:left w:val="none" w:sz="0" w:space="0" w:color="auto"/>
        <w:bottom w:val="none" w:sz="0" w:space="0" w:color="auto"/>
        <w:right w:val="none" w:sz="0" w:space="0" w:color="auto"/>
      </w:divBdr>
    </w:div>
    <w:div w:id="675309187">
      <w:bodyDiv w:val="1"/>
      <w:marLeft w:val="0"/>
      <w:marRight w:val="0"/>
      <w:marTop w:val="0"/>
      <w:marBottom w:val="0"/>
      <w:divBdr>
        <w:top w:val="none" w:sz="0" w:space="0" w:color="auto"/>
        <w:left w:val="none" w:sz="0" w:space="0" w:color="auto"/>
        <w:bottom w:val="none" w:sz="0" w:space="0" w:color="auto"/>
        <w:right w:val="none" w:sz="0" w:space="0" w:color="auto"/>
      </w:divBdr>
    </w:div>
    <w:div w:id="704409718">
      <w:bodyDiv w:val="1"/>
      <w:marLeft w:val="0"/>
      <w:marRight w:val="0"/>
      <w:marTop w:val="0"/>
      <w:marBottom w:val="0"/>
      <w:divBdr>
        <w:top w:val="none" w:sz="0" w:space="0" w:color="auto"/>
        <w:left w:val="none" w:sz="0" w:space="0" w:color="auto"/>
        <w:bottom w:val="none" w:sz="0" w:space="0" w:color="auto"/>
        <w:right w:val="none" w:sz="0" w:space="0" w:color="auto"/>
      </w:divBdr>
    </w:div>
    <w:div w:id="767697176">
      <w:bodyDiv w:val="1"/>
      <w:marLeft w:val="0"/>
      <w:marRight w:val="0"/>
      <w:marTop w:val="0"/>
      <w:marBottom w:val="0"/>
      <w:divBdr>
        <w:top w:val="none" w:sz="0" w:space="0" w:color="auto"/>
        <w:left w:val="none" w:sz="0" w:space="0" w:color="auto"/>
        <w:bottom w:val="none" w:sz="0" w:space="0" w:color="auto"/>
        <w:right w:val="none" w:sz="0" w:space="0" w:color="auto"/>
      </w:divBdr>
    </w:div>
    <w:div w:id="838734966">
      <w:bodyDiv w:val="1"/>
      <w:marLeft w:val="0"/>
      <w:marRight w:val="0"/>
      <w:marTop w:val="0"/>
      <w:marBottom w:val="0"/>
      <w:divBdr>
        <w:top w:val="none" w:sz="0" w:space="0" w:color="auto"/>
        <w:left w:val="none" w:sz="0" w:space="0" w:color="auto"/>
        <w:bottom w:val="none" w:sz="0" w:space="0" w:color="auto"/>
        <w:right w:val="none" w:sz="0" w:space="0" w:color="auto"/>
      </w:divBdr>
    </w:div>
    <w:div w:id="926958239">
      <w:bodyDiv w:val="1"/>
      <w:marLeft w:val="0"/>
      <w:marRight w:val="0"/>
      <w:marTop w:val="0"/>
      <w:marBottom w:val="0"/>
      <w:divBdr>
        <w:top w:val="none" w:sz="0" w:space="0" w:color="auto"/>
        <w:left w:val="none" w:sz="0" w:space="0" w:color="auto"/>
        <w:bottom w:val="none" w:sz="0" w:space="0" w:color="auto"/>
        <w:right w:val="none" w:sz="0" w:space="0" w:color="auto"/>
      </w:divBdr>
    </w:div>
    <w:div w:id="1037505876">
      <w:bodyDiv w:val="1"/>
      <w:marLeft w:val="0"/>
      <w:marRight w:val="0"/>
      <w:marTop w:val="0"/>
      <w:marBottom w:val="0"/>
      <w:divBdr>
        <w:top w:val="none" w:sz="0" w:space="0" w:color="auto"/>
        <w:left w:val="none" w:sz="0" w:space="0" w:color="auto"/>
        <w:bottom w:val="none" w:sz="0" w:space="0" w:color="auto"/>
        <w:right w:val="none" w:sz="0" w:space="0" w:color="auto"/>
      </w:divBdr>
    </w:div>
    <w:div w:id="1045253285">
      <w:bodyDiv w:val="1"/>
      <w:marLeft w:val="0"/>
      <w:marRight w:val="0"/>
      <w:marTop w:val="0"/>
      <w:marBottom w:val="0"/>
      <w:divBdr>
        <w:top w:val="none" w:sz="0" w:space="0" w:color="auto"/>
        <w:left w:val="none" w:sz="0" w:space="0" w:color="auto"/>
        <w:bottom w:val="none" w:sz="0" w:space="0" w:color="auto"/>
        <w:right w:val="none" w:sz="0" w:space="0" w:color="auto"/>
      </w:divBdr>
    </w:div>
    <w:div w:id="1060711628">
      <w:bodyDiv w:val="1"/>
      <w:marLeft w:val="0"/>
      <w:marRight w:val="0"/>
      <w:marTop w:val="0"/>
      <w:marBottom w:val="0"/>
      <w:divBdr>
        <w:top w:val="none" w:sz="0" w:space="0" w:color="auto"/>
        <w:left w:val="none" w:sz="0" w:space="0" w:color="auto"/>
        <w:bottom w:val="none" w:sz="0" w:space="0" w:color="auto"/>
        <w:right w:val="none" w:sz="0" w:space="0" w:color="auto"/>
      </w:divBdr>
    </w:div>
    <w:div w:id="1114251534">
      <w:bodyDiv w:val="1"/>
      <w:marLeft w:val="0"/>
      <w:marRight w:val="0"/>
      <w:marTop w:val="0"/>
      <w:marBottom w:val="0"/>
      <w:divBdr>
        <w:top w:val="none" w:sz="0" w:space="0" w:color="auto"/>
        <w:left w:val="none" w:sz="0" w:space="0" w:color="auto"/>
        <w:bottom w:val="none" w:sz="0" w:space="0" w:color="auto"/>
        <w:right w:val="none" w:sz="0" w:space="0" w:color="auto"/>
      </w:divBdr>
    </w:div>
    <w:div w:id="1121076001">
      <w:bodyDiv w:val="1"/>
      <w:marLeft w:val="0"/>
      <w:marRight w:val="0"/>
      <w:marTop w:val="0"/>
      <w:marBottom w:val="0"/>
      <w:divBdr>
        <w:top w:val="none" w:sz="0" w:space="0" w:color="auto"/>
        <w:left w:val="none" w:sz="0" w:space="0" w:color="auto"/>
        <w:bottom w:val="none" w:sz="0" w:space="0" w:color="auto"/>
        <w:right w:val="none" w:sz="0" w:space="0" w:color="auto"/>
      </w:divBdr>
    </w:div>
    <w:div w:id="1388843008">
      <w:bodyDiv w:val="1"/>
      <w:marLeft w:val="0"/>
      <w:marRight w:val="0"/>
      <w:marTop w:val="0"/>
      <w:marBottom w:val="0"/>
      <w:divBdr>
        <w:top w:val="none" w:sz="0" w:space="0" w:color="auto"/>
        <w:left w:val="none" w:sz="0" w:space="0" w:color="auto"/>
        <w:bottom w:val="none" w:sz="0" w:space="0" w:color="auto"/>
        <w:right w:val="none" w:sz="0" w:space="0" w:color="auto"/>
      </w:divBdr>
    </w:div>
    <w:div w:id="1395196146">
      <w:bodyDiv w:val="1"/>
      <w:marLeft w:val="0"/>
      <w:marRight w:val="0"/>
      <w:marTop w:val="0"/>
      <w:marBottom w:val="0"/>
      <w:divBdr>
        <w:top w:val="none" w:sz="0" w:space="0" w:color="auto"/>
        <w:left w:val="none" w:sz="0" w:space="0" w:color="auto"/>
        <w:bottom w:val="none" w:sz="0" w:space="0" w:color="auto"/>
        <w:right w:val="none" w:sz="0" w:space="0" w:color="auto"/>
      </w:divBdr>
    </w:div>
    <w:div w:id="1505899316">
      <w:bodyDiv w:val="1"/>
      <w:marLeft w:val="0"/>
      <w:marRight w:val="0"/>
      <w:marTop w:val="0"/>
      <w:marBottom w:val="0"/>
      <w:divBdr>
        <w:top w:val="none" w:sz="0" w:space="0" w:color="auto"/>
        <w:left w:val="none" w:sz="0" w:space="0" w:color="auto"/>
        <w:bottom w:val="none" w:sz="0" w:space="0" w:color="auto"/>
        <w:right w:val="none" w:sz="0" w:space="0" w:color="auto"/>
      </w:divBdr>
    </w:div>
    <w:div w:id="1694649946">
      <w:bodyDiv w:val="1"/>
      <w:marLeft w:val="0"/>
      <w:marRight w:val="0"/>
      <w:marTop w:val="0"/>
      <w:marBottom w:val="0"/>
      <w:divBdr>
        <w:top w:val="none" w:sz="0" w:space="0" w:color="auto"/>
        <w:left w:val="none" w:sz="0" w:space="0" w:color="auto"/>
        <w:bottom w:val="none" w:sz="0" w:space="0" w:color="auto"/>
        <w:right w:val="none" w:sz="0" w:space="0" w:color="auto"/>
      </w:divBdr>
    </w:div>
    <w:div w:id="1764256531">
      <w:bodyDiv w:val="1"/>
      <w:marLeft w:val="0"/>
      <w:marRight w:val="0"/>
      <w:marTop w:val="0"/>
      <w:marBottom w:val="0"/>
      <w:divBdr>
        <w:top w:val="none" w:sz="0" w:space="0" w:color="auto"/>
        <w:left w:val="none" w:sz="0" w:space="0" w:color="auto"/>
        <w:bottom w:val="none" w:sz="0" w:space="0" w:color="auto"/>
        <w:right w:val="none" w:sz="0" w:space="0" w:color="auto"/>
      </w:divBdr>
    </w:div>
    <w:div w:id="1775124320">
      <w:bodyDiv w:val="1"/>
      <w:marLeft w:val="0"/>
      <w:marRight w:val="0"/>
      <w:marTop w:val="0"/>
      <w:marBottom w:val="0"/>
      <w:divBdr>
        <w:top w:val="none" w:sz="0" w:space="0" w:color="auto"/>
        <w:left w:val="none" w:sz="0" w:space="0" w:color="auto"/>
        <w:bottom w:val="none" w:sz="0" w:space="0" w:color="auto"/>
        <w:right w:val="none" w:sz="0" w:space="0" w:color="auto"/>
      </w:divBdr>
    </w:div>
    <w:div w:id="1804810638">
      <w:bodyDiv w:val="1"/>
      <w:marLeft w:val="0"/>
      <w:marRight w:val="0"/>
      <w:marTop w:val="0"/>
      <w:marBottom w:val="0"/>
      <w:divBdr>
        <w:top w:val="none" w:sz="0" w:space="0" w:color="auto"/>
        <w:left w:val="none" w:sz="0" w:space="0" w:color="auto"/>
        <w:bottom w:val="none" w:sz="0" w:space="0" w:color="auto"/>
        <w:right w:val="none" w:sz="0" w:space="0" w:color="auto"/>
      </w:divBdr>
    </w:div>
    <w:div w:id="2013532889">
      <w:bodyDiv w:val="1"/>
      <w:marLeft w:val="0"/>
      <w:marRight w:val="0"/>
      <w:marTop w:val="0"/>
      <w:marBottom w:val="0"/>
      <w:divBdr>
        <w:top w:val="none" w:sz="0" w:space="0" w:color="auto"/>
        <w:left w:val="none" w:sz="0" w:space="0" w:color="auto"/>
        <w:bottom w:val="none" w:sz="0" w:space="0" w:color="auto"/>
        <w:right w:val="none" w:sz="0" w:space="0" w:color="auto"/>
      </w:divBdr>
    </w:div>
    <w:div w:id="2051564302">
      <w:bodyDiv w:val="1"/>
      <w:marLeft w:val="0"/>
      <w:marRight w:val="0"/>
      <w:marTop w:val="0"/>
      <w:marBottom w:val="0"/>
      <w:divBdr>
        <w:top w:val="none" w:sz="0" w:space="0" w:color="auto"/>
        <w:left w:val="none" w:sz="0" w:space="0" w:color="auto"/>
        <w:bottom w:val="none" w:sz="0" w:space="0" w:color="auto"/>
        <w:right w:val="none" w:sz="0" w:space="0" w:color="auto"/>
      </w:divBdr>
    </w:div>
    <w:div w:id="2057773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37905a76184a3cb91db86217c7c522" PartId="490dea96c25a40219c2939fbab86c41d">
    <Part Type="preambule" DocPartId="88c3598ae77342249581b6ea0131dbcc" PartId="afd57196fea0435e9454666d69e01a39"/>
    <Part Type="punktas" Nr="1" Abbr="1 p." DocPartId="edc33568921f4465b0e46d06584b998f" PartId="a197f1bfd81242f5a725b5fdc17db333">
      <Part Type="papunktis" Nr="1.1" Abbr="1.1 pp." DocPartId="48dce247c89d4237a1a9ead24d9371ee" PartId="c40e8544a69c4853856c810eb54b2232">
        <Part Type="citata" DocPartId="99cf56d7262247399b205aa386225ca8" PartId="32b78ffd930d4910a1c1f16d107b5c65">
          <Part Type="pastraipa" DocPartId="adc5922836fb40d49fa2951e9c821e3b" PartId="8cffd551acc3488aa4643a2418d04c81"/>
        </Part>
      </Part>
      <Part Type="papunktis" Nr="1.2" Abbr="1.2 pp." DocPartId="3e402f34f9914814b4311918ca5603c3" PartId="c744c6b3657d4f0ba3c85f8e3b3564df">
        <Part Type="papunktis" Nr="1.2.1" Abbr="1.2.1 pp." DocPartId="efec220cc13a463598d00ecd0513c803" PartId="2c6113dabf9a4aa6b42485bb9573279f">
          <Part Type="citata" DocPartId="6d7e5039ae724868bd0c5dad5dae809c" PartId="444605f2c4704ff2aba075bda21f790f">
            <Part Type="punktas" Nr="3" Abbr="3 p." DocPartId="574a8cb2450f4a309ebe281238f16e2a" PartId="6614c9fd917c4f3ca9903ace3810cc7b"/>
          </Part>
        </Part>
        <Part Type="papunktis" Nr="1.2.2" Abbr="1.2.2 pp." DocPartId="4db6b5b676574e5cbff2ff64e6b8933b" PartId="194e8a39b14e469dae7c692ecea55d63">
          <Part Type="citata" DocPartId="580de9f2ca4c497d94ca7bb453e0636e" PartId="42adaac31c374d9db2b4d3fa8193573f">
            <Part Type="punktas" Nr="4" Abbr="4 p." DocPartId="ffeefeeb60bc424691d67dabd78f287b" PartId="b0bfb857845f4b78962b83b2389f3498"/>
          </Part>
        </Part>
        <Part Type="papunktis" Nr="1.2.3" Abbr="1.2.3 pp." DocPartId="e89a53a01e5343a1afd9b338cabedc17" PartId="55b6730e7ae842bba37cc108bcb4e50a">
          <Part Type="citata" DocPartId="3d3565a57da74f249fa024cfef107227" PartId="84db11f66fd74639b2436a0af012a55f">
            <Part Type="punktas" Nr="5" Abbr="5 p." DocPartId="612ae7c7dfb947eeb2c5ef95e322e661" PartId="448ef7815ee94e5f93100f76510c2795">
              <Part Type="papunktis" Nr="5.1" Abbr="5.1 pp." DocPartId="83d8a645f40a445e92d532d4e02c907e" PartId="6f0f8fb49b1b4b00addb9600e67f5be1"/>
              <Part Type="papunktis" Nr="5.2" Abbr="5.2 pp." DocPartId="b614f11ca8764b299be92dee8b102e98" PartId="1500c5439f5949ff88ba9b86f7d26dc6"/>
            </Part>
          </Part>
        </Part>
        <Part Type="papunktis" Nr="1.2.4" Abbr="1.2.4 pp." DocPartId="cb0ad8edec9543538999035f587ca61d" PartId="8e0fb4019b0f4a4db684f438331fa906">
          <Part Type="citata" DocPartId="dbc1bb20e20c4f2ab9e80f8b70c1b4db" PartId="dc729083fb9d45268bf7b809984c3136">
            <Part Type="punktas" Nr="6-1" Abbr="6-1 p." DocPartId="321c46c164934d11b286258020eb0498" PartId="e3e96c4f262f49069112adb5860bf31c"/>
          </Part>
        </Part>
        <Part Type="papunktis" Nr="1.2.5" Abbr="1.2.5 pp." DocPartId="06371506adc54ca8a02bd12ab1608744" PartId="ac477c96fc8b4beab9fe4031256c93da">
          <Part Type="citata" DocPartId="5b7d6eca455747b2bccd7951d3412243" PartId="46113d91bf8540a99a4a3e6213518355">
            <Part Type="punktas" Nr="8" Abbr="8 p." DocPartId="ed4f944e1dfe4c8b8e6f0ca676f8b21f" PartId="25aac6e36da743edbf128235a842a059"/>
          </Part>
        </Part>
        <Part Type="papunktis" Nr="1.2.6" Abbr="1.2.6 pp." DocPartId="654e9155852d4414bc7a312da6de3744" PartId="e1671bde3fe24ebcb1bf955015284741">
          <Part Type="citata" DocPartId="138292c3510b46399d70e0182f16553c" PartId="0409ccea63a34f8b96d5092a5653924a">
            <Part Type="punktas" Nr="8" Abbr="8 p." DocPartId="d4ca8bd80d474f0997ddc2e5c3effe27" PartId="0b6eac10e6a74618899cad13a0c1f781"/>
          </Part>
        </Part>
        <Part Type="papunktis" Nr="1.2.7" Abbr="1.2.7 pp." DocPartId="ab3e950ec82a4ca78921bf65519dbe3a" PartId="413d27f9df8b48bc915b82e1ad5e2c2d">
          <Part Type="citata" DocPartId="60b07fb5e8ba4bef88166c6eb5d94e22" PartId="f57cbd3f761b4b9a82593f5203080301">
            <Part Type="punktas" Nr="8-1" Abbr="8-1 p." DocPartId="494be37adaaa4833b4a8af8f4a624029" PartId="c9b2ecc2d25e481ab635ffd156e71c47"/>
          </Part>
        </Part>
        <Part Type="papunktis" Nr="1.2.8" Abbr="1.2.8 pp." DocPartId="0080ab8894c64a3fb3a11a4fbf3ce4a8" PartId="36dcbbaa370740d9bd5ba6d54cbc3e7f">
          <Part Type="citata" DocPartId="c866ca25c327490fa58bebe8a9e714f8" PartId="00920950ac624639b15b082559010c41">
            <Part Type="punktas" Nr="10" Abbr="10 p." DocPartId="4c818e1836624b1eb29979c53e42cdf2" PartId="ce8f1b735e314530b39168b6cfd65ce5"/>
          </Part>
        </Part>
        <Part Type="papunktis" Nr="1.2.9" Abbr="1.2.9 pp." DocPartId="493e3432417b45159f72356eb0d3d744" PartId="5a18058bf6a7431e936d2307843d4eb9">
          <Part Type="citata" DocPartId="e9ef3fbd171940f4ac1e99f64b899e22" PartId="e5d3671cc9fd46a28eb28c87ceeac75e">
            <Part Type="papunktis" Nr="19.2" Abbr="19.2 pp." DocPartId="54624c7ddadc4bafacbbe2bd7d6838cb" PartId="c18d9fd655d04bf09410ae555174caee"/>
          </Part>
        </Part>
        <Part Type="papunktis" Nr="1.2.10" Abbr="1.2.10 pp." DocPartId="4eb76f66b0a94908ad695c68075fbe21" PartId="2f10813063694568aba444f0bd289163">
          <Part Type="citata" DocPartId="bd07bc11e8a447b89475c7328529ff20" PartId="755cba6a2a444db89a758a5a3e77f891">
            <Part Type="papunktis" Nr="19.3" Abbr="19.3 pp." DocPartId="7de531dbf9d1486a9d7b8d4d3208807a" PartId="33a3bd2cf133436e9dcb54a53877b605"/>
          </Part>
        </Part>
        <Part Type="papunktis" Nr="1.2.11" Abbr="1.2.11 pp." DocPartId="12f08348874a42cb9bf92ed2d8de79b4" PartId="0e5ee06d041c4956ad2b9ce7435771aa">
          <Part Type="citata" DocPartId="bcaac6edadd046129a806d8aab288de4" PartId="30dfa7b4c11c4504995c9e897a2bc2a9">
            <Part Type="papunktis" Nr="19.4" Abbr="19.4 pp." DocPartId="86d1c63d75d343d1a93768ec817b994f" PartId="c908eda249f14b45a02c61c19163def0"/>
          </Part>
        </Part>
        <Part Type="papunktis" Nr="1.2.12" Abbr="1.2.12 pp." DocPartId="3558a07bfa094244821ecb7350eeec5b" PartId="a580c04f36e644d0b4a59bfc61c454eb">
          <Part Type="citata" DocPartId="42549add622341a39426221d447a1044" PartId="d368d2ae75e74359be3901b11cf8648d">
            <Part Type="punktas" Nr="20" Abbr="20 p." DocPartId="099075d78aef47c68a77ed5f3fae70ed" PartId="a3c4e5dd4dbb4ebeb704b306d9c36ba9"/>
          </Part>
        </Part>
        <Part Type="papunktis" Nr="1.2.13" Abbr="1.2.13 pp." DocPartId="8e00b8ee5db24c0c9974699cc0f250df" PartId="13fc6ef51b9242da9503f80e4cba03fa">
          <Part Type="citata" DocPartId="f69d6108443e4ace9c9c861e5a7e9e3d" PartId="1def95f92bfc4e84a3f603d97fb1fc67">
            <Part Type="punktas" Nr="27" Abbr="27 p." DocPartId="e607ce0af8074e91b190cbe49f52efae" PartId="bb9c28ca77fc40a1ade77f4aa4eeb498"/>
          </Part>
        </Part>
        <Part Type="papunktis" Nr="1.2.14" Abbr="1.2.14 pp." DocPartId="9c92ea5a2e304dccbda76438fbe44aff" PartId="d683ff1c51cc4973ba7299f241bc8d55"/>
        <Part Type="papunktis" Nr="1.2.15" Abbr="1.2.15 pp." DocPartId="751e8f9c3f14457e87fbc045e48d0446" PartId="8f9bfc2e12d44aa38cc9d0f93e28ea3e">
          <Part Type="citata" DocPartId="f2812f0997f44874ace9565b24a1368d" PartId="bbd5a5364e8b4af0878ad37b8d15fe4c">
            <Part Type="punktas" Nr="31" Abbr="31 p." DocPartId="5628cfb1ad2b4058a56471418e5bdc94" PartId="6a86a1c70c0647d8a4a2da2a67bbfd9e"/>
          </Part>
        </Part>
      </Part>
    </Part>
    <Part Type="punktas" Nr="2" Abbr="2 p." DocPartId="8cdf5823cbd44cd181c5e689b7a32cb8" PartId="cee222adf9aa41789ba1c52b4234dea1"/>
    <Part Type="signatura" DocPartId="06d2eb87d1604b5ca90bb5697e60fb24" PartId="4e989d4ffee748cbb3814544f8994d5f"/>
  </Part>
</Parts>
</file>

<file path=customXml/itemProps1.xml><?xml version="1.0" encoding="utf-8"?>
<ds:datastoreItem xmlns:ds="http://schemas.openxmlformats.org/officeDocument/2006/customXml" ds:itemID="{92698DA8-E4B8-4B15-A457-EDCA491C35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1160</Words>
  <Characters>8146</Characters>
  <Application>Microsoft Office Word</Application>
  <DocSecurity>4</DocSecurity>
  <Lines>135</Lines>
  <Paragraphs>53</Paragraphs>
  <ScaleCrop>false</ScaleCrop>
  <HeadingPairs>
    <vt:vector size="2" baseType="variant">
      <vt:variant>
        <vt:lpstr>Pavadinimas</vt:lpstr>
      </vt:variant>
      <vt:variant>
        <vt:i4>1</vt:i4>
      </vt:variant>
    </vt:vector>
  </HeadingPairs>
  <TitlesOfParts>
    <vt:vector size="1" baseType="lpstr">
      <vt:lpstr>Projektas</vt:lpstr>
    </vt:vector>
  </TitlesOfParts>
  <Company>LR Finansų ministerija</Company>
  <LinksUpToDate>false</LinksUpToDate>
  <CharactersWithSpaces>9253</CharactersWithSpaces>
  <SharedDoc>false</SharedDoc>
  <HyperlinkBase/>
  <HLinks>
    <vt:vector size="18" baseType="variant">
      <vt:variant>
        <vt:i4>65559</vt:i4>
      </vt:variant>
      <vt:variant>
        <vt:i4>6</vt:i4>
      </vt:variant>
      <vt:variant>
        <vt:i4>0</vt:i4>
      </vt:variant>
      <vt:variant>
        <vt:i4>5</vt:i4>
      </vt:variant>
      <vt:variant>
        <vt:lpwstr>http://172.16.0.250/Litlex/ll.dll?Tekstas=1&amp;Id=50884&amp;BF=1</vt:lpwstr>
      </vt:variant>
      <vt:variant>
        <vt:lpwstr/>
      </vt:variant>
      <vt:variant>
        <vt:i4>524309</vt:i4>
      </vt:variant>
      <vt:variant>
        <vt:i4>3</vt:i4>
      </vt:variant>
      <vt:variant>
        <vt:i4>0</vt:i4>
      </vt:variant>
      <vt:variant>
        <vt:i4>5</vt:i4>
      </vt:variant>
      <vt:variant>
        <vt:lpwstr>http://172.16.0.250/Litlex/ll.dll?Tekstas=1&amp;Id=53693&amp;BF=1</vt:lpwstr>
      </vt:variant>
      <vt:variant>
        <vt:lpwstr/>
      </vt:variant>
      <vt:variant>
        <vt:i4>4784151</vt:i4>
      </vt:variant>
      <vt:variant>
        <vt:i4>0</vt:i4>
      </vt:variant>
      <vt:variant>
        <vt:i4>0</vt:i4>
      </vt:variant>
      <vt:variant>
        <vt:i4>5</vt:i4>
      </vt:variant>
      <vt:variant>
        <vt:lpwstr>javascript:openStr('53693','98')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2022-03-04T11:26:00Z</dcterms:created>
  <dc:creator>FM</dc:creator>
  <lastModifiedBy>adlibuser</lastModifiedBy>
  <lastPrinted>2013-06-04T15:25:00Z</lastPrinted>
  <dcterms:modified xsi:type="dcterms:W3CDTF">2022-03-04T11:26:00Z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-1168076342</vt:i4>
  </property>
  <property fmtid="{D5CDD505-2E9C-101B-9397-08002B2CF9AE}" pid="3" name="_EmailSubject">
    <vt:lpwstr>Nutarimas 145</vt:lpwstr>
  </property>
  <property fmtid="{D5CDD505-2E9C-101B-9397-08002B2CF9AE}" pid="4" name="_AuthorEmail">
    <vt:lpwstr>g.rimkeviciute@finmin.lt</vt:lpwstr>
  </property>
  <property fmtid="{D5CDD505-2E9C-101B-9397-08002B2CF9AE}" pid="5" name="_AuthorEmailDisplayName">
    <vt:lpwstr>Giedre Rimkeviciute</vt:lpwstr>
  </property>
  <property fmtid="{D5CDD505-2E9C-101B-9397-08002B2CF9AE}" pid="6" name="_ReviewingToolsShownOnce">
    <vt:lpwstr/>
  </property>
</Properties>
</file>