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6a565fb3bdd43359d2b13f1a070a78e"/>
        <w:lock w:val="sdtLocked"/>
        <w:richText/>
      </w:sdtPr>
      <w:sdtContent>
        <w:p>
          <w:pPr>
            <w:tabs>
              <w:tab w:val="center" w:pos="4819"/>
              <w:tab w:val="right" w:pos="9638"/>
            </w:tabs>
            <w:ind w:right="1134"/>
            <w:jc w:val="right"/>
            <w:rPr>
              <w:rFonts w:ascii="Verdana" w:hAnsi="Verdana"/>
              <w:b/>
              <w:sz w:val="20"/>
              <w:lang w:eastAsia="lt-LT"/>
            </w:rPr>
          </w:pPr>
          <w:r>
            <w:rPr>
              <w:rFonts w:ascii="Verdana" w:hAnsi="Verdana"/>
              <w:b/>
              <w:sz w:val="20"/>
              <w:lang w:eastAsia="lt-LT"/>
            </w:rPr>
            <w:t>Projektas</w:t>
          </w:r>
        </w:p>
        <w:p>
          <w:pPr>
            <w:tabs>
              <w:tab w:val="center" w:pos="4819"/>
              <w:tab w:val="right" w:pos="9638"/>
            </w:tabs>
            <w:ind w:right="1134"/>
            <w:jc w:val="right"/>
            <w:rPr>
              <w:rFonts w:ascii="Verdana" w:hAnsi="Verdana"/>
              <w:b/>
              <w:sz w:val="20"/>
              <w:lang w:eastAsia="lt-LT"/>
            </w:rPr>
          </w:pPr>
          <w:r>
            <w:rPr>
              <w:rFonts w:ascii="Verdana" w:hAnsi="Verdana"/>
              <w:b/>
              <w:sz w:val="20"/>
              <w:lang w:eastAsia="lt-LT"/>
            </w:rPr>
            <w:t>2025-03-07 Nr. TR-83</w:t>
          </w:r>
        </w:p>
        <w:p>
          <w:pPr>
            <w:jc w:val="center"/>
            <w:rPr>
              <w:rFonts w:ascii="Verdana" w:hAnsi="Verdana"/>
              <w:szCs w:val="24"/>
              <w:lang w:eastAsia="lt-LT"/>
            </w:rPr>
          </w:pPr>
        </w:p>
        <w:p>
          <w:pPr>
            <w:rPr>
              <w:sz w:val="10"/>
              <w:szCs w:val="10"/>
            </w:rPr>
          </w:pPr>
        </w:p>
        <w:p>
          <w:pPr>
            <w:jc w:val="center"/>
            <w:rPr>
              <w:rFonts w:ascii="Verdana" w:hAnsi="Verdana"/>
              <w:b/>
              <w:szCs w:val="24"/>
              <w:lang w:eastAsia="lt-LT"/>
            </w:rPr>
          </w:pPr>
          <w:r>
            <w:rPr>
              <w:rFonts w:ascii="Verdana" w:hAnsi="Verdana"/>
              <w:b/>
              <w:szCs w:val="24"/>
              <w:lang w:eastAsia="lt-LT"/>
            </w:rPr>
            <w:t>MARIJAMPOLĖS SAVIVALDYBĖS TARYBA</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jc w:val="center"/>
            <w:rPr>
              <w:rFonts w:ascii="Verdana" w:hAnsi="Verdana"/>
              <w:b/>
              <w:szCs w:val="24"/>
              <w:lang w:eastAsia="lt-LT"/>
            </w:rPr>
          </w:pPr>
          <w:r>
            <w:rPr>
              <w:rFonts w:ascii="Verdana" w:hAnsi="Verdana"/>
              <w:b/>
              <w:szCs w:val="24"/>
              <w:lang w:eastAsia="lt-LT"/>
            </w:rPr>
            <w:t>SPRENDIMAS</w:t>
          </w:r>
        </w:p>
        <w:p>
          <w:pPr>
            <w:jc w:val="center"/>
            <w:rPr>
              <w:rFonts w:ascii="Verdana" w:hAnsi="Verdana"/>
              <w:b/>
              <w:szCs w:val="24"/>
              <w:lang w:eastAsia="lt-LT"/>
            </w:rPr>
          </w:pPr>
          <w:r>
            <w:rPr>
              <w:rFonts w:ascii="Verdana" w:hAnsi="Verdana"/>
              <w:b/>
              <w:szCs w:val="24"/>
              <w:lang w:eastAsia="lt-LT"/>
            </w:rPr>
            <w:t>DĖL VALSTYBĖS TURTO PERĖMIMO SAVIVALDYBĖS NUOSAVYBĖN IR JO PERDAVIMO VALDYTI, NAUDOTI IR DISPONUOTI JUO PATIKĖJIMO TEISE MARIJAMPOLĖS PETRO KRIAUČIŪNO VIEŠAJAI BIBLIOTEKAI</w:t>
          </w:r>
        </w:p>
        <w:p>
          <w:pPr>
            <w:tabs>
              <w:tab w:val="left" w:pos="5557"/>
              <w:tab w:val="left" w:pos="6840"/>
              <w:tab w:val="left" w:pos="7020"/>
            </w:tabs>
            <w:jc w:val="center"/>
            <w:rPr>
              <w:rFonts w:ascii="Verdana" w:hAnsi="Verdana"/>
              <w:b/>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r>
            <w:rPr>
              <w:rFonts w:ascii="Verdana" w:hAnsi="Verdana"/>
              <w:szCs w:val="24"/>
              <w:lang w:eastAsia="lt-LT"/>
            </w:rPr>
            <w:t>Marijampolė</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rPr>
              <w:rFonts w:ascii="Verdana" w:hAnsi="Verdana"/>
              <w:szCs w:val="24"/>
              <w:lang w:eastAsia="lt-LT"/>
            </w:rPr>
          </w:pPr>
        </w:p>
        <w:p>
          <w:pPr>
            <w:tabs>
              <w:tab w:val="left" w:pos="5557"/>
              <w:tab w:val="left" w:pos="6840"/>
              <w:tab w:val="left" w:pos="7020"/>
            </w:tabs>
            <w:ind w:firstLine="720"/>
            <w:rPr>
              <w:rFonts w:ascii="Verdana" w:hAnsi="Verdana"/>
              <w:szCs w:val="24"/>
              <w:lang w:eastAsia="lt-LT"/>
            </w:rPr>
            <w:sectPr>
              <w:headerReference w:type="even" r:id="rId6"/>
              <w:headerReference w:type="default" r:id="rId7"/>
              <w:footerReference w:type="even" r:id="rId8"/>
              <w:footerReference w:type="default" r:id="rId9"/>
              <w:headerReference w:type="first" r:id="rId10"/>
              <w:footerReference w:type="first" r:id="rId11"/>
              <w:type w:val="continuous"/>
              <w:pgSz w:w="11906" w:h="16838" w:code="9"/>
              <w:pgMar w:top="1134" w:right="567" w:bottom="1134" w:left="1701" w:header="567" w:footer="567" w:gutter="0"/>
              <w:pgNumType w:start="1"/>
              <w:cols w:space="1296"/>
              <w:titlePg/>
              <w:docGrid w:linePitch="360"/>
            </w:sectPr>
          </w:pPr>
        </w:p>
        <w:p>
          <w:pPr>
            <w:tabs>
              <w:tab w:val="center" w:pos="4819"/>
              <w:tab w:val="right" w:pos="9638"/>
            </w:tabs>
            <w:rPr>
              <w:szCs w:val="24"/>
              <w:lang w:eastAsia="lt-LT"/>
            </w:rPr>
          </w:pPr>
        </w:p>
        <w:sdt>
          <w:sdtPr>
            <w:alias w:val="preambule"/>
            <w:tag w:val="part_26f671859a3641e59e0f3aa31e32ade6"/>
            <w:lock w:val="sdtLocked"/>
            <w:richText/>
          </w:sdtPr>
          <w:sdtContent>
            <w:p>
              <w:pPr>
                <w:ind w:firstLine="720"/>
                <w:jc w:val="both"/>
                <w:rPr>
                  <w:rFonts w:ascii="Verdana" w:hAnsi="Verdana"/>
                  <w:szCs w:val="24"/>
                  <w:lang w:eastAsia="lt-LT"/>
                </w:rPr>
              </w:pPr>
              <w:r>
                <w:rPr>
                  <w:rFonts w:ascii="Verdana" w:hAnsi="Verdana"/>
                  <w:szCs w:val="24"/>
                  <w:lang w:eastAsia="lt-LT"/>
                </w:rPr>
                <w:t xml:space="preserve">Vadovaudamasi Lietuvos Respublikos vietos savivaldos </w:t>
              </w:r>
              <w:r>
                <w:rPr>
                  <w:rFonts w:ascii="Verdana" w:hAnsi="Verdana"/>
                  <w:szCs w:val="24"/>
                  <w:lang w:eastAsia="lt-LT"/>
                </w:rPr>
                <w:t>įstatymo</w:t>
              </w:r>
              <w:r>
                <w:rPr>
                  <w:rFonts w:ascii="Verdana" w:hAnsi="Verdana"/>
                  <w:szCs w:val="24"/>
                  <w:lang w:eastAsia="lt-LT"/>
                </w:rPr>
                <w:t xml:space="preserve"> 6 straipsnio 13 ir 24 punktais, 15 straipsnio 2 dalies 19 punktu, Lietuvos Respublikos valstybės ir savivaldybių turto valdymo, naudojimo ir disponavimo juo </w:t>
              </w:r>
              <w:hyperlink r:id="rId13" w:history="1">
                <w:r>
                  <w:rPr>
                    <w:rFonts w:ascii="Verdana" w:hAnsi="Verdana"/>
                    <w:szCs w:val="24"/>
                    <w:lang w:eastAsia="lt-LT"/>
                  </w:rPr>
                  <w:t>įstatymo</w:t>
                </w:r>
              </w:hyperlink>
              <w:r>
                <w:rPr>
                  <w:rFonts w:ascii="Verdana" w:hAnsi="Verdana"/>
                  <w:szCs w:val="24"/>
                  <w:lang w:eastAsia="lt-LT"/>
                </w:rPr>
                <w:t xml:space="preserve"> 6 straipsnio 2 punktu, 8 straipsnio 1 dalies 2 punktu, 10 straipsnio 2 punktu, 12 straipsnio 2 dalimi, 20 straipsnio 1 dalies 4 punktu, Marijampolės savivaldybės turto perdavimo patikėjimo teise valdyti, naudoti ir disponuoti juo tvarkos aprašu, patvirtintu Marijampolės savivaldybės tarybos 2019 m. gruodžio 20 d. sprendimu Nr. </w:t>
              </w:r>
              <w:r>
                <w:rPr>
                  <w:rFonts w:ascii="Verdana" w:hAnsi="Verdana"/>
                  <w:szCs w:val="24"/>
                  <w:lang w:eastAsia="lt-LT"/>
                </w:rPr>
                <w:t>1-359</w:t>
              </w:r>
              <w:r>
                <w:rPr>
                  <w:rFonts w:ascii="Verdana" w:hAnsi="Verdana"/>
                  <w:szCs w:val="24"/>
                  <w:lang w:eastAsia="lt-LT"/>
                </w:rPr>
                <w:t xml:space="preserve"> „Dėl Marijampolės savivaldybės turto perdavimo patikėjimo teise valdyti, naudoti ir disponuoti juo tvarkos aprašo patvirtinimo“, ir atsižvelgdama į Lietuvos nacionalinės Martyno Mažvydo bibliotekos 2025 m. sausio 28 d. raštą Nr. SD-25-81 „Dėl sutikimo perimti valstybės turtą“ bei 2025 m. vasario 25 d. aiškinamąjį raštą Nr. SD-25-174 „Aiškinamasis raštas dėl sutikimo perimti valstybės turtą“, Marijampolės savivaldybės taryba </w:t>
              </w:r>
              <w:r>
                <w:rPr>
                  <w:rFonts w:ascii="Verdana" w:hAnsi="Verdana"/>
                  <w:spacing w:val="40"/>
                  <w:szCs w:val="24"/>
                  <w:lang w:eastAsia="lt-LT"/>
                </w:rPr>
                <w:t>nusprendžia</w:t>
              </w:r>
              <w:r>
                <w:rPr>
                  <w:rFonts w:ascii="Verdana" w:hAnsi="Verdana"/>
                  <w:szCs w:val="24"/>
                  <w:lang w:eastAsia="lt-LT"/>
                </w:rPr>
                <w:t>:</w:t>
              </w:r>
            </w:p>
          </w:sdtContent>
        </w:sdt>
        <w:sdt>
          <w:sdtPr>
            <w:alias w:val="1 p."/>
            <w:tag w:val="part_6c28678e5d8b4d8b8936e01f93aab468"/>
            <w:lock w:val="sdtLocked"/>
            <w:richText/>
          </w:sdtPr>
          <w:sdtContent>
            <w:p>
              <w:pPr>
                <w:tabs>
                  <w:tab w:val="left" w:pos="1276"/>
                </w:tabs>
                <w:ind w:firstLine="709"/>
                <w:jc w:val="both"/>
                <w:rPr>
                  <w:rFonts w:ascii="Verdana" w:hAnsi="Verdana"/>
                  <w:szCs w:val="24"/>
                  <w:lang w:eastAsia="lt-LT"/>
                </w:rPr>
              </w:pPr>
              <w:sdt>
                <w:sdtPr>
                  <w:alias w:val="Numeris"/>
                  <w:tag w:val="nr_6c28678e5d8b4d8b8936e01f93aab468"/>
                  <w:lock w:val="sdtLocked"/>
                  <w:richText/>
                </w:sdtPr>
                <w:sdtContent>
                  <w:r>
                    <w:rPr>
                      <w:rFonts w:ascii="Verdana" w:hAnsi="Verdana"/>
                      <w:szCs w:val="24"/>
                      <w:lang w:eastAsia="lt-LT"/>
                    </w:rPr>
                    <w:t>1</w:t>
                  </w:r>
                </w:sdtContent>
              </w:sdt>
              <w:r>
                <w:rPr>
                  <w:rFonts w:ascii="Verdana" w:hAnsi="Verdana"/>
                  <w:szCs w:val="24"/>
                  <w:lang w:eastAsia="lt-LT"/>
                </w:rPr>
                <w:t xml:space="preserve">. Sutikti perimti savivaldybės nuosavybėn savarankiškosioms savivaldybių funkcijoms įgyvendinti valstybei nuosavybės teise priklausantį ir šiuo metu Lietuvos nacionalinės Martyno Mažvydo bibliotekos patikėjimo teise valdomą trumpalaikį ir ilgalaikį materialųjį turtą, kurio bendra vertė – 2319,57 Eur (du tūkstančiai trys šimtai devyniolika eurai 57 ct): </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7"/>
                <w:gridCol w:w="2183"/>
                <w:gridCol w:w="1658"/>
                <w:gridCol w:w="925"/>
                <w:gridCol w:w="1258"/>
                <w:gridCol w:w="1379"/>
                <w:gridCol w:w="1644"/>
              </w:tblGrid>
              <w:tr>
                <w:tc>
                  <w:tcPr>
                    <w:tcW w:w="560" w:type="dxa"/>
                  </w:tcPr>
                  <w:p>
                    <w:pPr>
                      <w:rPr>
                        <w:rFonts w:ascii="Verdana" w:hAnsi="Verdana"/>
                        <w:szCs w:val="24"/>
                        <w:lang w:eastAsia="lt-LT"/>
                      </w:rPr>
                    </w:pPr>
                    <w:r>
                      <w:rPr>
                        <w:rFonts w:ascii="Verdana" w:hAnsi="Verdana"/>
                        <w:szCs w:val="24"/>
                        <w:lang w:eastAsia="lt-LT"/>
                      </w:rPr>
                      <w:t>Eil. Nr.</w:t>
                    </w:r>
                  </w:p>
                </w:tc>
                <w:tc>
                  <w:tcPr>
                    <w:tcW w:w="2264" w:type="dxa"/>
                  </w:tcPr>
                  <w:p>
                    <w:pPr>
                      <w:rPr>
                        <w:rFonts w:ascii="Verdana" w:hAnsi="Verdana"/>
                        <w:szCs w:val="24"/>
                        <w:lang w:eastAsia="lt-LT"/>
                      </w:rPr>
                    </w:pPr>
                    <w:r>
                      <w:rPr>
                        <w:rFonts w:ascii="Verdana" w:hAnsi="Verdana"/>
                        <w:szCs w:val="24"/>
                        <w:lang w:eastAsia="lt-LT"/>
                      </w:rPr>
                      <w:t>Perduodamo turto pavadinimas</w:t>
                    </w:r>
                  </w:p>
                </w:tc>
                <w:tc>
                  <w:tcPr>
                    <w:tcW w:w="1560" w:type="dxa"/>
                  </w:tcPr>
                  <w:p>
                    <w:pPr>
                      <w:rPr>
                        <w:rFonts w:ascii="Verdana" w:hAnsi="Verdana"/>
                        <w:szCs w:val="24"/>
                        <w:lang w:eastAsia="lt-LT"/>
                      </w:rPr>
                    </w:pPr>
                    <w:r>
                      <w:rPr>
                        <w:rFonts w:ascii="Verdana" w:hAnsi="Verdana"/>
                        <w:szCs w:val="24"/>
                        <w:lang w:eastAsia="lt-LT"/>
                      </w:rPr>
                      <w:t>Inventorinis numeris</w:t>
                    </w:r>
                  </w:p>
                </w:tc>
                <w:tc>
                  <w:tcPr>
                    <w:tcW w:w="866" w:type="dxa"/>
                  </w:tcPr>
                  <w:p>
                    <w:pPr>
                      <w:rPr>
                        <w:rFonts w:ascii="Verdana" w:hAnsi="Verdana"/>
                        <w:szCs w:val="24"/>
                        <w:lang w:eastAsia="lt-LT"/>
                      </w:rPr>
                    </w:pPr>
                    <w:r>
                      <w:rPr>
                        <w:rFonts w:ascii="Verdana" w:hAnsi="Verdana"/>
                        <w:szCs w:val="24"/>
                        <w:lang w:eastAsia="lt-LT"/>
                      </w:rPr>
                      <w:t>Kiekis vnt.</w:t>
                    </w:r>
                  </w:p>
                </w:tc>
                <w:tc>
                  <w:tcPr>
                    <w:tcW w:w="1266" w:type="dxa"/>
                  </w:tcPr>
                  <w:p>
                    <w:pPr>
                      <w:rPr>
                        <w:rFonts w:ascii="Verdana" w:hAnsi="Verdana"/>
                        <w:szCs w:val="24"/>
                        <w:lang w:eastAsia="lt-LT"/>
                      </w:rPr>
                    </w:pPr>
                    <w:r>
                      <w:rPr>
                        <w:rFonts w:ascii="Verdana" w:hAnsi="Verdana"/>
                        <w:szCs w:val="24"/>
                        <w:lang w:eastAsia="lt-LT"/>
                      </w:rPr>
                      <w:t>Vieneto įsigijimo vertė (eurais)</w:t>
                    </w:r>
                  </w:p>
                </w:tc>
                <w:tc>
                  <w:tcPr>
                    <w:tcW w:w="1417" w:type="dxa"/>
                  </w:tcPr>
                  <w:p>
                    <w:pPr>
                      <w:rPr>
                        <w:rFonts w:ascii="Verdana" w:hAnsi="Verdana"/>
                        <w:szCs w:val="24"/>
                        <w:lang w:eastAsia="lt-LT"/>
                      </w:rPr>
                    </w:pPr>
                    <w:r>
                      <w:rPr>
                        <w:rFonts w:ascii="Verdana" w:hAnsi="Verdana"/>
                        <w:szCs w:val="24"/>
                        <w:lang w:eastAsia="lt-LT"/>
                      </w:rPr>
                      <w:t>Vieneto likutinė vertė (eurais)</w:t>
                    </w:r>
                  </w:p>
                </w:tc>
                <w:tc>
                  <w:tcPr>
                    <w:tcW w:w="1701" w:type="dxa"/>
                  </w:tcPr>
                  <w:p>
                    <w:pPr>
                      <w:rPr>
                        <w:rFonts w:ascii="Verdana" w:hAnsi="Verdana"/>
                        <w:szCs w:val="24"/>
                        <w:lang w:eastAsia="lt-LT"/>
                      </w:rPr>
                    </w:pPr>
                    <w:r>
                      <w:rPr>
                        <w:rFonts w:ascii="Verdana" w:hAnsi="Verdana"/>
                        <w:szCs w:val="24"/>
                        <w:lang w:eastAsia="lt-LT"/>
                      </w:rPr>
                      <w:t>Bendra likutinė vertė 2025-01-22 (eurais)</w:t>
                    </w:r>
                  </w:p>
                </w:tc>
              </w:tr>
              <w:tr>
                <w:tc>
                  <w:tcPr>
                    <w:tcW w:w="560" w:type="dxa"/>
                  </w:tcPr>
                  <w:p>
                    <w:pPr>
                      <w:rPr>
                        <w:rFonts w:ascii="Verdana" w:hAnsi="Verdana"/>
                        <w:szCs w:val="24"/>
                        <w:lang w:eastAsia="lt-LT"/>
                      </w:rPr>
                    </w:pPr>
                    <w:r>
                      <w:rPr>
                        <w:rFonts w:ascii="Verdana" w:hAnsi="Verdana"/>
                        <w:szCs w:val="24"/>
                        <w:lang w:eastAsia="lt-LT"/>
                      </w:rPr>
                      <w:t>1.</w:t>
                    </w:r>
                  </w:p>
                </w:tc>
                <w:tc>
                  <w:tcPr>
                    <w:tcW w:w="2264" w:type="dxa"/>
                  </w:tcPr>
                  <w:p>
                    <w:pPr>
                      <w:jc w:val="center"/>
                      <w:rPr>
                        <w:rFonts w:ascii="Verdana" w:hAnsi="Verdana"/>
                        <w:szCs w:val="24"/>
                        <w:lang w:eastAsia="lt-LT"/>
                      </w:rPr>
                    </w:pPr>
                    <w:r>
                      <w:rPr>
                        <w:rFonts w:ascii="Verdana" w:hAnsi="Verdana"/>
                        <w:szCs w:val="24"/>
                        <w:lang w:eastAsia="lt-LT"/>
                      </w:rPr>
                      <w:t>Stacionarus kompiuteris DELL OptiPlex All-in-One 7420 23" (ALL-IN-ONE)</w:t>
                    </w:r>
                  </w:p>
                </w:tc>
                <w:tc>
                  <w:tcPr>
                    <w:tcW w:w="1560" w:type="dxa"/>
                  </w:tcPr>
                  <w:p>
                    <w:pPr>
                      <w:jc w:val="center"/>
                      <w:rPr>
                        <w:rFonts w:ascii="Verdana" w:hAnsi="Verdana"/>
                        <w:szCs w:val="24"/>
                        <w:lang w:eastAsia="lt-LT"/>
                      </w:rPr>
                    </w:pPr>
                  </w:p>
                </w:tc>
                <w:tc>
                  <w:tcPr>
                    <w:tcW w:w="866" w:type="dxa"/>
                  </w:tcPr>
                  <w:p>
                    <w:pPr>
                      <w:jc w:val="center"/>
                      <w:rPr>
                        <w:rFonts w:ascii="Verdana" w:hAnsi="Verdana"/>
                        <w:szCs w:val="24"/>
                        <w:lang w:eastAsia="lt-LT"/>
                      </w:rPr>
                    </w:pPr>
                    <w:r>
                      <w:rPr>
                        <w:rFonts w:ascii="Verdana" w:hAnsi="Verdana"/>
                        <w:szCs w:val="24"/>
                        <w:lang w:eastAsia="lt-LT"/>
                      </w:rPr>
                      <w:t>2</w:t>
                    </w:r>
                  </w:p>
                </w:tc>
                <w:tc>
                  <w:tcPr>
                    <w:tcW w:w="1266" w:type="dxa"/>
                  </w:tcPr>
                  <w:p>
                    <w:pPr>
                      <w:jc w:val="center"/>
                      <w:rPr>
                        <w:rFonts w:ascii="Verdana" w:hAnsi="Verdana"/>
                        <w:szCs w:val="24"/>
                        <w:lang w:eastAsia="lt-LT"/>
                      </w:rPr>
                    </w:pPr>
                    <w:r>
                      <w:rPr>
                        <w:rFonts w:ascii="Verdana" w:hAnsi="Verdana"/>
                        <w:szCs w:val="24"/>
                        <w:lang w:eastAsia="lt-LT"/>
                      </w:rPr>
                      <w:t>745,36</w:t>
                    </w:r>
                  </w:p>
                </w:tc>
                <w:tc>
                  <w:tcPr>
                    <w:tcW w:w="1417" w:type="dxa"/>
                  </w:tcPr>
                  <w:p>
                    <w:pPr>
                      <w:jc w:val="center"/>
                      <w:rPr>
                        <w:rFonts w:ascii="Verdana" w:hAnsi="Verdana"/>
                        <w:szCs w:val="24"/>
                        <w:lang w:eastAsia="lt-LT"/>
                      </w:rPr>
                    </w:pPr>
                    <w:r>
                      <w:rPr>
                        <w:rFonts w:ascii="Verdana" w:hAnsi="Verdana"/>
                        <w:szCs w:val="24"/>
                        <w:lang w:eastAsia="lt-LT"/>
                      </w:rPr>
                      <w:t>745,36</w:t>
                    </w:r>
                  </w:p>
                </w:tc>
                <w:tc>
                  <w:tcPr>
                    <w:tcW w:w="1701" w:type="dxa"/>
                  </w:tcPr>
                  <w:p>
                    <w:pPr>
                      <w:jc w:val="center"/>
                      <w:rPr>
                        <w:rFonts w:ascii="Verdana" w:hAnsi="Verdana"/>
                        <w:szCs w:val="24"/>
                        <w:lang w:eastAsia="lt-LT"/>
                      </w:rPr>
                    </w:pPr>
                    <w:r>
                      <w:rPr>
                        <w:rFonts w:ascii="Verdana" w:hAnsi="Verdana"/>
                        <w:szCs w:val="24"/>
                        <w:lang w:eastAsia="lt-LT"/>
                      </w:rPr>
                      <w:t>1490,72</w:t>
                    </w:r>
                  </w:p>
                </w:tc>
              </w:tr>
              <w:tr>
                <w:tc>
                  <w:tcPr>
                    <w:tcW w:w="560" w:type="dxa"/>
                  </w:tcPr>
                  <w:p>
                    <w:pPr>
                      <w:rPr>
                        <w:rFonts w:ascii="Verdana" w:hAnsi="Verdana"/>
                        <w:szCs w:val="24"/>
                        <w:lang w:eastAsia="lt-LT"/>
                      </w:rPr>
                    </w:pPr>
                    <w:r>
                      <w:rPr>
                        <w:rFonts w:ascii="Verdana" w:hAnsi="Verdana"/>
                        <w:szCs w:val="24"/>
                        <w:lang w:eastAsia="lt-LT"/>
                      </w:rPr>
                      <w:t>2.</w:t>
                    </w:r>
                  </w:p>
                </w:tc>
                <w:tc>
                  <w:tcPr>
                    <w:tcW w:w="2264" w:type="dxa"/>
                  </w:tcPr>
                  <w:p>
                    <w:pPr>
                      <w:jc w:val="center"/>
                      <w:rPr>
                        <w:rFonts w:ascii="Verdana" w:hAnsi="Verdana"/>
                        <w:szCs w:val="24"/>
                        <w:lang w:eastAsia="lt-LT"/>
                      </w:rPr>
                    </w:pPr>
                    <w:r>
                      <w:rPr>
                        <w:rFonts w:ascii="Verdana" w:hAnsi="Verdana"/>
                        <w:szCs w:val="24"/>
                        <w:lang w:eastAsia="lt-LT"/>
                      </w:rPr>
                      <w:t>Nešiojamas kompiuteris HP ProBook 445 G11</w:t>
                    </w:r>
                  </w:p>
                </w:tc>
                <w:tc>
                  <w:tcPr>
                    <w:tcW w:w="1560" w:type="dxa"/>
                  </w:tcPr>
                  <w:p>
                    <w:pPr>
                      <w:jc w:val="center"/>
                      <w:rPr>
                        <w:rFonts w:ascii="Verdana" w:hAnsi="Verdana"/>
                        <w:szCs w:val="24"/>
                        <w:lang w:eastAsia="lt-LT"/>
                      </w:rPr>
                    </w:pPr>
                    <w:r>
                      <w:rPr>
                        <w:rFonts w:ascii="Verdana" w:hAnsi="Verdana"/>
                        <w:szCs w:val="24"/>
                        <w:lang w:eastAsia="lt-LT"/>
                      </w:rPr>
                      <w:t>IT-004509</w:t>
                    </w:r>
                  </w:p>
                </w:tc>
                <w:tc>
                  <w:tcPr>
                    <w:tcW w:w="866" w:type="dxa"/>
                  </w:tcPr>
                  <w:p>
                    <w:pPr>
                      <w:jc w:val="center"/>
                      <w:rPr>
                        <w:rFonts w:ascii="Verdana" w:hAnsi="Verdana"/>
                        <w:szCs w:val="24"/>
                        <w:lang w:eastAsia="lt-LT"/>
                      </w:rPr>
                    </w:pPr>
                    <w:r>
                      <w:rPr>
                        <w:rFonts w:ascii="Verdana" w:hAnsi="Verdana"/>
                        <w:szCs w:val="24"/>
                        <w:lang w:eastAsia="lt-LT"/>
                      </w:rPr>
                      <w:t>1</w:t>
                    </w:r>
                  </w:p>
                </w:tc>
                <w:tc>
                  <w:tcPr>
                    <w:tcW w:w="1266" w:type="dxa"/>
                  </w:tcPr>
                  <w:p>
                    <w:pPr>
                      <w:jc w:val="center"/>
                      <w:rPr>
                        <w:rFonts w:ascii="Verdana" w:hAnsi="Verdana"/>
                        <w:szCs w:val="24"/>
                        <w:lang w:eastAsia="lt-LT"/>
                      </w:rPr>
                    </w:pPr>
                    <w:r>
                      <w:rPr>
                        <w:rFonts w:ascii="Verdana" w:hAnsi="Verdana"/>
                        <w:szCs w:val="24"/>
                        <w:lang w:eastAsia="lt-LT"/>
                      </w:rPr>
                      <w:t>828,85</w:t>
                    </w:r>
                  </w:p>
                </w:tc>
                <w:tc>
                  <w:tcPr>
                    <w:tcW w:w="1417" w:type="dxa"/>
                  </w:tcPr>
                  <w:p>
                    <w:pPr>
                      <w:jc w:val="center"/>
                      <w:rPr>
                        <w:rFonts w:ascii="Verdana" w:hAnsi="Verdana"/>
                        <w:szCs w:val="24"/>
                        <w:lang w:eastAsia="lt-LT"/>
                      </w:rPr>
                    </w:pPr>
                    <w:r>
                      <w:rPr>
                        <w:rFonts w:ascii="Verdana" w:hAnsi="Verdana"/>
                        <w:szCs w:val="24"/>
                        <w:lang w:eastAsia="lt-LT"/>
                      </w:rPr>
                      <w:t>828,85</w:t>
                    </w:r>
                  </w:p>
                </w:tc>
                <w:tc>
                  <w:tcPr>
                    <w:tcW w:w="1701" w:type="dxa"/>
                  </w:tcPr>
                  <w:p>
                    <w:pPr>
                      <w:jc w:val="center"/>
                      <w:rPr>
                        <w:rFonts w:ascii="Verdana" w:hAnsi="Verdana"/>
                        <w:szCs w:val="24"/>
                        <w:lang w:eastAsia="lt-LT"/>
                      </w:rPr>
                    </w:pPr>
                    <w:r>
                      <w:rPr>
                        <w:rFonts w:ascii="Verdana" w:hAnsi="Verdana"/>
                        <w:szCs w:val="24"/>
                        <w:lang w:eastAsia="lt-LT"/>
                      </w:rPr>
                      <w:t>828,85</w:t>
                    </w:r>
                  </w:p>
                </w:tc>
              </w:tr>
              <w:tr>
                <w:tc>
                  <w:tcPr>
                    <w:tcW w:w="560" w:type="dxa"/>
                  </w:tcPr>
                  <w:p>
                    <w:pPr>
                      <w:rPr>
                        <w:rFonts w:ascii="Verdana" w:hAnsi="Verdana"/>
                        <w:szCs w:val="24"/>
                        <w:lang w:eastAsia="lt-LT"/>
                      </w:rPr>
                    </w:pPr>
                  </w:p>
                </w:tc>
                <w:tc>
                  <w:tcPr>
                    <w:tcW w:w="3824" w:type="dxa"/>
                    <w:gridSpan w:val="2"/>
                  </w:tcPr>
                  <w:p>
                    <w:pPr>
                      <w:jc w:val="center"/>
                      <w:rPr>
                        <w:rFonts w:ascii="Verdana" w:hAnsi="Verdana"/>
                        <w:b/>
                        <w:bCs/>
                        <w:szCs w:val="24"/>
                        <w:lang w:eastAsia="lt-LT"/>
                      </w:rPr>
                    </w:pPr>
                    <w:r>
                      <w:rPr>
                        <w:rFonts w:ascii="Verdana" w:hAnsi="Verdana"/>
                        <w:b/>
                        <w:bCs/>
                        <w:szCs w:val="24"/>
                        <w:lang w:eastAsia="lt-LT"/>
                      </w:rPr>
                      <w:t>Iš viso</w:t>
                    </w:r>
                  </w:p>
                </w:tc>
                <w:tc>
                  <w:tcPr>
                    <w:tcW w:w="866" w:type="dxa"/>
                  </w:tcPr>
                  <w:p>
                    <w:pPr>
                      <w:jc w:val="center"/>
                      <w:rPr>
                        <w:rFonts w:ascii="Verdana" w:hAnsi="Verdana"/>
                        <w:b/>
                        <w:bCs/>
                        <w:szCs w:val="24"/>
                        <w:lang w:eastAsia="lt-LT"/>
                      </w:rPr>
                    </w:pPr>
                    <w:r>
                      <w:rPr>
                        <w:rFonts w:ascii="Verdana" w:hAnsi="Verdana"/>
                        <w:b/>
                        <w:bCs/>
                        <w:szCs w:val="24"/>
                        <w:lang w:eastAsia="lt-LT"/>
                      </w:rPr>
                      <w:t>3</w:t>
                    </w:r>
                  </w:p>
                </w:tc>
                <w:tc>
                  <w:tcPr>
                    <w:tcW w:w="1266" w:type="dxa"/>
                  </w:tcPr>
                  <w:p>
                    <w:pPr>
                      <w:jc w:val="center"/>
                      <w:rPr>
                        <w:rFonts w:ascii="Verdana" w:hAnsi="Verdana"/>
                        <w:szCs w:val="24"/>
                        <w:lang w:eastAsia="lt-LT"/>
                      </w:rPr>
                    </w:pPr>
                    <w:r>
                      <w:rPr>
                        <w:rFonts w:ascii="Verdana" w:hAnsi="Verdana"/>
                        <w:b/>
                        <w:bCs/>
                        <w:szCs w:val="24"/>
                        <w:lang w:eastAsia="lt-LT"/>
                      </w:rPr>
                      <w:t>x</w:t>
                    </w:r>
                  </w:p>
                </w:tc>
                <w:tc>
                  <w:tcPr>
                    <w:tcW w:w="1417" w:type="dxa"/>
                  </w:tcPr>
                  <w:p>
                    <w:pPr>
                      <w:jc w:val="center"/>
                      <w:rPr>
                        <w:rFonts w:ascii="Verdana" w:hAnsi="Verdana"/>
                        <w:szCs w:val="24"/>
                        <w:lang w:eastAsia="lt-LT"/>
                      </w:rPr>
                    </w:pPr>
                    <w:r>
                      <w:rPr>
                        <w:rFonts w:ascii="Verdana" w:hAnsi="Verdana"/>
                        <w:b/>
                        <w:bCs/>
                        <w:szCs w:val="24"/>
                        <w:lang w:eastAsia="lt-LT"/>
                      </w:rPr>
                      <w:t>x</w:t>
                    </w:r>
                  </w:p>
                </w:tc>
                <w:tc>
                  <w:tcPr>
                    <w:tcW w:w="1701" w:type="dxa"/>
                  </w:tcPr>
                  <w:p>
                    <w:pPr>
                      <w:jc w:val="center"/>
                      <w:rPr>
                        <w:rFonts w:ascii="Verdana" w:hAnsi="Verdana"/>
                        <w:szCs w:val="24"/>
                        <w:lang w:eastAsia="lt-LT"/>
                      </w:rPr>
                    </w:pPr>
                    <w:r>
                      <w:rPr>
                        <w:rFonts w:ascii="Verdana" w:hAnsi="Verdana"/>
                        <w:b/>
                        <w:bCs/>
                        <w:szCs w:val="24"/>
                        <w:lang w:eastAsia="lt-LT"/>
                      </w:rPr>
                      <w:t>2319,57</w:t>
                    </w:r>
                  </w:p>
                </w:tc>
              </w:tr>
            </w:tbl>
            <w:p/>
          </w:sdtContent>
        </w:sdt>
        <w:sdt>
          <w:sdtPr>
            <w:alias w:val="2 p."/>
            <w:tag w:val="part_3c53ce3360a5463789660da0495007c2"/>
            <w:lock w:val="sdtLocked"/>
            <w:richText/>
          </w:sdtPr>
          <w:sdtContent>
            <w:p>
              <w:pPr>
                <w:ind w:firstLine="709"/>
                <w:jc w:val="both"/>
                <w:rPr>
                  <w:rFonts w:ascii="Verdana" w:hAnsi="Verdana"/>
                  <w:szCs w:val="24"/>
                  <w:lang w:eastAsia="lt-LT"/>
                </w:rPr>
              </w:pPr>
              <w:sdt>
                <w:sdtPr>
                  <w:alias w:val="Numeris"/>
                  <w:tag w:val="nr_3c53ce3360a5463789660da0495007c2"/>
                  <w:lock w:val="sdtLocked"/>
                  <w:richText/>
                </w:sdtPr>
                <w:sdtContent>
                  <w:r>
                    <w:rPr>
                      <w:rFonts w:ascii="Verdana" w:hAnsi="Verdana"/>
                      <w:szCs w:val="24"/>
                      <w:lang w:eastAsia="lt-LT"/>
                    </w:rPr>
                    <w:t>2</w:t>
                  </w:r>
                </w:sdtContent>
              </w:sdt>
              <w:r>
                <w:rPr>
                  <w:rFonts w:ascii="Verdana" w:hAnsi="Verdana"/>
                  <w:szCs w:val="24"/>
                  <w:lang w:eastAsia="lt-LT"/>
                </w:rPr>
                <w:t>. Perduoti sprendimo 1 punkte nurodytą turtą, jį perėmus savivaldybės nuosavybėn, Marijampolės Petro Kriaučiūno viešajai bibliotekai valdyti, naudoti ir disponuoti juo patikėjimo teise.</w:t>
              </w:r>
            </w:p>
          </w:sdtContent>
        </w:sdt>
        <w:sdt>
          <w:sdtPr>
            <w:alias w:val="3 p."/>
            <w:tag w:val="part_37d330d02741473db7070da0668c69e8"/>
            <w:lock w:val="sdtLocked"/>
            <w:richText/>
          </w:sdtPr>
          <w:sdtContent>
            <w:p>
              <w:pPr>
                <w:ind w:firstLine="709"/>
                <w:jc w:val="both"/>
                <w:rPr>
                  <w:rFonts w:ascii="Verdana" w:hAnsi="Verdana"/>
                  <w:szCs w:val="24"/>
                  <w:lang w:eastAsia="lt-LT"/>
                </w:rPr>
              </w:pPr>
              <w:sdt>
                <w:sdtPr>
                  <w:alias w:val="Numeris"/>
                  <w:tag w:val="nr_37d330d02741473db7070da0668c69e8"/>
                  <w:lock w:val="sdtLocked"/>
                  <w:richText/>
                </w:sdtPr>
                <w:sdtContent>
                  <w:r>
                    <w:rPr>
                      <w:rFonts w:ascii="Verdana" w:hAnsi="Verdana"/>
                      <w:szCs w:val="24"/>
                      <w:lang w:eastAsia="lt-LT"/>
                    </w:rPr>
                    <w:t>3</w:t>
                  </w:r>
                </w:sdtContent>
              </w:sdt>
              <w:r>
                <w:rPr>
                  <w:rFonts w:ascii="Verdana" w:hAnsi="Verdana"/>
                  <w:szCs w:val="24"/>
                  <w:lang w:eastAsia="lt-LT"/>
                </w:rPr>
                <w:t>. Savivaldybės nuosavybėn perduotas turtas bus naudojamas Marijampolės Petro Kriaučiūno viešosios bibliotekos veikloje plėtojant viešosios interneto prieigos paslaugų teikimą.</w:t>
              </w:r>
            </w:p>
          </w:sdtContent>
        </w:sdt>
        <w:sdt>
          <w:sdtPr>
            <w:alias w:val="4 p."/>
            <w:tag w:val="part_165f1be5d1904964af736a3cb3e34da1"/>
            <w:lock w:val="sdtLocked"/>
            <w:richText/>
          </w:sdtPr>
          <w:sdtContent>
            <w:p>
              <w:pPr>
                <w:ind w:firstLine="709"/>
                <w:jc w:val="both"/>
                <w:rPr>
                  <w:rFonts w:ascii="Verdana" w:hAnsi="Verdana"/>
                  <w:szCs w:val="24"/>
                  <w:lang w:eastAsia="lt-LT"/>
                </w:rPr>
              </w:pPr>
              <w:sdt>
                <w:sdtPr>
                  <w:alias w:val="Numeris"/>
                  <w:tag w:val="nr_165f1be5d1904964af736a3cb3e34da1"/>
                  <w:lock w:val="sdtLocked"/>
                  <w:richText/>
                </w:sdtPr>
                <w:sdtContent>
                  <w:r>
                    <w:rPr>
                      <w:rFonts w:ascii="Verdana" w:hAnsi="Verdana"/>
                      <w:szCs w:val="24"/>
                      <w:lang w:eastAsia="lt-LT"/>
                    </w:rPr>
                    <w:t>4</w:t>
                  </w:r>
                </w:sdtContent>
              </w:sdt>
              <w:r>
                <w:rPr>
                  <w:rFonts w:ascii="Verdana" w:hAnsi="Verdana"/>
                  <w:szCs w:val="24"/>
                  <w:lang w:eastAsia="lt-LT"/>
                </w:rPr>
                <w:t>. Įgalioti Marijampolės savivaldybės administracijos direktorių Savivaldybės vardu pasirašyti sprendimo 1 punkte nurodyto turto perdavimo-priėmimo aktą.</w:t>
              </w:r>
            </w:p>
          </w:sdtContent>
        </w:sdt>
        <w:sdt>
          <w:sdtPr>
            <w:alias w:val="5 p."/>
            <w:tag w:val="part_94a3cc906ced4a5abf090ccd90470d10"/>
            <w:lock w:val="sdtLocked"/>
            <w:richText/>
          </w:sdtPr>
          <w:sdtContent>
            <w:p>
              <w:pPr>
                <w:ind w:firstLine="709"/>
                <w:jc w:val="both"/>
                <w:rPr>
                  <w:rFonts w:ascii="Verdana" w:hAnsi="Verdana"/>
                  <w:szCs w:val="24"/>
                  <w:lang w:eastAsia="lt-LT"/>
                </w:rPr>
              </w:pPr>
              <w:sdt>
                <w:sdtPr>
                  <w:alias w:val="Numeris"/>
                  <w:tag w:val="nr_94a3cc906ced4a5abf090ccd90470d10"/>
                  <w:lock w:val="sdtLocked"/>
                  <w:richText/>
                </w:sdtPr>
                <w:sdtContent>
                  <w:r>
                    <w:rPr>
                      <w:rFonts w:ascii="Verdana" w:hAnsi="Verdana"/>
                      <w:szCs w:val="24"/>
                      <w:lang w:eastAsia="lt-LT"/>
                    </w:rPr>
                    <w:t>5</w:t>
                  </w:r>
                </w:sdtContent>
              </w:sdt>
              <w:r>
                <w:rPr>
                  <w:rFonts w:ascii="Verdana" w:hAnsi="Verdana"/>
                  <w:szCs w:val="24"/>
                  <w:lang w:eastAsia="lt-LT"/>
                </w:rPr>
                <w:t>. Nurodyti, kad šis sprendimas per vieną mėnesį nuo paskelbimo (įteikimo) dienos</w:t>
              </w:r>
              <w:r>
                <w:rPr>
                  <w:rFonts w:ascii="Verdana" w:hAnsi="Verdana"/>
                  <w:color w:val="212529"/>
                  <w:szCs w:val="24"/>
                  <w:shd w:val="clear" w:color="auto" w:fill="FFFFFF"/>
                  <w:lang w:eastAsia="lt-LT"/>
                </w:rPr>
                <w:t xml:space="preserve">, jeigu įstatymai nenustato kitaip, </w:t>
              </w:r>
              <w:r>
                <w:rPr>
                  <w:rFonts w:ascii="Verdana" w:hAnsi="Verdana"/>
                  <w:szCs w:val="24"/>
                  <w:lang w:eastAsia="lt-LT"/>
                </w:rPr>
                <w:t xml:space="preserve">gali būti skundžiamas Lietuvos administracinių ginčų komisijos Kauno apygardos skyriui (adresu: </w:t>
              </w:r>
              <w:r>
                <w:rPr>
                  <w:rFonts w:ascii="Verdana" w:hAnsi="Verdana" w:cs="Arial"/>
                  <w:szCs w:val="24"/>
                  <w:shd w:val="clear" w:color="auto" w:fill="FFFFFF"/>
                  <w:lang w:eastAsia="lt-LT"/>
                </w:rPr>
                <w:t>L. Sapiegos g. 10, 44251 Kaunas)</w:t>
              </w:r>
              <w:r>
                <w:rPr>
                  <w:rFonts w:ascii="Verdana" w:hAnsi="Verdana"/>
                  <w:szCs w:val="24"/>
                  <w:lang w:eastAsia="lt-LT"/>
                </w:rPr>
                <w:t xml:space="preserve"> Lietuvos Respublikos ikiteisminio administracinių ginčų nagrinėjimo tvarkos įstatymo nustatyta tvarka arba </w:t>
              </w:r>
              <w:r>
                <w:rPr>
                  <w:rFonts w:ascii="Verdana" w:hAnsi="Verdana"/>
                  <w:szCs w:val="24"/>
                  <w:shd w:val="clear" w:color="auto" w:fill="FFFFFF"/>
                  <w:lang w:eastAsia="lt-LT"/>
                </w:rPr>
                <w:t xml:space="preserve">tiesiogiai </w:t>
              </w:r>
              <w:r>
                <w:rPr>
                  <w:rFonts w:ascii="Verdana" w:hAnsi="Verdana"/>
                  <w:color w:val="242424"/>
                  <w:szCs w:val="24"/>
                  <w:shd w:val="clear" w:color="auto" w:fill="FFFFFF"/>
                  <w:lang w:eastAsia="lt-LT"/>
                </w:rPr>
                <w:t xml:space="preserve">Regionų administraciniam teismui bet kuriuose teismo rūmuose (Vilniaus rūmai, Žygimantų g. 2, Vilnius; Kauno rūmai, A. Mickevičiaus g. 8A, Kaunas; Klaipėdos rūmai, Galinio Pylimo g. 9, Klaipėda; Šiaulių rūmai, Dvaro g. 80, Šiauliai; Panevėžio rūmai, Respublikos g. 62, Panevėžys), arba per Lietuvos teismų elektroninių paslaugų portalą </w:t>
              </w:r>
              <w:r>
                <w:rPr>
                  <w:rFonts w:ascii="Verdana" w:hAnsi="Verdana"/>
                  <w:color w:val="242424"/>
                  <w:szCs w:val="24"/>
                  <w:lang w:eastAsia="lt-LT"/>
                </w:rPr>
                <w:t>https://e.teismas.lt</w:t>
              </w:r>
              <w:r>
                <w:rPr>
                  <w:rFonts w:ascii="Verdana" w:hAnsi="Verdana"/>
                  <w:color w:val="242424"/>
                  <w:szCs w:val="24"/>
                  <w:shd w:val="clear" w:color="auto" w:fill="FFFFFF"/>
                  <w:lang w:eastAsia="lt-LT"/>
                </w:rPr>
                <w:t>) Lietuvos Respublikos administracinių bylų teisenos įstatymu nustatyta tvarka.</w:t>
              </w:r>
            </w:p>
            <w:p>
              <w:pPr>
                <w:jc w:val="both"/>
                <w:rPr>
                  <w:rFonts w:ascii="Verdana" w:hAnsi="Verdana"/>
                  <w:szCs w:val="24"/>
                  <w:lang w:eastAsia="lt-LT"/>
                </w:rPr>
              </w:pPr>
            </w:p>
            <w:p>
              <w:pPr>
                <w:ind w:firstLine="720"/>
                <w:jc w:val="both"/>
                <w:rPr>
                  <w:rFonts w:ascii="Verdana" w:hAnsi="Verdana"/>
                  <w:szCs w:val="24"/>
                  <w:lang w:eastAsia="lt-LT"/>
                </w:rPr>
              </w:pPr>
            </w:p>
            <w:p>
              <w:pPr>
                <w:rPr>
                  <w:rFonts w:ascii="Verdana" w:hAnsi="Verdana"/>
                  <w:szCs w:val="24"/>
                  <w:lang w:eastAsia="lt-LT"/>
                </w:rPr>
                <w:sectPr>
                  <w:type w:val="continuous"/>
                  <w:pgSz w:w="11906" w:h="16838" w:code="9"/>
                  <w:pgMar w:top="1134" w:right="567" w:bottom="1134" w:left="1701" w:header="567" w:footer="567" w:gutter="0"/>
                  <w:pgNumType w:start="1"/>
                  <w:cols w:space="1296"/>
                  <w:formProt w:val="0"/>
                  <w:titlePg/>
                  <w:docGrid w:linePitch="360"/>
                </w:sectPr>
              </w:pPr>
            </w:p>
            <w:p>
              <w:pPr>
                <w:tabs>
                  <w:tab w:val="center" w:pos="4819"/>
                  <w:tab w:val="right" w:pos="9638"/>
                </w:tabs>
                <w:ind w:right="1134"/>
                <w:jc w:val="right"/>
                <w:rPr>
                  <w:rFonts w:ascii="Verdana" w:hAnsi="Verdana"/>
                  <w:sz w:val="20"/>
                  <w:lang w:eastAsia="lt-LT"/>
                </w:rPr>
              </w:pPr>
            </w:p>
            <w:p>
              <w:pPr>
                <w:rPr>
                  <w:rFonts w:ascii="Verdana" w:hAnsi="Verdana"/>
                  <w:szCs w:val="24"/>
                  <w:lang w:eastAsia="lt-LT"/>
                </w:rPr>
              </w:pPr>
            </w:p>
            <w:p>
              <w:pPr>
                <w:rPr>
                  <w:rFonts w:ascii="Verdana" w:hAnsi="Verdana"/>
                  <w:szCs w:val="24"/>
                  <w:lang w:eastAsia="lt-LT"/>
                </w:rPr>
              </w:pPr>
            </w:p>
            <w:tbl>
              <w:tblPr>
                <w:tblW w:w="6237" w:type="dxa"/>
                <w:tblLayout w:type="fixed"/>
                <w:tblCellMar>
                  <w:left w:w="0" w:type="dxa"/>
                  <w:right w:w="0" w:type="dxa"/>
                </w:tblCellMar>
                <w:tblLook w:val="01E0" w:firstRow="1" w:lastRow="1" w:firstColumn="1" w:lastColumn="1" w:noHBand="0" w:noVBand="0"/>
              </w:tblPr>
              <w:tblGrid>
                <w:gridCol w:w="6237"/>
              </w:tblGrid>
              <w:tr>
                <w:tc>
                  <w:tcPr>
                    <w:tcW w:w="6237" w:type="dxa"/>
                    <w:shd w:val="clear" w:color="auto" w:fill="auto"/>
                  </w:tcPr>
                  <w:p>
                    <w:pPr>
                      <w:rPr>
                        <w:rFonts w:ascii="Verdana" w:hAnsi="Verdana"/>
                        <w:szCs w:val="24"/>
                        <w:lang w:eastAsia="lt-LT"/>
                      </w:rPr>
                    </w:pPr>
                    <w:r>
                      <w:rPr>
                        <w:rFonts w:ascii="Verdana" w:hAnsi="Verdana"/>
                        <w:szCs w:val="24"/>
                        <w:lang w:eastAsia="lt-LT"/>
                      </w:rPr>
                      <w:t>Savivaldybės meras</w:t>
                    </w:r>
                  </w:p>
                </w:tc>
              </w:tr>
            </w:tbl>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r>
                <w:rPr>
                  <w:rFonts w:ascii="Verdana" w:hAnsi="Verdana"/>
                  <w:szCs w:val="24"/>
                  <w:lang w:eastAsia="lt-LT"/>
                </w:rPr>
                <w:t>Vilija Dulskė</w:t>
              </w:r>
            </w:p>
            <w:p>
              <w:pPr>
                <w:rPr>
                  <w:rFonts w:ascii="Verdana" w:hAnsi="Verdana"/>
                  <w:szCs w:val="24"/>
                  <w:lang w:eastAsia="lt-LT"/>
                </w:rPr>
              </w:pPr>
            </w:p>
            <w:p>
              <w:pPr>
                <w:rPr>
                  <w:rFonts w:ascii="Verdana" w:hAnsi="Verdana"/>
                  <w:szCs w:val="24"/>
                  <w:lang w:eastAsia="lt-LT"/>
                </w:rPr>
              </w:pPr>
              <w:r>
                <w:rPr>
                  <w:rFonts w:ascii="Verdana" w:hAnsi="Verdana"/>
                  <w:szCs w:val="24"/>
                  <w:lang w:eastAsia="lt-LT"/>
                </w:rPr>
                <w:t xml:space="preserve">Sprendimą paskelbti: Interneto svetainėje </w:t>
              </w:r>
              <w:r>
                <w:rPr>
                  <w:rFonts w:ascii="Verdana" w:hAnsi="Verdana"/>
                  <w:szCs w:val="24"/>
                  <w:lang w:eastAsia="lt-LT"/>
                </w:rPr>
                <w:fldChar w:fldCharType="begin" w:fldLock="1">
                  <w:ffData>
                    <w:name w:val="Tikrinti1"/>
                    <w:enabled/>
                    <w:calcOnExit w:val="0"/>
                    <w:checkBox>
                      <w:sizeAuto/>
                      <w:default w:val="1"/>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r>
                <w:rPr>
                  <w:rFonts w:ascii="Verdana" w:hAnsi="Verdana"/>
                  <w:szCs w:val="24"/>
                  <w:lang w:eastAsia="lt-LT"/>
                </w:rPr>
                <w:t xml:space="preserve">;  TAR </w:t>
              </w:r>
              <w:r>
                <w:rPr>
                  <w:rFonts w:ascii="Verdana" w:hAnsi="Verdana"/>
                  <w:szCs w:val="24"/>
                  <w:lang w:eastAsia="lt-LT"/>
                </w:rPr>
                <w:fldChar w:fldCharType="begin" w:fldLock="1">
                  <w:ffData>
                    <w:name w:val="Tikrinti1"/>
                    <w:enabled/>
                    <w:calcOnExit w:val="0"/>
                    <w:checkBox>
                      <w:sizeAuto/>
                      <w:default w:val="0"/>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p>
            <w:p>
              <w:pPr>
                <w:rPr>
                  <w:rFonts w:ascii="Verdana" w:hAnsi="Verdana"/>
                  <w:szCs w:val="24"/>
                  <w:lang w:eastAsia="lt-LT"/>
                </w:rPr>
              </w:pPr>
            </w:p>
            <w:p>
              <w:pPr>
                <w:rPr>
                  <w:rFonts w:ascii="Verdana" w:hAnsi="Verdana"/>
                  <w:szCs w:val="24"/>
                  <w:lang w:eastAsia="lt-LT"/>
                </w:rPr>
                <w:sectPr>
                  <w:headerReference w:type="first" r:id="rId16"/>
                  <w:type w:val="continuous"/>
                  <w:pgSz w:w="11906" w:h="16838" w:code="9"/>
                  <w:pgMar w:top="1134" w:right="567" w:bottom="1134" w:left="1701" w:header="567" w:footer="567" w:gutter="0"/>
                  <w:pgNumType w:start="1"/>
                  <w:cols w:space="1296"/>
                  <w:formProt w:val="0"/>
                  <w:titlePg/>
                  <w:docGrid w:linePitch="360"/>
                </w:sectPr>
              </w:pPr>
            </w:p>
            <w:p>
              <w:pPr>
                <w:tabs>
                  <w:tab w:val="center" w:pos="4819"/>
                  <w:tab w:val="right" w:pos="9638"/>
                </w:tabs>
                <w:rPr>
                  <w:szCs w:val="24"/>
                  <w:lang w:eastAsia="lt-LT"/>
                </w:rPr>
              </w:pPr>
            </w:p>
          </w:sdtContent>
        </w:sdt>
        <w:sdt>
          <w:sdtPr>
            <w:alias w:val="skirsnis"/>
            <w:tag w:val="part_e5c9fa3a60404afda925858b8abbc5ed"/>
            <w:lock w:val="sdtLocked"/>
            <w:richText/>
          </w:sdtPr>
          <w:sdtContent>
            <w:p>
              <w:pPr>
                <w:jc w:val="center"/>
                <w:rPr>
                  <w:rFonts w:ascii="Verdana" w:hAnsi="Verdana"/>
                  <w:b/>
                  <w:szCs w:val="24"/>
                  <w:lang w:eastAsia="lt-LT"/>
                </w:rPr>
              </w:pPr>
              <w:sdt>
                <w:sdtPr>
                  <w:alias w:val="Pavadinimas"/>
                  <w:tag w:val="title_e5c9fa3a60404afda925858b8abbc5ed"/>
                  <w:lock w:val="sdtLocked"/>
                  <w:richText/>
                </w:sdtPr>
                <w:sdtContent>
                  <w:r>
                    <w:rPr>
                      <w:rFonts w:ascii="Verdana" w:hAnsi="Verdana"/>
                      <w:b/>
                      <w:szCs w:val="24"/>
                      <w:lang w:eastAsia="lt-LT"/>
                    </w:rPr>
                    <w:t>MARIJAMPOLĖS SAVIVALDYBĖS ADMINISTRACIJOS</w:t>
                  </w:r>
                </w:sdtContent>
              </w:sdt>
            </w:p>
          </w:sdtContent>
        </w:sdt>
        <w:sdt>
          <w:sdtPr>
            <w:alias w:val="skyrius"/>
            <w:tag w:val="part_aa76c71f32c4430aa71f41acd3330c44"/>
            <w:lock w:val="sdtLocked"/>
            <w:richText/>
          </w:sdtPr>
          <w:sdtContent>
            <w:p>
              <w:pPr>
                <w:jc w:val="center"/>
                <w:rPr>
                  <w:rFonts w:ascii="Verdana" w:hAnsi="Verdana"/>
                  <w:szCs w:val="24"/>
                  <w:lang w:eastAsia="lt-LT"/>
                </w:rPr>
              </w:pPr>
              <w:r>
                <w:rPr>
                  <w:rFonts w:ascii="Verdana" w:hAnsi="Verdana"/>
                  <w:b/>
                  <w:szCs w:val="24"/>
                  <w:lang w:eastAsia="lt-LT"/>
                </w:rPr>
                <w:t>ŠVIETIMO, KULTŪROS IR SPORTO SKYRIUS</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sdt>
              <w:sdtPr>
                <w:alias w:val="Pavadinimas"/>
                <w:tag w:val="title_aa76c71f32c4430aa71f41acd3330c44"/>
                <w:lock w:val="sdtLocked"/>
                <w:richText/>
              </w:sdtPr>
              <w:sdtContent>
                <w:p>
                  <w:pPr>
                    <w:tabs>
                      <w:tab w:val="left" w:pos="5557"/>
                      <w:tab w:val="left" w:pos="6840"/>
                      <w:tab w:val="left" w:pos="7020"/>
                    </w:tabs>
                    <w:jc w:val="center"/>
                    <w:rPr>
                      <w:rFonts w:ascii="Verdana" w:hAnsi="Verdana"/>
                      <w:b/>
                      <w:szCs w:val="24"/>
                      <w:lang w:eastAsia="lt-LT"/>
                    </w:rPr>
                  </w:pPr>
                  <w:r>
                    <w:rPr>
                      <w:rFonts w:ascii="Verdana" w:hAnsi="Verdana"/>
                      <w:b/>
                      <w:szCs w:val="24"/>
                      <w:lang w:eastAsia="lt-LT"/>
                    </w:rPr>
                    <w:t>AIŠKINAMASIS RAŠTAS</w:t>
                  </w:r>
                </w:p>
                <w:p>
                  <w:pPr>
                    <w:tabs>
                      <w:tab w:val="left" w:pos="5557"/>
                      <w:tab w:val="left" w:pos="6840"/>
                      <w:tab w:val="left" w:pos="7020"/>
                    </w:tabs>
                    <w:jc w:val="center"/>
                    <w:rPr>
                      <w:rFonts w:ascii="Verdana" w:hAnsi="Verdana"/>
                      <w:b/>
                      <w:szCs w:val="24"/>
                      <w:lang w:eastAsia="lt-LT"/>
                    </w:rPr>
                  </w:pPr>
                  <w:r>
                    <w:rPr>
                      <w:rFonts w:ascii="Verdana" w:hAnsi="Verdana"/>
                      <w:b/>
                      <w:szCs w:val="24"/>
                      <w:lang w:eastAsia="lt-LT"/>
                    </w:rPr>
                    <w:t>DĖL VALSTYBĖS TURTO PERĖMIMO SAVIVALDYBĖS NUOSAVYBĖN IR JO PERDAVIMO VALDYTI, NAUDOTI IR DISPONUOTI JUO PATIKĖJIMO TEISE MARIJAMPOLĖS PETRO KRIAUČIŪNO VIEŠAJAI BIBLIOTEKAI</w:t>
                  </w:r>
                </w:p>
              </w:sdtContent>
            </w:sdt>
            <w:p>
              <w:pPr>
                <w:rPr>
                  <w:rFonts w:ascii="Verdana" w:hAnsi="Verdana"/>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14"/>
                <w:gridCol w:w="6306"/>
              </w:tblGrid>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Projekto pavadinimas</w:t>
                    </w:r>
                  </w:p>
                </w:tc>
                <w:tc>
                  <w:tcPr>
                    <w:tcW w:w="6399"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 xml:space="preserve">Dėl </w:t>
                    </w:r>
                    <w:r>
                      <w:rPr>
                        <w:rFonts w:ascii="Verdana" w:hAnsi="Verdana"/>
                        <w:bCs/>
                        <w:szCs w:val="24"/>
                        <w:lang w:eastAsia="lt-LT"/>
                      </w:rPr>
                      <w:t>valstybės turto perėmimo savivaldybės nuosavybėn ir jo perdavimo valdyti, naudoti ir disponuoti juo patikėjimo teise Marijampolės Petro Kriaučiūno viešajai bibliotekai</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Parengto sprendimo projekto tikslai ir uždaviniai</w:t>
                    </w:r>
                  </w:p>
                </w:tc>
                <w:tc>
                  <w:tcPr>
                    <w:tcW w:w="6399"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1. Sutikti perimti Savivaldybės nuosavybėn savarankiškosioms savivaldybių funkcijoms įgyvendinti valstybei nuosavybės teise priklausantį ir šiuo metu Lietuvos nacionalinės Martyno Mažvydo bibliotekos patikėjimo teise valdomą trumpalaikį ir ilgalaikį materialųjį turtą, kurio bendra likutinė vertė 2319,57 euro.</w:t>
                    </w:r>
                  </w:p>
                  <w:p>
                    <w:pPr>
                      <w:tabs>
                        <w:tab w:val="left" w:pos="0"/>
                      </w:tabs>
                      <w:ind w:hanging="32"/>
                      <w:jc w:val="both"/>
                      <w:rPr>
                        <w:rFonts w:ascii="Verdana" w:hAnsi="Verdana"/>
                        <w:szCs w:val="24"/>
                        <w:lang w:eastAsia="lt-LT"/>
                      </w:rPr>
                    </w:pPr>
                    <w:r>
                      <w:rPr>
                        <w:rFonts w:ascii="Verdana" w:hAnsi="Verdana"/>
                        <w:szCs w:val="24"/>
                        <w:lang w:eastAsia="lt-LT"/>
                      </w:rPr>
                      <w:t xml:space="preserve">2. Perduoti nurodytą turtą, jį perėmus savivaldybės nuosavybėn, Marijampolės Petro Kriaučiūno viešajai bibliotekai valdyti, naudoti ir disponuoti juo patikėjimo teise </w:t>
                    </w:r>
                  </w:p>
                  <w:p>
                    <w:pPr>
                      <w:ind w:hanging="32"/>
                      <w:jc w:val="both"/>
                      <w:rPr>
                        <w:rFonts w:ascii="Verdana" w:hAnsi="Verdana"/>
                        <w:szCs w:val="24"/>
                        <w:lang w:eastAsia="lt-LT"/>
                      </w:rPr>
                    </w:pPr>
                    <w:r>
                      <w:rPr>
                        <w:rFonts w:ascii="Verdana" w:hAnsi="Verdana"/>
                        <w:szCs w:val="24"/>
                        <w:lang w:eastAsia="lt-LT"/>
                      </w:rPr>
                      <w:t>3. Parengtas projektas sudarys prielaidą užtikrinti tinkamą valstybės turto apskaitą</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trike/>
                        <w:szCs w:val="24"/>
                        <w:lang w:eastAsia="lt-LT"/>
                      </w:rPr>
                    </w:pPr>
                    <w:r>
                      <w:rPr>
                        <w:rFonts w:ascii="Verdana" w:hAnsi="Verdana"/>
                        <w:szCs w:val="24"/>
                        <w:lang w:eastAsia="lt-LT"/>
                      </w:rPr>
                      <w:t>Numatomos naujos teisinio reglamentavimo nuostatos, priėmus sprendimą laukiami rezultatai</w:t>
                    </w:r>
                  </w:p>
                </w:tc>
                <w:tc>
                  <w:tcPr>
                    <w:tcW w:w="6399"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trike/>
                        <w:szCs w:val="24"/>
                        <w:lang w:eastAsia="lt-LT"/>
                      </w:rPr>
                    </w:pPr>
                    <w:r>
                      <w:rPr>
                        <w:rFonts w:ascii="Verdana" w:hAnsi="Verdana"/>
                        <w:szCs w:val="24"/>
                        <w:lang w:eastAsia="lt-LT"/>
                      </w:rPr>
                      <w:t>Šis turtas bus naudojamas Marijampolės savivaldybės Petro Kriaučiūno viešosios bibliotekos veikloje</w:t>
                    </w:r>
                    <w:r>
                      <w:rPr>
                        <w:rFonts w:ascii="Verdana" w:hAnsi="Verdana"/>
                        <w:color w:val="000000"/>
                        <w:szCs w:val="24"/>
                        <w:lang w:eastAsia="lt-LT"/>
                      </w:rPr>
                      <w:t xml:space="preserve"> plėtojant viešosios interneto prieigos paslaugų teikimą. Perduodamas turtas reikalingas </w:t>
                    </w:r>
                    <w:r>
                      <w:rPr>
                        <w:rFonts w:ascii="Verdana" w:hAnsi="Verdana"/>
                        <w:szCs w:val="24"/>
                        <w:lang w:eastAsia="lt-LT"/>
                      </w:rPr>
                      <w:t xml:space="preserve">Marijampolės Petro Kriaučiūno viešajai bibliotekai įgyvendinant valstybinį investicinį projektą „Bibliotekų kompiuterizavimas“ </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Savivaldybės biudžeto lėšų poreikis ir šaltiniai</w:t>
                    </w:r>
                  </w:p>
                </w:tc>
                <w:tc>
                  <w:tcPr>
                    <w:tcW w:w="6399"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Papildomų lėšų nereikės</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shd w:val="clear" w:color="auto" w:fill="FFFFFF"/>
                        <w:lang w:eastAsia="lt-LT"/>
                      </w:rPr>
                      <w:t>Kiti sprendimui priimti ar rengėjo nuomone reikalingi pagrindimai, skaičiavimai ar paaiškinimai</w:t>
                    </w:r>
                  </w:p>
                </w:tc>
                <w:tc>
                  <w:tcPr>
                    <w:tcW w:w="6399"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Sprendimo projekto rengėjas ar rengėjų grupė, sprendimo projekto iniciatoriai</w:t>
                    </w:r>
                  </w:p>
                </w:tc>
                <w:tc>
                  <w:tcPr>
                    <w:tcW w:w="6399"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Švietimo, kultūros ir sporto skyriaus vyr. specialistė Vilija Dulskė</w:t>
                    </w:r>
                  </w:p>
                  <w:p>
                    <w:pPr>
                      <w:jc w:val="both"/>
                      <w:rPr>
                        <w:rFonts w:ascii="Verdana" w:hAnsi="Verdana"/>
                        <w:szCs w:val="24"/>
                        <w:lang w:eastAsia="lt-LT"/>
                      </w:rPr>
                    </w:pPr>
                  </w:p>
                  <w:p>
                    <w:pPr>
                      <w:jc w:val="both"/>
                      <w:rPr>
                        <w:rFonts w:ascii="Verdana" w:hAnsi="Verdana"/>
                        <w:szCs w:val="24"/>
                        <w:lang w:eastAsia="lt-LT"/>
                      </w:rPr>
                    </w:pPr>
                    <w:r>
                      <w:rPr>
                        <w:rFonts w:ascii="Verdana" w:hAnsi="Verdana"/>
                        <w:szCs w:val="24"/>
                        <w:lang w:eastAsia="lt-LT"/>
                      </w:rPr>
                      <w:t>Lietuvos nacionalinei Martyno Mažvydo biblioteka</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Numatomo teisinio reguliavimo poveikio vertinimo rezultatai (jei tokį vertinimą reikia atlikti)</w:t>
                    </w:r>
                  </w:p>
                </w:tc>
                <w:tc>
                  <w:tcPr>
                    <w:tcW w:w="6399"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Projektas turi būti suderintas</w:t>
                    </w:r>
                  </w:p>
                </w:tc>
                <w:tc>
                  <w:tcPr>
                    <w:tcW w:w="6399"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Su Švietimo, kultūros ir sporto, Buhalterijos, Teisės ir civilinės metrikacijos skyriais, Administracijos direktoriumi</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Pranešėjas</w:t>
                    </w:r>
                  </w:p>
                </w:tc>
                <w:tc>
                  <w:tcPr>
                    <w:tcW w:w="6399"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Švietimo, kultūros ir sporto skyriaus vedėja Loreta Matusevičienė</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Adresatai, kuriems reikia siųsti sprendimo nuorašą, arba asmenys, kuriems reikia siųsti sprendimą susipažinti</w:t>
                    </w:r>
                  </w:p>
                </w:tc>
                <w:tc>
                  <w:tcPr>
                    <w:tcW w:w="6399"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 xml:space="preserve">Švietimo, kultūros ir sporto skyriui, Buhalterijos skyriui, Marijampolės </w:t>
                    </w:r>
                    <w:r>
                      <w:rPr>
                        <w:rFonts w:ascii="Verdana" w:hAnsi="Verdana"/>
                        <w:bCs/>
                        <w:szCs w:val="24"/>
                        <w:lang w:eastAsia="lt-LT"/>
                      </w:rPr>
                      <w:t>Petro Kriaučiūno viešajai bibliotekai</w:t>
                    </w:r>
                  </w:p>
                </w:tc>
              </w:tr>
            </w:tbl>
            <w:p>
              <w:pPr>
                <w:rPr>
                  <w:rFonts w:ascii="Verdana" w:hAnsi="Verdana"/>
                  <w:szCs w:val="24"/>
                  <w:lang w:eastAsia="lt-LT"/>
                </w:rPr>
              </w:pPr>
            </w:p>
          </w:sdtContent>
        </w:sdt>
        <w:sdt>
          <w:sdtPr>
            <w:alias w:val="pabaiga"/>
            <w:tag w:val="part_eb028e847c664de79a46c646750e6b93"/>
            <w:lock w:val="sdtLocked"/>
            <w:richText/>
          </w:sdtPr>
          <w:sdtContent>
            <w:p>
              <w:pPr>
                <w:jc w:val="center"/>
                <w:rPr>
                  <w:rFonts w:ascii="Verdana" w:hAnsi="Verdana"/>
                  <w:szCs w:val="24"/>
                  <w:lang w:eastAsia="lt-LT"/>
                </w:rPr>
              </w:pPr>
              <w:r>
                <w:rPr>
                  <w:rFonts w:ascii="Verdana" w:hAnsi="Verdana"/>
                  <w:szCs w:val="24"/>
                  <w:lang w:eastAsia="lt-LT"/>
                </w:rPr>
                <w:t>_________________</w:t>
              </w:r>
            </w:p>
            <w:p>
              <w:pPr>
                <w:rPr>
                  <w:rFonts w:ascii="Verdana" w:hAnsi="Verdana"/>
                  <w:szCs w:val="24"/>
                  <w:lang w:eastAsia="lt-LT"/>
                </w:rPr>
              </w:pPr>
            </w:p>
            <w:p>
              <w:pPr>
                <w:rPr>
                  <w:rFonts w:ascii="Verdana" w:hAnsi="Verdana"/>
                  <w:szCs w:val="24"/>
                  <w:lang w:eastAsia="lt-LT"/>
                </w:rPr>
              </w:pPr>
            </w:p>
          </w:sdtContent>
        </w:sdt>
      </w:sdtContent>
    </w:sdt>
    <w:sectPr>
      <w:pgSz w:w="11906" w:h="16838" w:code="9"/>
      <w:pgMar w:top="1134" w:right="567" w:bottom="1134" w:left="1701" w:header="567" w:footer="567" w:gutter="0"/>
      <w:pgNumType w:start="1"/>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Arial">
    <w:panose1 w:val="020B0604020202020204"/>
    <w:charset w:val="BA"/>
    <w:family w:val="swiss"/>
    <w:pitch w:val="variable"/>
    <w:sig w:usb0="E0002AFF" w:usb1="C0007843"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 w:val="20"/>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rFonts w:ascii="Verdana" w:hAnsi="Verdana"/>
        <w:sz w:val="20"/>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ascii="Verdana" w:hAnsi="Verdana"/>
        <w:sz w:val="20"/>
        <w:lang w:eastAsia="lt-LT"/>
      </w:rPr>
    </w:pPr>
    <w:r>
      <w:rPr>
        <w:rFonts w:ascii="Verdana" w:hAnsi="Verdana"/>
        <w:sz w:val="20"/>
        <w:lang w:eastAsia="lt-LT"/>
      </w:rPr>
      <w:fldChar w:fldCharType="begin"/>
    </w:r>
    <w:r>
      <w:rPr>
        <w:rFonts w:ascii="Verdana" w:hAnsi="Verdana"/>
        <w:sz w:val="20"/>
        <w:lang w:eastAsia="lt-LT"/>
      </w:rPr>
      <w:instrText xml:space="preserve"> PAGE </w:instrText>
    </w:r>
    <w:r>
      <w:rPr>
        <w:rFonts w:ascii="Verdana" w:hAnsi="Verdana"/>
        <w:sz w:val="20"/>
        <w:lang w:eastAsia="lt-LT"/>
      </w:rPr>
      <w:fldChar w:fldCharType="separate"/>
    </w:r>
    <w:r>
      <w:rPr>
        <w:rFonts w:ascii="Verdana" w:hAnsi="Verdana"/>
        <w:sz w:val="20"/>
        <w:lang w:eastAsia="lt-LT"/>
      </w:rPr>
      <w:t>2</w:t>
    </w:r>
    <w:r>
      <w:rPr>
        <w:rFonts w:ascii="Verdana" w:hAnsi="Verdana"/>
        <w:sz w:val="20"/>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214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chartTrackingRefBased/>
  <w15:docId w15:val="{1B2DCB34-B7C4-498E-AB9D-A6E90E41E71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9447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3" Type="http://schemas.openxmlformats.org/officeDocument/2006/relationships/hyperlink" TargetMode="External" Target="https://www.e-tar.lt/portal/lt/legalAct/TAR.D5496D69DF98/asr"/>
  <Relationship Id="rId16" Type="http://schemas.openxmlformats.org/officeDocument/2006/relationships/header" Target="header4.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e4f0a770254429585b54934b458f8ad" PartId="c6a565fb3bdd43359d2b13f1a070a78e">
    <Part Type="preambule" DocPartId="d858646a45f04db08e65320278b0ec2c" PartId="26f671859a3641e59e0f3aa31e32ade6"/>
    <Part Type="punktas" Nr="1" Abbr="1 p." DocPartId="17cbe03ceff5477cb428a4f9dbf84fa3" PartId="6c28678e5d8b4d8b8936e01f93aab468"/>
    <Part Type="punktas" Nr="2" Abbr="2 p." DocPartId="361e115450144b5aadd2103de62147f0" PartId="3c53ce3360a5463789660da0495007c2"/>
    <Part Type="punktas" Nr="3" Abbr="3 p." DocPartId="c09c6051121148c1a6c976bebf5f1ce0" PartId="37d330d02741473db7070da0668c69e8"/>
    <Part Type="punktas" Nr="4" Abbr="4 p." DocPartId="ef9eaf35fc1e4302869da21ba9b27f9e" PartId="165f1be5d1904964af736a3cb3e34da1"/>
    <Part Type="punktas" Nr="5" Abbr="5 p." DocPartId="ccbf03d72d124f9fb8ab75aa4672ea3d" PartId="94a3cc906ced4a5abf090ccd90470d10"/>
    <Part Type="skirsnis" Title="MARIJAMPOLĖS SAVIVALDYBĖS ADMINISTRACIJOS" DocPartId="d3a8da1ff4fc40d9a36476b229e3e802" PartId="e5c9fa3a60404afda925858b8abbc5ed"/>
    <Part Type="skyrius" Nr="999" Title="AIŠKINAMASIS RAŠTAS DĖL VALSTYBĖS TURTO PERĖMIMO SAVIVALDYBĖS NUOSAVYBĖN IR JO PERDAVIMO VALDYTI, NAUDOTI IR DISPONUOTI JUO PATIKĖJIMO TEISE MARIJAMPOLĖS PETRO KRIAUČIŪNO VIEŠAJAI BIBLIOTEKAI" DocPartId="f7ae7265ff3d4096ab5d7e49757de7ba" PartId="aa76c71f32c4430aa71f41acd3330c44"/>
    <Part Type="pabaiga" DocPartId="7ed77e56e8a1471495436f00fc1fbb06" PartId="eb028e847c664de79a46c646750e6b93"/>
  </Part>
</Parts>
</file>

<file path=customXml/itemProps1.xml><?xml version="1.0" encoding="utf-8"?>
<ds:datastoreItem xmlns:ds="http://schemas.openxmlformats.org/officeDocument/2006/customXml" ds:itemID="{BC772EDC-D37E-4D96-A390-876EB2C59FE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748</Words>
  <Characters>5432</Characters>
  <Application>Microsoft Office Word</Application>
  <DocSecurity>4</DocSecurity>
  <Lines>236</Lines>
  <Paragraphs>80</Paragraphs>
  <ScaleCrop>false</ScaleCrop>
  <HeadingPairs>
    <vt:vector size="2" baseType="variant">
      <vt:variant>
        <vt:lpstr>Pavadinimas</vt:lpstr>
      </vt:variant>
      <vt:variant>
        <vt:i4>1</vt:i4>
      </vt:variant>
    </vt:vector>
  </HeadingPairs>
  <TitlesOfParts>
    <vt:vector size="1" baseType="lpstr">
      <vt:lpstr> </vt:lpstr>
    </vt:vector>
  </TitlesOfParts>
  <Company>mas</Company>
  <LinksUpToDate>false</LinksUpToDate>
  <CharactersWithSpaces>6100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2025-03-07T13:50:00Z</dcterms:created>
  <dc:creator>Vilija Dulskė</dc:creator>
  <lastModifiedBy>adlibuser</lastModifiedBy>
  <lastPrinted>1899-12-31T22:00:00Z</lastPrinted>
  <dcterms:modified xsi:type="dcterms:W3CDTF">2025-03-07T13:50:00Z</dcterms:modified>
  <revision>2</revision>
  <dc:title/>
</coreProperties>
</file>