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cdba6ba4504a199b4da9d1350d3be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2024-12-08 Nr. TR-463</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szCs w:val="24"/>
              <w:lang w:eastAsia="lt-LT"/>
            </w:rPr>
            <w:t xml:space="preserve"> </w:t>
          </w:r>
          <w:r>
            <w:rPr>
              <w:rFonts w:ascii="Verdana" w:hAnsi="Verdana"/>
              <w:b/>
              <w:szCs w:val="24"/>
              <w:lang w:eastAsia="lt-LT"/>
            </w:rPr>
            <w:t>ŽEMĖS MOKESČIO LENGVATOS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08f37ccb49ba43cd9e0cad4abcea8455"/>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15 straipsnio 2 dalies 14 punktu, Lietuvos Respublikos žemės mokesčio </w:t>
              </w:r>
              <w:hyperlink r:id="rId13" w:history="1">
                <w:r>
                  <w:rPr>
                    <w:rFonts w:ascii="Verdana" w:hAnsi="Verdana"/>
                    <w:szCs w:val="24"/>
                    <w:lang w:eastAsia="lt-LT"/>
                  </w:rPr>
                  <w:t>įstatymo</w:t>
                </w:r>
              </w:hyperlink>
              <w:r>
                <w:rPr>
                  <w:rFonts w:ascii="Verdana" w:hAnsi="Verdana"/>
                  <w:szCs w:val="24"/>
                  <w:lang w:eastAsia="lt-LT"/>
                </w:rPr>
                <w:t xml:space="preserve"> 8 straipsnio 3 ir 5 dalimis, Valstybinės žemės nuomos mokesčio, žemės mokesčio, nekilnojamojo turto mokesčio lengvatų suteikimo tvarkos aprašu, patvirtintu Marijampolės savivaldybės tarybos 2024 m. birželio 25 d. sprendimu Nr. </w:t>
              </w:r>
              <w:r>
                <w:rPr>
                  <w:rFonts w:ascii="Verdana" w:hAnsi="Verdana"/>
                  <w:szCs w:val="24"/>
                  <w:lang w:eastAsia="lt-LT"/>
                </w:rPr>
                <w:t>1-232</w:t>
              </w:r>
              <w:r>
                <w:rPr>
                  <w:rFonts w:ascii="Verdana" w:hAnsi="Verdana"/>
                  <w:szCs w:val="24"/>
                  <w:lang w:eastAsia="lt-LT"/>
                </w:rPr>
                <w:t xml:space="preserve"> „Dėl Valstybinės žemės nuomos mokesčio, žemės mokesčio, nekilnojamojo turto mokesčio lengvatų suteikimo tvarkos aprašo patvirtinimo“, ir atsižvelgdama į Mokesčių lengvatų svarstymo komisijos 2024 m. lapkričio 22 d. protokolą Nr. K-643 (7.3 E), Marijampolės savivaldybės taryba  nusprendžia:</w:t>
              </w:r>
            </w:p>
          </w:sdtContent>
        </w:sdt>
        <w:sdt>
          <w:sdtPr>
            <w:alias w:val="1 p."/>
            <w:tag w:val="part_61e5452d1c8f4ac78e269cdccaf38833"/>
            <w:lock w:val="sdtLocked"/>
            <w:richText/>
          </w:sdtPr>
          <w:sdtContent>
            <w:p>
              <w:pPr>
                <w:ind w:firstLine="720"/>
                <w:jc w:val="both"/>
                <w:rPr>
                  <w:rFonts w:ascii="Verdana" w:hAnsi="Verdana"/>
                  <w:szCs w:val="24"/>
                  <w:lang w:eastAsia="lt-LT"/>
                </w:rPr>
              </w:pPr>
              <w:sdt>
                <w:sdtPr>
                  <w:alias w:val="Numeris"/>
                  <w:tag w:val="nr_61e5452d1c8f4ac78e269cdccaf38833"/>
                  <w:lock w:val="sdtLocked"/>
                  <w:richText/>
                </w:sdtPr>
                <w:sdtContent>
                  <w:r>
                    <w:rPr>
                      <w:rFonts w:ascii="Verdana" w:hAnsi="Verdana"/>
                      <w:szCs w:val="24"/>
                      <w:lang w:eastAsia="lt-LT"/>
                    </w:rPr>
                    <w:t>1</w:t>
                  </w:r>
                </w:sdtContent>
              </w:sdt>
              <w:r>
                <w:rPr>
                  <w:rFonts w:ascii="Verdana" w:hAnsi="Verdana"/>
                  <w:szCs w:val="24"/>
                  <w:lang w:eastAsia="lt-LT"/>
                </w:rPr>
                <w:t xml:space="preserve">. Neatleisti nuo 2024 metų žemės mokesčio </w:t>
              </w:r>
              <w:r>
                <w:rPr>
                  <w:rFonts w:ascii="Verdana" w:hAnsi="Verdana"/>
                  <w:i/>
                  <w:szCs w:val="24"/>
                  <w:lang w:eastAsia="lt-LT"/>
                </w:rPr>
                <w:t>(duomenys neskelbtini)</w:t>
              </w:r>
              <w:r>
                <w:rPr>
                  <w:rFonts w:ascii="Verdana" w:hAnsi="Verdana"/>
                  <w:szCs w:val="24"/>
                  <w:lang w:eastAsia="lt-LT"/>
                </w:rPr>
                <w:t xml:space="preserve">., gim. </w:t>
              </w:r>
              <w:r>
                <w:rPr>
                  <w:rFonts w:ascii="Verdana" w:hAnsi="Verdana"/>
                  <w:i/>
                  <w:szCs w:val="24"/>
                  <w:lang w:eastAsia="lt-LT"/>
                </w:rPr>
                <w:t>(duomenys neskelbtini)</w:t>
              </w:r>
              <w:r>
                <w:rPr>
                  <w:rFonts w:ascii="Verdana" w:hAnsi="Verdana"/>
                  <w:szCs w:val="24"/>
                  <w:lang w:eastAsia="lt-LT"/>
                </w:rPr>
                <w:t xml:space="preserve">, už sklypą, esantį Marijampolėje, </w:t>
              </w:r>
              <w:r>
                <w:rPr>
                  <w:rFonts w:ascii="Verdana" w:hAnsi="Verdana"/>
                  <w:i/>
                  <w:szCs w:val="24"/>
                  <w:lang w:eastAsia="lt-LT"/>
                </w:rPr>
                <w:t>(duomenys neskelbtini)</w:t>
              </w:r>
              <w:r>
                <w:rPr>
                  <w:rFonts w:ascii="Verdana" w:hAnsi="Verdana"/>
                  <w:szCs w:val="24"/>
                  <w:lang w:eastAsia="lt-LT"/>
                </w:rPr>
                <w:t xml:space="preserve"> (apmokestintas sklypo plotas – 0,09150 ha).</w:t>
              </w:r>
            </w:p>
          </w:sdtContent>
        </w:sdt>
        <w:sdt>
          <w:sdtPr>
            <w:alias w:val="2 p."/>
            <w:tag w:val="part_b750f03b4bc3411da97a6ebb80cb5b6b"/>
            <w:lock w:val="sdtLocked"/>
            <w:richText/>
          </w:sdtPr>
          <w:sdtContent>
            <w:p>
              <w:pPr>
                <w:ind w:firstLine="720"/>
                <w:jc w:val="both"/>
                <w:rPr>
                  <w:rFonts w:ascii="Verdana" w:hAnsi="Verdana"/>
                  <w:szCs w:val="24"/>
                  <w:lang w:eastAsia="lt-LT"/>
                </w:rPr>
              </w:pPr>
              <w:sdt>
                <w:sdtPr>
                  <w:alias w:val="Numeris"/>
                  <w:tag w:val="nr_b750f03b4bc3411da97a6ebb80cb5b6b"/>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Jolita Pėtelė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kirsnis"/>
            <w:tag w:val="part_de5162c9735c4449b1718d6dee16f77d"/>
            <w:lock w:val="sdtLocked"/>
            <w:richText/>
          </w:sdtPr>
          <w:sdtContent>
            <w:p>
              <w:pPr>
                <w:jc w:val="center"/>
                <w:rPr>
                  <w:rFonts w:ascii="Verdana" w:hAnsi="Verdana"/>
                  <w:b/>
                  <w:szCs w:val="24"/>
                  <w:lang w:eastAsia="lt-LT"/>
                </w:rPr>
              </w:pPr>
              <w:sdt>
                <w:sdtPr>
                  <w:alias w:val="Pavadinimas"/>
                  <w:tag w:val="title_de5162c9735c4449b1718d6dee16f77d"/>
                  <w:lock w:val="sdtLocked"/>
                  <w:richText/>
                </w:sdtPr>
                <w:sdtContent>
                  <w:r>
                    <w:rPr>
                      <w:rFonts w:ascii="Verdana" w:hAnsi="Verdana"/>
                      <w:b/>
                      <w:szCs w:val="24"/>
                      <w:lang w:eastAsia="lt-LT"/>
                    </w:rPr>
                    <w:t>MARIJAMPOLĖS SAVIVALDYBĖS ADMINISTRACIJOS</w:t>
                  </w:r>
                </w:sdtContent>
              </w:sdt>
            </w:p>
            <w:p>
              <w:pPr>
                <w:rPr>
                  <w:sz w:val="10"/>
                  <w:szCs w:val="10"/>
                </w:rPr>
              </w:pPr>
            </w:p>
          </w:sdtContent>
        </w:sdt>
        <w:sdt>
          <w:sdtPr>
            <w:alias w:val="skyrius"/>
            <w:tag w:val="part_136f8409bb7642ffbcd979fd37f96db7"/>
            <w:lock w:val="sdtLocked"/>
            <w:richText/>
          </w:sdtPr>
          <w:sdtContent>
            <w:p>
              <w:pPr>
                <w:jc w:val="center"/>
                <w:rPr>
                  <w:rFonts w:ascii="Verdana" w:hAnsi="Verdana"/>
                  <w:szCs w:val="24"/>
                  <w:lang w:eastAsia="lt-LT"/>
                </w:rPr>
              </w:pPr>
              <w:r>
                <w:rPr>
                  <w:rFonts w:ascii="Verdana" w:hAnsi="Verdana"/>
                  <w:b/>
                  <w:szCs w:val="24"/>
                  <w:lang w:eastAsia="lt-LT"/>
                </w:rPr>
                <w:t>FINANSŲ IR STRATEGINIO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36f8409bb7642ffbcd979fd37f96db7"/>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ind w:right="-1"/>
                    <w:jc w:val="center"/>
                    <w:rPr>
                      <w:rFonts w:ascii="Verdana" w:hAnsi="Verdana"/>
                      <w:b/>
                      <w:szCs w:val="24"/>
                      <w:lang w:eastAsia="lt-LT"/>
                    </w:rPr>
                  </w:pPr>
                  <w:r>
                    <w:rPr>
                      <w:rFonts w:ascii="Verdana" w:hAnsi="Verdana"/>
                      <w:b/>
                      <w:szCs w:val="24"/>
                      <w:lang w:eastAsia="lt-LT"/>
                    </w:rPr>
                    <w:t>DĖL ŽEMĖS MOKESČIO LENGVATOS</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97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7"/>
                <w:gridCol w:w="6447"/>
              </w:tblGrid>
              <w:tr>
                <w:trPr>
                  <w:trHeight w:val="521"/>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Projekto pavadinimas</w:t>
                    </w:r>
                  </w:p>
                </w:tc>
                <w:tc>
                  <w:tcPr>
                    <w:tcW w:w="6447" w:type="dxa"/>
                    <w:tcBorders>
                      <w:top w:val="single" w:sz="4" w:space="0" w:color="auto"/>
                      <w:left w:val="single" w:sz="4" w:space="0" w:color="auto"/>
                      <w:bottom w:val="single" w:sz="4" w:space="0" w:color="auto"/>
                      <w:right w:val="single" w:sz="4" w:space="0" w:color="auto"/>
                    </w:tcBorders>
                  </w:tcPr>
                  <w:p>
                    <w:pPr>
                      <w:ind w:right="-1"/>
                      <w:rPr>
                        <w:rFonts w:ascii="Verdana" w:hAnsi="Verdana"/>
                        <w:bCs/>
                        <w:szCs w:val="24"/>
                        <w:lang w:eastAsia="lt-LT"/>
                      </w:rPr>
                    </w:pPr>
                    <w:r>
                      <w:rPr>
                        <w:rFonts w:ascii="Verdana" w:hAnsi="Verdana"/>
                        <w:bCs/>
                        <w:szCs w:val="24"/>
                        <w:lang w:eastAsia="lt-LT"/>
                      </w:rPr>
                      <w:t>Dėl žemės mokesčio lengvatos</w:t>
                    </w:r>
                  </w:p>
                </w:tc>
              </w:tr>
              <w:tr>
                <w:trPr>
                  <w:trHeight w:val="2421"/>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color w:val="000000"/>
                        <w:szCs w:val="24"/>
                        <w:lang w:eastAsia="lt-LT"/>
                      </w:rPr>
                      <w:t>Parengto sprendimo projekto tikslai ir uždaviniai</w:t>
                    </w:r>
                  </w:p>
                </w:tc>
                <w:tc>
                  <w:tcPr>
                    <w:tcW w:w="644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bCs/>
                        <w:szCs w:val="24"/>
                        <w:lang w:eastAsia="lt-LT"/>
                      </w:rPr>
                      <w:t>Žemės mokesčio</w:t>
                    </w:r>
                    <w:r>
                      <w:rPr>
                        <w:rFonts w:ascii="Verdana" w:hAnsi="Verdana"/>
                        <w:szCs w:val="24"/>
                        <w:lang w:eastAsia="lt-LT"/>
                      </w:rPr>
                      <w:t xml:space="preserve"> lengvatos teikiamos vadovaujantis - Valstybinės žemės nuomos mokesčio, žemės mokesčio, nekilnojamojo turto mokesčio lengvatų suteikimo tvarkos aprašu (toliau-Aprašas), patvirtintu Marijampolės savivaldybės tarybos 2024 m. birželio 25 d. sprendimu Nr. 1-232 „Dėl Valstybinės žemės nuomos mokesčio, žemės mokesčio, nekilnojamojo turto mokesčio lengvatų suteikimo tvarkos aprašo patvirtinimo“.</w:t>
                    </w:r>
                  </w:p>
                </w:tc>
              </w:tr>
              <w:tr>
                <w:trPr>
                  <w:trHeight w:val="546"/>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447" w:type="dxa"/>
                    <w:tcBorders>
                      <w:top w:val="single" w:sz="4" w:space="0" w:color="auto"/>
                      <w:left w:val="single" w:sz="4" w:space="0" w:color="auto"/>
                      <w:bottom w:val="single" w:sz="4" w:space="0" w:color="auto"/>
                      <w:right w:val="single" w:sz="4" w:space="0" w:color="auto"/>
                    </w:tcBorders>
                  </w:tcPr>
                  <w:p>
                    <w:pPr>
                      <w:jc w:val="both"/>
                      <w:rPr>
                        <w:rFonts w:ascii="Verdana" w:hAnsi="Verdana"/>
                        <w:color w:val="000000"/>
                        <w:szCs w:val="24"/>
                        <w:shd w:val="clear" w:color="auto" w:fill="FFFFFF"/>
                        <w:lang w:eastAsia="lt-LT"/>
                      </w:rPr>
                    </w:pPr>
                    <w:r>
                      <w:rPr>
                        <w:rFonts w:ascii="Verdana" w:hAnsi="Verdana"/>
                        <w:color w:val="000000"/>
                        <w:szCs w:val="24"/>
                        <w:shd w:val="clear" w:color="auto" w:fill="FFFFFF"/>
                        <w:lang w:eastAsia="lt-LT"/>
                      </w:rPr>
                      <w:t>Sprendimo projektas atitinka teisės aktų nuostatas.</w:t>
                    </w:r>
                  </w:p>
                  <w:p>
                    <w:pPr>
                      <w:jc w:val="both"/>
                      <w:rPr>
                        <w:rFonts w:ascii="Verdana" w:hAnsi="Verdana"/>
                        <w:color w:val="000000"/>
                        <w:szCs w:val="24"/>
                        <w:shd w:val="clear" w:color="auto" w:fill="FFFFFF"/>
                        <w:lang w:eastAsia="lt-LT"/>
                      </w:rPr>
                    </w:pPr>
                    <w:r>
                      <w:rPr>
                        <w:rFonts w:ascii="Verdana" w:eastAsia="Calibri" w:hAnsi="Verdana"/>
                        <w:szCs w:val="24"/>
                      </w:rPr>
                      <w:t>Didesnės generuojamos pajamos į savivaldybės biudžetą.</w:t>
                    </w:r>
                  </w:p>
                </w:tc>
              </w:tr>
              <w:tr>
                <w:trPr>
                  <w:trHeight w:val="561"/>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Savivaldybės biudžeto lėšų poreikis ir šaltiniai</w:t>
                    </w:r>
                  </w:p>
                </w:tc>
                <w:tc>
                  <w:tcPr>
                    <w:tcW w:w="6447" w:type="dxa"/>
                    <w:tcBorders>
                      <w:top w:val="single" w:sz="4" w:space="0" w:color="auto"/>
                      <w:left w:val="single" w:sz="4" w:space="0" w:color="auto"/>
                      <w:bottom w:val="single" w:sz="4" w:space="0" w:color="auto"/>
                      <w:right w:val="single" w:sz="4" w:space="0" w:color="auto"/>
                    </w:tcBorders>
                  </w:tcPr>
                  <w:p>
                    <w:pPr>
                      <w:spacing w:line="276" w:lineRule="auto"/>
                      <w:jc w:val="both"/>
                      <w:rPr>
                        <w:rFonts w:ascii="Verdana" w:hAnsi="Verdana"/>
                        <w:szCs w:val="24"/>
                        <w:lang w:eastAsia="lt-LT"/>
                      </w:rPr>
                    </w:pPr>
                    <w:r>
                      <w:rPr>
                        <w:rFonts w:ascii="Verdana" w:hAnsi="Verdana"/>
                        <w:szCs w:val="24"/>
                        <w:lang w:eastAsia="lt-LT"/>
                      </w:rPr>
                      <w:t>Nesuteikus lengvatos, savivaldybės biudžete nesumažės gautinas žemės mokestis.</w:t>
                    </w:r>
                  </w:p>
                </w:tc>
              </w:tr>
              <w:tr>
                <w:trPr>
                  <w:trHeight w:val="2276"/>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Kiti sprendimui priimti ar rengėjo nuomone reikalingi pagrindimai, skaičiavimai ar paaiškinimai</w:t>
                    </w:r>
                  </w:p>
                </w:tc>
                <w:tc>
                  <w:tcPr>
                    <w:tcW w:w="644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Žemės mokesčio lengvata netaikoma - jeigu neatitinka Valstybinės žemės nuomos mokesčio, žemės mokesčio, nekilnojamojo turto mokesčio lengvatų suteikimo tvarkos aprašo, patvirtinto Marijampolės savivaldybės tarybos 2024 m. birželio 25 d. sprendimu Nr. 1-232 „Dėl Valstybinės žemės nuomos mokesčio, žemės mokesčio, nekilnojamojo turto mokesčio lengvatų suteikimo tvarkos aprašo patvirtinimo“, nuostatų arba atitinka Aprašo punktus kuriais remiantis mokesčių lengvatos neteikiamos.</w:t>
                    </w:r>
                  </w:p>
                  <w:p>
                    <w:pPr>
                      <w:ind w:firstLine="334"/>
                      <w:jc w:val="both"/>
                      <w:rPr>
                        <w:rFonts w:ascii="Verdana" w:hAnsi="Verdana"/>
                        <w:szCs w:val="24"/>
                        <w:lang w:eastAsia="lt-LT"/>
                      </w:rPr>
                    </w:pPr>
                    <w:r>
                      <w:rPr>
                        <w:rFonts w:ascii="Verdana" w:hAnsi="Verdana"/>
                        <w:i/>
                        <w:szCs w:val="24"/>
                        <w:lang w:eastAsia="lt-LT"/>
                      </w:rPr>
                      <w:t>(duomenys neskelbtini)</w:t>
                    </w:r>
                    <w:r>
                      <w:rPr>
                        <w:rFonts w:ascii="Verdana" w:hAnsi="Verdana"/>
                        <w:szCs w:val="24"/>
                        <w:lang w:eastAsia="lt-LT"/>
                      </w:rPr>
                      <w:t xml:space="preserve">., gim. </w:t>
                    </w:r>
                    <w:r>
                      <w:rPr>
                        <w:rFonts w:ascii="Verdana" w:hAnsi="Verdana"/>
                        <w:i/>
                        <w:szCs w:val="24"/>
                        <w:lang w:eastAsia="lt-LT"/>
                      </w:rPr>
                      <w:t>(duomenys neskelbtini)</w:t>
                    </w:r>
                    <w:r>
                      <w:rPr>
                        <w:rFonts w:ascii="Verdana" w:hAnsi="Verdana"/>
                        <w:szCs w:val="24"/>
                        <w:lang w:eastAsia="lt-LT"/>
                      </w:rPr>
                      <w:t xml:space="preserve">, prašymas atitiko tvarkos Aprašo III skyriaus 4.2.2. punktą - mokesčio mokėtojui lengvata nesuteikiama jeigu per praeitus kalendorinius metus savivaldybės taryba nebuvo suteikusi valstybinės žemės nuomos mokesčio lengvatos. Pareiškėjui lengvata buvo  suteikta 2023 m., todėl už nuosavybės teise registruotą sklypą, esantį Marijampolėje, </w:t>
                    </w:r>
                    <w:r>
                      <w:rPr>
                        <w:rFonts w:ascii="Verdana" w:hAnsi="Verdana"/>
                        <w:i/>
                        <w:szCs w:val="24"/>
                        <w:lang w:eastAsia="lt-LT"/>
                      </w:rPr>
                      <w:t>(duomenys neskelbtini)</w:t>
                    </w:r>
                    <w:r>
                      <w:rPr>
                        <w:rFonts w:ascii="Verdana" w:hAnsi="Verdana"/>
                        <w:szCs w:val="24"/>
                        <w:lang w:eastAsia="lt-LT"/>
                      </w:rPr>
                      <w:t xml:space="preserve"> (apmokestintas sklypo plotas – 2,6850 ha), žemės mokesčio lengvata 2024 m. netaikoma.</w:t>
                    </w:r>
                  </w:p>
                </w:tc>
              </w:tr>
              <w:tr>
                <w:trPr>
                  <w:trHeight w:val="926"/>
                </w:trPr>
                <w:tc>
                  <w:tcPr>
                    <w:tcW w:w="326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44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Finansų ir strateginio planavimo skyrius.</w:t>
                    </w:r>
                  </w:p>
                  <w:p>
                    <w:pPr>
                      <w:jc w:val="both"/>
                      <w:rPr>
                        <w:rFonts w:ascii="Verdana" w:hAnsi="Verdana"/>
                        <w:szCs w:val="24"/>
                        <w:lang w:eastAsia="lt-LT"/>
                      </w:rPr>
                    </w:pPr>
                    <w:r>
                      <w:rPr>
                        <w:rFonts w:ascii="Verdana" w:hAnsi="Verdana"/>
                        <w:szCs w:val="24"/>
                        <w:lang w:eastAsia="lt-LT"/>
                      </w:rPr>
                      <w:t>Vyriausioji specialistė Jolita Pėtelė.</w:t>
                    </w:r>
                  </w:p>
                </w:tc>
              </w:tr>
              <w:tr>
                <w:trPr>
                  <w:trHeight w:val="926"/>
                </w:trPr>
                <w:tc>
                  <w:tcPr>
                    <w:tcW w:w="326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447"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p>
                  <w:p>
                    <w:pPr>
                      <w:jc w:val="center"/>
                      <w:rPr>
                        <w:rFonts w:ascii="Verdana" w:hAnsi="Verdana"/>
                        <w:szCs w:val="24"/>
                        <w:lang w:eastAsia="lt-LT"/>
                      </w:rPr>
                    </w:pPr>
                    <w:r>
                      <w:rPr>
                        <w:rFonts w:ascii="Verdana" w:hAnsi="Verdana"/>
                        <w:szCs w:val="24"/>
                        <w:lang w:eastAsia="lt-LT"/>
                      </w:rPr>
                      <w:t>-</w:t>
                    </w:r>
                  </w:p>
                </w:tc>
              </w:tr>
              <w:tr>
                <w:trPr>
                  <w:trHeight w:val="561"/>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Projektas turi būti suderintas</w:t>
                    </w:r>
                  </w:p>
                </w:tc>
                <w:tc>
                  <w:tcPr>
                    <w:tcW w:w="6447" w:type="dxa"/>
                    <w:tcBorders>
                      <w:top w:val="single" w:sz="4" w:space="0" w:color="auto"/>
                      <w:left w:val="single" w:sz="4" w:space="0" w:color="auto"/>
                      <w:bottom w:val="single" w:sz="4" w:space="0" w:color="auto"/>
                      <w:right w:val="single" w:sz="4" w:space="0" w:color="auto"/>
                    </w:tcBorders>
                  </w:tcPr>
                  <w:p>
                    <w:pPr>
                      <w:spacing w:line="276" w:lineRule="auto"/>
                      <w:rPr>
                        <w:rFonts w:ascii="Verdana" w:hAnsi="Verdana"/>
                        <w:szCs w:val="24"/>
                        <w:lang w:eastAsia="lt-LT"/>
                      </w:rPr>
                    </w:pPr>
                    <w:r>
                      <w:rPr>
                        <w:rFonts w:ascii="Verdana" w:hAnsi="Verdana"/>
                        <w:szCs w:val="24"/>
                        <w:lang w:eastAsia="lt-LT"/>
                      </w:rPr>
                      <w:t>Finansų ir strateginio planavimo skyriumi, Teisės ir civilinės metrikacijos skyriumi, Administracijos direktoriumi.</w:t>
                    </w:r>
                  </w:p>
                </w:tc>
              </w:tr>
              <w:tr>
                <w:trPr>
                  <w:trHeight w:val="546"/>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Pranešėjas</w:t>
                    </w:r>
                  </w:p>
                </w:tc>
                <w:tc>
                  <w:tcPr>
                    <w:tcW w:w="6447" w:type="dxa"/>
                    <w:tcBorders>
                      <w:top w:val="single" w:sz="4" w:space="0" w:color="auto"/>
                      <w:left w:val="single" w:sz="4" w:space="0" w:color="auto"/>
                      <w:bottom w:val="single" w:sz="4" w:space="0" w:color="auto"/>
                      <w:right w:val="single" w:sz="4" w:space="0" w:color="auto"/>
                    </w:tcBorders>
                  </w:tcPr>
                  <w:p>
                    <w:pPr>
                      <w:spacing w:line="276" w:lineRule="auto"/>
                      <w:jc w:val="both"/>
                      <w:rPr>
                        <w:rFonts w:ascii="Verdana" w:hAnsi="Verdana"/>
                        <w:szCs w:val="24"/>
                        <w:lang w:eastAsia="lt-LT"/>
                      </w:rPr>
                    </w:pPr>
                    <w:r>
                      <w:rPr>
                        <w:rFonts w:ascii="Verdana" w:hAnsi="Verdana"/>
                        <w:szCs w:val="24"/>
                        <w:lang w:eastAsia="lt-LT"/>
                      </w:rPr>
                      <w:t xml:space="preserve">Finansų ir strateginio planavimo skyriaus vedėja </w:t>
                    </w:r>
                  </w:p>
                  <w:p>
                    <w:pPr>
                      <w:spacing w:line="276" w:lineRule="auto"/>
                      <w:jc w:val="both"/>
                      <w:rPr>
                        <w:rFonts w:ascii="Verdana" w:hAnsi="Verdana"/>
                        <w:szCs w:val="24"/>
                        <w:lang w:eastAsia="lt-LT"/>
                      </w:rPr>
                    </w:pPr>
                    <w:r>
                      <w:rPr>
                        <w:rFonts w:ascii="Verdana" w:hAnsi="Verdana"/>
                        <w:szCs w:val="24"/>
                        <w:lang w:eastAsia="lt-LT"/>
                      </w:rPr>
                      <w:t>Laima Malinauskienė</w:t>
                    </w:r>
                  </w:p>
                </w:tc>
              </w:tr>
              <w:tr>
                <w:trPr>
                  <w:trHeight w:val="546"/>
                </w:trPr>
                <w:tc>
                  <w:tcPr>
                    <w:tcW w:w="3267"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447" w:type="dxa"/>
                    <w:tcBorders>
                      <w:top w:val="single" w:sz="4" w:space="0" w:color="auto"/>
                      <w:left w:val="single" w:sz="4" w:space="0" w:color="auto"/>
                      <w:bottom w:val="single" w:sz="4" w:space="0" w:color="auto"/>
                      <w:right w:val="single" w:sz="4" w:space="0" w:color="auto"/>
                    </w:tcBorders>
                  </w:tcPr>
                  <w:p>
                    <w:pPr>
                      <w:spacing w:line="276" w:lineRule="auto"/>
                      <w:rPr>
                        <w:rFonts w:ascii="Verdana" w:hAnsi="Verdana"/>
                        <w:szCs w:val="24"/>
                        <w:lang w:eastAsia="lt-LT"/>
                      </w:rPr>
                    </w:pPr>
                    <w:r>
                      <w:rPr>
                        <w:rFonts w:ascii="Verdana" w:hAnsi="Verdana"/>
                        <w:szCs w:val="24"/>
                        <w:lang w:eastAsia="lt-LT"/>
                      </w:rPr>
                      <w:t>Finansų ir strateginio planavimo skyriui,</w:t>
                    </w:r>
                  </w:p>
                  <w:p>
                    <w:pPr>
                      <w:spacing w:line="276" w:lineRule="auto"/>
                      <w:jc w:val="both"/>
                      <w:rPr>
                        <w:rFonts w:ascii="Verdana" w:hAnsi="Verdana"/>
                        <w:szCs w:val="24"/>
                        <w:lang w:eastAsia="lt-LT"/>
                      </w:rPr>
                    </w:pPr>
                    <w:r>
                      <w:rPr>
                        <w:rFonts w:ascii="Verdana" w:hAnsi="Verdana"/>
                        <w:szCs w:val="24"/>
                        <w:lang w:eastAsia="lt-LT"/>
                      </w:rPr>
                      <w:t>Valstybinei mokesčių inspekcijai prie LR Finansų ministerijos.</w:t>
                    </w:r>
                  </w:p>
                </w:tc>
              </w:tr>
            </w:tbl>
            <w:p>
              <w:pPr>
                <w:rPr>
                  <w:rFonts w:ascii="Verdana" w:hAnsi="Verdana"/>
                  <w:szCs w:val="24"/>
                  <w:lang w:eastAsia="lt-LT"/>
                </w:rPr>
              </w:pPr>
            </w:p>
          </w:sdtContent>
        </w:sdt>
        <w:sdt>
          <w:sdtPr>
            <w:alias w:val="signatura"/>
            <w:tag w:val="part_d1f3887cf5834166a850b12841e133ec"/>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sdtContent>
        </w:sdt>
      </w:sdtContent>
    </w:sdt>
    <w:sectPr>
      <w:headerReference w:type="first" r:id="rId15"/>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3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65B4E11C-C198-4DE1-8120-E08BC6BBAE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yperlink" TargetMode="External" Target="https://www.e-tar.lt/portal/lt/legalAct/TAR.D267FBDC094B/asr"/>
  <Relationship Id="rId15" Type="http://schemas.openxmlformats.org/officeDocument/2006/relationships/header" Target="head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b637bf92664f139621f79b6a6ec03d" PartId="b8cdba6ba4504a199b4da9d1350d3be0">
    <Part Type="preambule" DocPartId="558e394b9ac047b88fd20dfa21e30cfa" PartId="08f37ccb49ba43cd9e0cad4abcea8455"/>
    <Part Type="punktas" Nr="1" Abbr="1 p." DocPartId="27bf271f03fe451fb4311b7d3da8ac6f" PartId="61e5452d1c8f4ac78e269cdccaf38833"/>
    <Part Type="punktas" Nr="2" Abbr="2 p." DocPartId="8648918932db4055a20a916cf1d225c7" PartId="b750f03b4bc3411da97a6ebb80cb5b6b"/>
    <Part Type="skirsnis" Title="MARIJAMPOLĖS SAVIVALDYBĖS ADMINISTRACIJOS" DocPartId="6bcb28812d78466ab71441a247527eae" PartId="de5162c9735c4449b1718d6dee16f77d"/>
    <Part Type="skyrius" Nr="999" Title="AIŠKINAMASIS RAŠTAS DĖL ŽEMĖS MOKESČIO LENGVATOS" DocPartId="90a22533f37f48e287cc1a14b16e1d73" PartId="136f8409bb7642ffbcd979fd37f96db7"/>
    <Part Type="signatura" DocPartId="e3d2591ab11744aeb2f03654e62aa53b" PartId="d1f3887cf5834166a850b12841e133ec"/>
  </Part>
</Parts>
</file>

<file path=customXml/itemProps1.xml><?xml version="1.0" encoding="utf-8"?>
<ds:datastoreItem xmlns:ds="http://schemas.openxmlformats.org/officeDocument/2006/customXml" ds:itemID="{E8164841-53A9-4966-AF1C-D8F006F0C4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549</Words>
  <Characters>4133</Characters>
  <Application>Microsoft Office Word</Application>
  <DocSecurity>4</DocSecurity>
  <Lines>158</Lines>
  <Paragraphs>48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4634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2024-12-09T07:49:00Z</dcterms:created>
  <dc:creator>Jolita Pėtelė</dc:creator>
  <lastModifiedBy>adlibuser</lastModifiedBy>
  <lastPrinted>1899-12-31T22:00:00Z</lastPrinted>
  <dcterms:modified xsi:type="dcterms:W3CDTF">2024-12-09T07:49:00Z</dcterms:modified>
  <revision>2</revision>
  <dc:title/>
</coreProperties>
</file>