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e76b8c9761f4d4a8b5dec8fb29a8f83"/>
        <w:lock w:val="sdtLocked"/>
        <w:richText/>
      </w:sdtPr>
      <w:sdtContent>
        <w:p>
          <w:pPr>
            <w:tabs>
              <w:tab w:val="center" w:pos="4986"/>
              <w:tab w:val="right" w:pos="9972"/>
            </w:tabs>
          </w:pPr>
        </w:p>
        <w:p>
          <w:pPr>
            <w:tabs>
              <w:tab w:val="center" w:pos="4986"/>
              <w:tab w:val="right" w:pos="9972"/>
            </w:tabs>
          </w:pPr>
        </w:p>
        <w:p>
          <w:pPr>
            <w:tabs>
              <w:tab w:val="center" w:pos="4153"/>
              <w:tab w:val="right" w:pos="8306"/>
            </w:tabs>
            <w:jc w:val="right"/>
            <w:rPr>
              <w:b/>
            </w:rPr>
          </w:pPr>
          <w:r>
            <w:rPr>
              <w:b/>
            </w:rPr>
            <w:t>Projektas Nr. XVP-</w:t>
          </w:r>
          <w:r>
            <w:rPr>
              <w:b/>
              <w:lang w:val="en-US"/>
            </w:rPr>
            <w:t>1593</w:t>
          </w:r>
          <w:r>
            <w:rPr>
              <w:b/>
            </w:rPr>
            <w:t>(2)</w:t>
          </w:r>
        </w:p>
        <w:p>
          <w:pPr>
            <w:tabs>
              <w:tab w:val="center" w:pos="4153"/>
              <w:tab w:val="right" w:pos="8306"/>
            </w:tabs>
            <w:ind w:left="6840"/>
            <w:rPr>
              <w:b/>
            </w:rPr>
          </w:pPr>
        </w:p>
        <w:p>
          <w:pPr>
            <w:jc w:val="center"/>
            <w:rPr>
              <w:caps/>
              <w:sz w:val="22"/>
            </w:rPr>
          </w:pPr>
        </w:p>
        <w:p>
          <w:pPr>
            <w:jc w:val="center"/>
            <w:rPr>
              <w:caps/>
              <w:sz w:val="12"/>
              <w:szCs w:val="12"/>
            </w:rPr>
          </w:pPr>
        </w:p>
        <w:p>
          <w:pPr>
            <w:jc w:val="center"/>
            <w:rPr>
              <w:b/>
              <w:bCs/>
              <w:caps/>
            </w:rPr>
          </w:pPr>
          <w:r>
            <w:rPr>
              <w:b/>
              <w:bCs/>
              <w:caps/>
            </w:rPr>
            <w:t>LIETUVOS RESPUBLIKOS</w:t>
          </w:r>
        </w:p>
        <w:p>
          <w:pPr>
            <w:jc w:val="center"/>
            <w:rPr>
              <w:b/>
              <w:caps/>
            </w:rPr>
          </w:pPr>
          <w:r>
            <w:rPr>
              <w:b/>
              <w:caps/>
            </w:rPr>
            <w:t>KARINĖS JĖGOS NAUDOJIMO STATUTO 1, 2, 3, 8, 10, 18 STRAIPSNIŲ PAKEITIMO IR statuto PAPILDYMO 18 STRAIPSNIU</w:t>
          </w:r>
        </w:p>
        <w:p>
          <w:pPr>
            <w:jc w:val="center"/>
            <w:rPr>
              <w:caps/>
            </w:rPr>
          </w:pPr>
          <w:r>
            <w:rPr>
              <w:b/>
              <w:caps/>
            </w:rPr>
            <w:t>ĮSTATYMAS</w:t>
          </w:r>
        </w:p>
        <w:p>
          <w:pPr>
            <w:jc w:val="center"/>
            <w:rPr>
              <w:b/>
              <w:caps/>
            </w:rPr>
          </w:pPr>
        </w:p>
        <w:p>
          <w:pPr>
            <w:jc w:val="center"/>
            <w:rPr>
              <w:szCs w:val="24"/>
            </w:rPr>
          </w:pPr>
          <w:r>
            <w:rPr>
              <w:szCs w:val="24"/>
              <w:lang w:val="en-US"/>
            </w:rPr>
            <w:t xml:space="preserve">2026 </w:t>
          </w:r>
          <w:r>
            <w:rPr>
              <w:szCs w:val="24"/>
            </w:rPr>
            <w:t xml:space="preserve">  m.                      d. Nr. </w:t>
          </w:r>
        </w:p>
        <w:p>
          <w:pPr>
            <w:jc w:val="center"/>
            <w:rPr>
              <w:szCs w:val="24"/>
            </w:rPr>
          </w:pPr>
          <w:r>
            <w:rPr>
              <w:szCs w:val="24"/>
            </w:rPr>
            <w:t>Vilnius</w:t>
          </w:r>
        </w:p>
        <w:p>
          <w:pPr>
            <w:spacing w:line="276" w:lineRule="auto"/>
            <w:jc w:val="center"/>
            <w:rPr>
              <w:sz w:val="22"/>
            </w:rPr>
          </w:pPr>
        </w:p>
        <w:p>
          <w:pPr>
            <w:tabs>
              <w:tab w:val="center" w:pos="4153"/>
              <w:tab w:val="right" w:pos="8306"/>
            </w:tabs>
            <w:spacing w:line="276" w:lineRule="auto"/>
            <w:rPr>
              <w:rFonts w:ascii="TimesLT" w:hAnsi="TimesLT"/>
              <w:lang w:val="en-US"/>
            </w:rPr>
          </w:pPr>
        </w:p>
        <w:sdt>
          <w:sdtPr>
            <w:alias w:val="1 str."/>
            <w:tag w:val="part_6712e4becc1146dd9da1d445603a91cc"/>
            <w:lock w:val="sdtLocked"/>
            <w:richText/>
          </w:sdtPr>
          <w:sdtContent>
            <w:p>
              <w:pPr>
                <w:spacing w:line="276" w:lineRule="auto"/>
                <w:ind w:firstLine="720"/>
                <w:jc w:val="both"/>
                <w:rPr>
                  <w:b/>
                  <w:bCs/>
                  <w:kern w:val="2"/>
                  <w:szCs w:val="24"/>
                </w:rPr>
              </w:pPr>
              <w:sdt>
                <w:sdtPr>
                  <w:alias w:val="Numeris"/>
                  <w:tag w:val="nr_6712e4becc1146dd9da1d445603a91cc"/>
                  <w:lock w:val="sdtLocked"/>
                  <w:richText/>
                </w:sdtPr>
                <w:sdtContent>
                  <w:r>
                    <w:rPr>
                      <w:b/>
                      <w:bCs/>
                      <w:kern w:val="2"/>
                      <w:szCs w:val="24"/>
                    </w:rPr>
                    <w:t>1</w:t>
                  </w:r>
                </w:sdtContent>
              </w:sdt>
              <w:r>
                <w:rPr>
                  <w:b/>
                  <w:bCs/>
                  <w:kern w:val="2"/>
                  <w:szCs w:val="24"/>
                </w:rPr>
                <w:t xml:space="preserve"> straipsnis. </w:t>
              </w:r>
              <w:sdt>
                <w:sdtPr>
                  <w:alias w:val="Pavadinimas"/>
                  <w:tag w:val="title_6712e4becc1146dd9da1d445603a91cc"/>
                  <w:lock w:val="sdtLocked"/>
                  <w:richText/>
                </w:sdtPr>
                <w:sdtContent>
                  <w:r>
                    <w:rPr>
                      <w:b/>
                      <w:bCs/>
                      <w:kern w:val="2"/>
                      <w:szCs w:val="24"/>
                    </w:rPr>
                    <w:t>1 straipsnio pakeitimas</w:t>
                  </w:r>
                </w:sdtContent>
              </w:sdt>
            </w:p>
            <w:sdt>
              <w:sdtPr>
                <w:alias w:val="1 str. 1 d."/>
                <w:tag w:val="part_6ef099f276aa47c5a5e4ce75ac61becb"/>
                <w:lock w:val="sdtLocked"/>
                <w:richText/>
              </w:sdtPr>
              <w:sdtContent>
                <w:p>
                  <w:pPr>
                    <w:spacing w:line="276" w:lineRule="auto"/>
                    <w:ind w:firstLine="720"/>
                    <w:jc w:val="both"/>
                    <w:rPr>
                      <w:bCs/>
                      <w:kern w:val="2"/>
                      <w:szCs w:val="24"/>
                    </w:rPr>
                  </w:pPr>
                  <w:r>
                    <w:rPr>
                      <w:bCs/>
                      <w:kern w:val="2"/>
                      <w:szCs w:val="24"/>
                    </w:rPr>
                    <w:t>Pakeisti 1 straipsnį ir jį išdėstyti taip:</w:t>
                  </w:r>
                </w:p>
                <w:sdt>
                  <w:sdtPr>
                    <w:alias w:val="citata"/>
                    <w:tag w:val="part_c0cb821205a74816a81d9ec8f20dfaf5"/>
                    <w:lock w:val="sdtLocked"/>
                    <w:richText/>
                  </w:sdtPr>
                  <w:sdtContent>
                    <w:sdt>
                      <w:sdtPr>
                        <w:alias w:val="1 str."/>
                        <w:tag w:val="part_3bfb9f1ec2bb45e38d4427ed8bf14c9a"/>
                        <w:lock w:val="sdtLocked"/>
                        <w:richText/>
                      </w:sdtPr>
                      <w:sdtContent>
                        <w:p>
                          <w:pPr>
                            <w:ind w:firstLine="744"/>
                            <w:rPr>
                              <w:b/>
                              <w:szCs w:val="24"/>
                              <w:lang w:eastAsia="lt-LT"/>
                            </w:rPr>
                          </w:pPr>
                          <w:r>
                            <w:rPr>
                              <w:bCs/>
                              <w:kern w:val="2"/>
                              <w:szCs w:val="24"/>
                            </w:rPr>
                            <w:t>„</w:t>
                          </w:r>
                          <w:sdt>
                            <w:sdtPr>
                              <w:alias w:val="Numeris"/>
                              <w:tag w:val="nr_3bfb9f1ec2bb45e38d4427ed8bf14c9a"/>
                              <w:lock w:val="sdtLocked"/>
                              <w:richText/>
                            </w:sdtPr>
                            <w:sdtContent>
                              <w:r>
                                <w:rPr>
                                  <w:b/>
                                  <w:szCs w:val="24"/>
                                  <w:lang w:eastAsia="lt-LT"/>
                                </w:rPr>
                                <w:t>1</w:t>
                              </w:r>
                            </w:sdtContent>
                          </w:sdt>
                          <w:r>
                            <w:rPr>
                              <w:b/>
                              <w:szCs w:val="24"/>
                              <w:lang w:eastAsia="lt-LT"/>
                            </w:rPr>
                            <w:t xml:space="preserve"> straipsnis. </w:t>
                          </w:r>
                          <w:sdt>
                            <w:sdtPr>
                              <w:alias w:val="Pavadinimas"/>
                              <w:tag w:val="title_3bfb9f1ec2bb45e38d4427ed8bf14c9a"/>
                              <w:lock w:val="sdtLocked"/>
                              <w:richText/>
                            </w:sdtPr>
                            <w:sdtContent>
                              <w:r>
                                <w:rPr>
                                  <w:b/>
                                  <w:szCs w:val="24"/>
                                  <w:lang w:eastAsia="lt-LT"/>
                                </w:rPr>
                                <w:t>Karinės jėgos naudojimo statuto paskirtis</w:t>
                              </w:r>
                            </w:sdtContent>
                          </w:sdt>
                        </w:p>
                        <w:sdt>
                          <w:sdtPr>
                            <w:alias w:val="1 str. 1 d."/>
                            <w:tag w:val="part_474e6fc2d40346118c62861a7cb4013c"/>
                            <w:lock w:val="sdtLocked"/>
                            <w:richText/>
                          </w:sdtPr>
                          <w:sdtContent>
                            <w:p>
                              <w:pPr>
                                <w:spacing w:line="276" w:lineRule="auto"/>
                                <w:ind w:firstLine="720"/>
                                <w:jc w:val="both"/>
                                <w:rPr>
                                  <w:color w:val="000000"/>
                                  <w:shd w:val="clear" w:color="auto" w:fill="FFFFFF"/>
                                </w:rPr>
                              </w:pPr>
                              <w:r>
                                <w:rPr>
                                  <w:color w:val="000000"/>
                                  <w:shd w:val="clear" w:color="auto" w:fill="FFFFFF"/>
                                </w:rPr>
                                <w:t>Karinės jėgos naudojimo statuto (toliau – Statutas) paskirtis – nustatyti bendruosius karinės jėgos naudojimo principus ir reikalavimus, karinės jėgos naudojimo įgyvendinant Lietuvos kariuomenės uždavinius taikos metu tvarką,</w:t>
                              </w:r>
                              <w:r>
                                <w:rPr>
                                  <w:szCs w:val="24"/>
                                </w:rPr>
                                <w:t xml:space="preserve"> </w:t>
                              </w:r>
                              <w:r>
                                <w:rPr>
                                  <w:bCs/>
                                  <w:szCs w:val="24"/>
                                </w:rPr>
                                <w:t>taip pat nustatyti žalos, atsiradusios taikos metu dėl karinės jėgos naudojimo, kompensavimo ir atlyginimo pagrindus ir tvarką</w:t>
                              </w:r>
                              <w:r>
                                <w:rPr>
                                  <w:bCs/>
                                  <w:color w:val="000000"/>
                                  <w:shd w:val="clear" w:color="auto" w:fill="FFFFFF"/>
                                </w:rPr>
                                <w:t>.“</w:t>
                              </w:r>
                            </w:p>
                            <w:p>
                              <w:pPr>
                                <w:spacing w:line="276" w:lineRule="auto"/>
                                <w:ind w:firstLine="720"/>
                                <w:jc w:val="both"/>
                                <w:rPr>
                                  <w:b/>
                                  <w:bCs/>
                                  <w:kern w:val="2"/>
                                  <w:szCs w:val="24"/>
                                </w:rPr>
                              </w:pPr>
                            </w:p>
                          </w:sdtContent>
                        </w:sdt>
                      </w:sdtContent>
                    </w:sdt>
                  </w:sdtContent>
                </w:sdt>
              </w:sdtContent>
            </w:sdt>
          </w:sdtContent>
        </w:sdt>
        <w:sdt>
          <w:sdtPr>
            <w:alias w:val="2 str."/>
            <w:tag w:val="part_f81dc8a8494846ea91bfe59602cd1cf3"/>
            <w:lock w:val="sdtLocked"/>
            <w:richText/>
          </w:sdtPr>
          <w:sdtContent>
            <w:p>
              <w:pPr>
                <w:spacing w:line="276" w:lineRule="auto"/>
                <w:ind w:firstLine="720"/>
                <w:jc w:val="both"/>
                <w:rPr>
                  <w:b/>
                  <w:bCs/>
                  <w:kern w:val="2"/>
                  <w:szCs w:val="24"/>
                </w:rPr>
              </w:pPr>
              <w:sdt>
                <w:sdtPr>
                  <w:alias w:val="Numeris"/>
                  <w:tag w:val="nr_f81dc8a8494846ea91bfe59602cd1cf3"/>
                  <w:lock w:val="sdtLocked"/>
                  <w:richText/>
                </w:sdtPr>
                <w:sdtContent>
                  <w:r>
                    <w:rPr>
                      <w:b/>
                      <w:bCs/>
                      <w:kern w:val="2"/>
                      <w:szCs w:val="24"/>
                    </w:rPr>
                    <w:t>2</w:t>
                  </w:r>
                </w:sdtContent>
              </w:sdt>
              <w:r>
                <w:rPr>
                  <w:b/>
                  <w:bCs/>
                  <w:kern w:val="2"/>
                  <w:szCs w:val="24"/>
                </w:rPr>
                <w:t xml:space="preserve"> straipsnis. </w:t>
              </w:r>
              <w:sdt>
                <w:sdtPr>
                  <w:alias w:val="Pavadinimas"/>
                  <w:tag w:val="title_f81dc8a8494846ea91bfe59602cd1cf3"/>
                  <w:lock w:val="sdtLocked"/>
                  <w:richText/>
                </w:sdtPr>
                <w:sdtContent>
                  <w:r>
                    <w:rPr>
                      <w:b/>
                      <w:bCs/>
                      <w:kern w:val="2"/>
                      <w:szCs w:val="24"/>
                    </w:rPr>
                    <w:t>2 straipsnio pakeitimas</w:t>
                  </w:r>
                </w:sdtContent>
              </w:sdt>
            </w:p>
            <w:sdt>
              <w:sdtPr>
                <w:alias w:val="2 str. 1 d."/>
                <w:tag w:val="part_34838379d8e6434bbc5d8fed9edeba59"/>
                <w:lock w:val="sdtLocked"/>
                <w:richText/>
              </w:sdtPr>
              <w:sdtContent>
                <w:p>
                  <w:pPr>
                    <w:spacing w:line="276" w:lineRule="auto"/>
                    <w:ind w:firstLine="720"/>
                    <w:jc w:val="both"/>
                    <w:rPr>
                      <w:bCs/>
                      <w:kern w:val="2"/>
                      <w:szCs w:val="24"/>
                    </w:rPr>
                  </w:pPr>
                  <w:r>
                    <w:rPr>
                      <w:bCs/>
                      <w:kern w:val="2"/>
                      <w:szCs w:val="24"/>
                    </w:rPr>
                    <w:t>Pakeisti 2 straipsnio 6 dalį ir ją išdėstyti taip:</w:t>
                  </w:r>
                </w:p>
                <w:sdt>
                  <w:sdtPr>
                    <w:alias w:val="citata"/>
                    <w:tag w:val="part_27e52ccaf3b54056bb5c6fd05514a7fb"/>
                    <w:lock w:val="sdtLocked"/>
                    <w:richText/>
                  </w:sdtPr>
                  <w:sdtContent>
                    <w:sdt>
                      <w:sdtPr>
                        <w:alias w:val="6 d."/>
                        <w:tag w:val="part_637d2d55bc064839a04d8c63b264eb4e"/>
                        <w:lock w:val="sdtLocked"/>
                        <w:richText/>
                      </w:sdtPr>
                      <w:sdtContent>
                        <w:p>
                          <w:pPr>
                            <w:spacing w:line="276" w:lineRule="auto"/>
                            <w:ind w:firstLine="720"/>
                            <w:jc w:val="both"/>
                            <w:rPr>
                              <w:color w:val="000000"/>
                              <w:shd w:val="clear" w:color="auto" w:fill="FFFFFF"/>
                            </w:rPr>
                          </w:pPr>
                          <w:r>
                            <w:rPr>
                              <w:bCs/>
                              <w:kern w:val="2"/>
                              <w:szCs w:val="24"/>
                            </w:rPr>
                            <w:t>„</w:t>
                          </w:r>
                          <w:sdt>
                            <w:sdtPr>
                              <w:alias w:val="Numeris"/>
                              <w:tag w:val="nr_637d2d55bc064839a04d8c63b264eb4e"/>
                              <w:lock w:val="sdtLocked"/>
                              <w:richText/>
                            </w:sdtPr>
                            <w:sdtContent>
                              <w:r>
                                <w:t>6</w:t>
                              </w:r>
                            </w:sdtContent>
                          </w:sdt>
                          <w:r>
                            <w:t xml:space="preserve">. </w:t>
                          </w:r>
                          <w:r>
                            <w:rPr>
                              <w:color w:val="000000"/>
                              <w:shd w:val="clear" w:color="auto" w:fill="FFFFFF"/>
                            </w:rPr>
                            <w:t xml:space="preserve">Kitos Statute vartojamos sąvokos suprantamos taip, kaip apibrėžiamos Lietuvos Respublikos </w:t>
                          </w:r>
                          <w:r>
                            <w:rPr>
                              <w:iCs/>
                              <w:shd w:val="clear" w:color="auto" w:fill="FFFFFF"/>
                            </w:rPr>
                            <w:t>aviacijos įstatyme</w:t>
                          </w:r>
                          <w:r>
                            <w:rPr>
                              <w:color w:val="000000"/>
                              <w:shd w:val="clear" w:color="auto" w:fill="FFFFFF"/>
                            </w:rPr>
                            <w:t xml:space="preserve">, </w:t>
                          </w:r>
                          <w:r>
                            <w:rPr>
                              <w:bCs/>
                              <w:color w:val="000000"/>
                              <w:shd w:val="clear" w:color="auto" w:fill="FFFFFF"/>
                            </w:rPr>
                            <w:t>Lietuvos Respublikos civiliniame kodekse,</w:t>
                          </w:r>
                          <w:r>
                            <w:rPr>
                              <w:color w:val="000000"/>
                              <w:shd w:val="clear" w:color="auto" w:fill="FFFFFF"/>
                            </w:rPr>
                            <w:t xml:space="preserve"> Lietuvos Respublikos </w:t>
                          </w:r>
                          <w:r>
                            <w:rPr>
                              <w:iCs/>
                              <w:shd w:val="clear" w:color="auto" w:fill="FFFFFF"/>
                            </w:rPr>
                            <w:t>ginklų ir šaudmenų kontrolės įstatyme</w:t>
                          </w:r>
                          <w:r>
                            <w:rPr>
                              <w:color w:val="000000"/>
                              <w:shd w:val="clear" w:color="auto" w:fill="FFFFFF"/>
                            </w:rPr>
                            <w:t xml:space="preserve">, Lietuvos Respublikos karo policijos įstatyme, Lietuvos Respublikos </w:t>
                          </w:r>
                          <w:r>
                            <w:rPr>
                              <w:iCs/>
                              <w:shd w:val="clear" w:color="auto" w:fill="FFFFFF"/>
                            </w:rPr>
                            <w:t>krašto apsaugos sistemos organizavimo ir karo tarnybos įstatyme</w:t>
                          </w:r>
                          <w:r>
                            <w:rPr>
                              <w:color w:val="000000"/>
                              <w:shd w:val="clear" w:color="auto" w:fill="FFFFFF"/>
                            </w:rPr>
                            <w:t xml:space="preserve">, Lietuvos Respublikos krizių valdymo ir civilinės saugos įstatyme, Lietuvos Respublikos </w:t>
                          </w:r>
                          <w:r>
                            <w:rPr>
                              <w:iCs/>
                              <w:shd w:val="clear" w:color="auto" w:fill="FFFFFF"/>
                            </w:rPr>
                            <w:t>nacionalinio saugumo pagrindų įstatyme</w:t>
                          </w:r>
                          <w:r>
                            <w:rPr>
                              <w:shd w:val="clear" w:color="auto" w:fill="FFFFFF"/>
                            </w:rPr>
                            <w:t xml:space="preserve">, Lietuvos Respublikos </w:t>
                          </w:r>
                          <w:r>
                            <w:rPr>
                              <w:iCs/>
                              <w:shd w:val="clear" w:color="auto" w:fill="FFFFFF"/>
                            </w:rPr>
                            <w:t>tarptautinių operacijų, pratybų ir kitų karinio bendradarbiavimo renginių įstatyme</w:t>
                          </w:r>
                          <w:r>
                            <w:rPr>
                              <w:shd w:val="clear" w:color="auto" w:fill="FFFFFF"/>
                            </w:rPr>
                            <w:t xml:space="preserve"> ir 2019 m. kovo 12 d. Komisijos deleguotajame reglamente </w:t>
                          </w:r>
                          <w:fldSimple w:instr="HYPERLINK http://eur-lex.europa.eu/legal-content/LIT/TXT/?uri=CELEX:32019R0945&amp;locale=lt \t _blank">
                            <w:r>
                              <w:rPr>
                                <w:color w:val="0000FF" w:themeColor="hyperlink"/>
                                <w:u w:val="single"/>
                              </w:rPr>
                              <w:t>(ES) 2019/945</w:t>
                            </w:r>
                          </w:fldSimple>
                          <w:r>
                            <w:rPr>
                              <w:shd w:val="clear" w:color="auto" w:fill="FFFFFF"/>
                            </w:rPr>
                            <w:t xml:space="preserve"> dėl </w:t>
                          </w:r>
                          <w:r>
                            <w:rPr>
                              <w:color w:val="000000"/>
                              <w:shd w:val="clear" w:color="auto" w:fill="FFFFFF"/>
                            </w:rPr>
                            <w:t>bepiločių orlaivių sistemų ir trečiųjų valstybių bepiločių orlaivių sistemų naudotojų su visais pakeitimais.“</w:t>
                          </w:r>
                        </w:p>
                        <w:p>
                          <w:pPr>
                            <w:spacing w:line="276" w:lineRule="auto"/>
                            <w:ind w:firstLine="720"/>
                            <w:jc w:val="both"/>
                            <w:rPr>
                              <w:color w:val="000000"/>
                              <w:shd w:val="clear" w:color="auto" w:fill="FFFFFF"/>
                            </w:rPr>
                          </w:pPr>
                        </w:p>
                      </w:sdtContent>
                    </w:sdt>
                  </w:sdtContent>
                </w:sdt>
              </w:sdtContent>
            </w:sdt>
          </w:sdtContent>
        </w:sdt>
        <w:sdt>
          <w:sdtPr>
            <w:alias w:val="3 str."/>
            <w:tag w:val="part_1accc2a832cf4756be52d5f9683d8a6e"/>
            <w:lock w:val="sdtLocked"/>
            <w:richText/>
          </w:sdtPr>
          <w:sdtContent>
            <w:p>
              <w:pPr>
                <w:spacing w:line="276" w:lineRule="auto"/>
                <w:ind w:firstLine="720"/>
                <w:jc w:val="both"/>
                <w:rPr>
                  <w:b/>
                  <w:bCs/>
                  <w:kern w:val="2"/>
                  <w:szCs w:val="24"/>
                </w:rPr>
              </w:pPr>
              <w:sdt>
                <w:sdtPr>
                  <w:alias w:val="Numeris"/>
                  <w:tag w:val="nr_1accc2a832cf4756be52d5f9683d8a6e"/>
                  <w:lock w:val="sdtLocked"/>
                  <w:richText/>
                </w:sdtPr>
                <w:sdtContent>
                  <w:r>
                    <w:rPr>
                      <w:b/>
                      <w:bCs/>
                      <w:kern w:val="2"/>
                      <w:szCs w:val="24"/>
                    </w:rPr>
                    <w:t>3</w:t>
                  </w:r>
                </w:sdtContent>
              </w:sdt>
              <w:r>
                <w:rPr>
                  <w:b/>
                  <w:bCs/>
                  <w:kern w:val="2"/>
                  <w:szCs w:val="24"/>
                </w:rPr>
                <w:t xml:space="preserve"> straipsnis. </w:t>
              </w:r>
              <w:sdt>
                <w:sdtPr>
                  <w:alias w:val="Pavadinimas"/>
                  <w:tag w:val="title_1accc2a832cf4756be52d5f9683d8a6e"/>
                  <w:lock w:val="sdtLocked"/>
                  <w:richText/>
                </w:sdtPr>
                <w:sdtContent>
                  <w:r>
                    <w:rPr>
                      <w:b/>
                      <w:bCs/>
                      <w:kern w:val="2"/>
                      <w:szCs w:val="24"/>
                    </w:rPr>
                    <w:t>3 straipsnio pakeitimas</w:t>
                  </w:r>
                </w:sdtContent>
              </w:sdt>
            </w:p>
            <w:sdt>
              <w:sdtPr>
                <w:alias w:val="3 str. 1 d."/>
                <w:tag w:val="part_17587e1cfd6644aabff76ddcbe124d1f"/>
                <w:lock w:val="sdtLocked"/>
                <w:richText/>
              </w:sdtPr>
              <w:sdtContent>
                <w:p>
                  <w:pPr>
                    <w:spacing w:line="276" w:lineRule="auto"/>
                    <w:ind w:firstLine="720"/>
                    <w:jc w:val="both"/>
                    <w:rPr>
                      <w:bCs/>
                      <w:kern w:val="2"/>
                      <w:szCs w:val="24"/>
                    </w:rPr>
                  </w:pPr>
                  <w:r>
                    <w:rPr>
                      <w:bCs/>
                      <w:kern w:val="2"/>
                      <w:szCs w:val="24"/>
                    </w:rPr>
                    <w:t>Pakeisti 3 straipsnio 4 dalį ir ją išdėstyti taip:</w:t>
                  </w:r>
                </w:p>
                <w:sdt>
                  <w:sdtPr>
                    <w:alias w:val="citata"/>
                    <w:tag w:val="part_c74d4d6982a04195bdaa49dd420ef85c"/>
                    <w:lock w:val="sdtLocked"/>
                    <w:richText/>
                  </w:sdtPr>
                  <w:sdtContent>
                    <w:sdt>
                      <w:sdtPr>
                        <w:alias w:val="4 d."/>
                        <w:tag w:val="part_fa6e4c88410440c69db73b2158833ab6"/>
                        <w:lock w:val="sdtLocked"/>
                        <w:richText/>
                      </w:sdtPr>
                      <w:sdtContent>
                        <w:p>
                          <w:pPr>
                            <w:spacing w:line="276" w:lineRule="auto"/>
                            <w:ind w:firstLine="720"/>
                            <w:jc w:val="both"/>
                            <w:rPr>
                              <w:color w:val="000000"/>
                              <w:shd w:val="clear" w:color="auto" w:fill="FFFFFF"/>
                            </w:rPr>
                          </w:pPr>
                          <w:r>
                            <w:rPr>
                              <w:bCs/>
                              <w:kern w:val="2"/>
                              <w:szCs w:val="24"/>
                            </w:rPr>
                            <w:t>„</w:t>
                          </w:r>
                          <w:sdt>
                            <w:sdtPr>
                              <w:alias w:val="Numeris"/>
                              <w:tag w:val="nr_fa6e4c88410440c69db73b2158833ab6"/>
                              <w:lock w:val="sdtLocked"/>
                              <w:richText/>
                            </w:sdtPr>
                            <w:sdtContent>
                              <w:r>
                                <w:rPr>
                                  <w:color w:val="000000"/>
                                </w:rPr>
                                <w:t>4</w:t>
                              </w:r>
                            </w:sdtContent>
                          </w:sdt>
                          <w:r>
                            <w:rPr>
                              <w:color w:val="000000"/>
                            </w:rPr>
                            <w:t xml:space="preserve">. Statutas netaikomas tarptautinių operacijų metu, </w:t>
                          </w:r>
                          <w:r>
                            <w:rPr>
                              <w:bCs/>
                              <w:color w:val="000000"/>
                            </w:rPr>
                            <w:t>išskyrus Statuto 18 straipsnyje nustatyta tvarka kompensuojant ar atlyginant Lietuvos Respublikos teritorijoje padarytą žalą. Tarptautinėse operacijose dalyvaujantys Lietuvos Respub</w:t>
                          </w:r>
                          <w:r>
                            <w:rPr>
                              <w:color w:val="000000"/>
                            </w:rPr>
                            <w:t>likos kariniai vienetai ar kariai, kurių operacinis vadovavimas ir valdymas perduotas kitų valstybių, Jungtinių Tautų, Šiaurės Atlanto sutarties organizacijos ar Europos Sąjungos institucijoms (toliau – tarptautinės institucijos), karinę jėgą naudoja vadovaudamiesi tarptautinių institucijų patvirtintomis kovos veiksmų taisyklėmis. Krašto apsaugos ministras ar jo įgaliotas Lietuvos kariuomenės vadas, atsižvelgdami į tarptautinį operacijos mandatą, Lietuvos Respublikos prisiimtus įsipareigojimus pagal tarptautines sutartis, įvertinę tarptautinėse operacijose dalyvaujančių Lietuvos Respublikos karinių vienetų ar karių uždavinius ir tarptautinių institucijų patvirtintas kovos veiksmų taisykles, gali nustatyti karinės jėgos naudojimo išimtis ir (ar) apribojimus.</w:t>
                          </w:r>
                          <w:r>
                            <w:rPr>
                              <w:bCs/>
                              <w:kern w:val="2"/>
                              <w:szCs w:val="24"/>
                            </w:rPr>
                            <w:t>“</w:t>
                          </w:r>
                        </w:p>
                        <w:p>
                          <w:pPr>
                            <w:spacing w:line="276" w:lineRule="auto"/>
                            <w:ind w:firstLine="720"/>
                            <w:jc w:val="both"/>
                            <w:rPr>
                              <w:b/>
                              <w:bCs/>
                              <w:kern w:val="2"/>
                              <w:szCs w:val="24"/>
                            </w:rPr>
                          </w:pPr>
                        </w:p>
                      </w:sdtContent>
                    </w:sdt>
                  </w:sdtContent>
                </w:sdt>
              </w:sdtContent>
            </w:sdt>
          </w:sdtContent>
        </w:sdt>
        <w:sdt>
          <w:sdtPr>
            <w:alias w:val="4 str."/>
            <w:tag w:val="part_6d012e6b15844511ade25048fef8bd12"/>
            <w:lock w:val="sdtLocked"/>
            <w:richText/>
          </w:sdtPr>
          <w:sdtContent>
            <w:p>
              <w:pPr>
                <w:spacing w:line="276" w:lineRule="auto"/>
                <w:ind w:firstLine="720"/>
                <w:jc w:val="both"/>
                <w:rPr>
                  <w:b/>
                  <w:bCs/>
                  <w:kern w:val="2"/>
                  <w:szCs w:val="24"/>
                </w:rPr>
              </w:pPr>
              <w:sdt>
                <w:sdtPr>
                  <w:alias w:val="Numeris"/>
                  <w:tag w:val="nr_6d012e6b15844511ade25048fef8bd12"/>
                  <w:lock w:val="sdtLocked"/>
                  <w:richText/>
                </w:sdtPr>
                <w:sdtContent>
                  <w:r>
                    <w:rPr>
                      <w:b/>
                      <w:bCs/>
                      <w:kern w:val="2"/>
                      <w:szCs w:val="24"/>
                    </w:rPr>
                    <w:t>4</w:t>
                  </w:r>
                </w:sdtContent>
              </w:sdt>
              <w:r>
                <w:rPr>
                  <w:b/>
                  <w:bCs/>
                  <w:kern w:val="2"/>
                  <w:szCs w:val="24"/>
                </w:rPr>
                <w:t xml:space="preserve"> straipsnis. </w:t>
              </w:r>
              <w:sdt>
                <w:sdtPr>
                  <w:alias w:val="Pavadinimas"/>
                  <w:tag w:val="title_6d012e6b15844511ade25048fef8bd12"/>
                  <w:lock w:val="sdtLocked"/>
                  <w:richText/>
                </w:sdtPr>
                <w:sdtContent>
                  <w:r>
                    <w:rPr>
                      <w:b/>
                      <w:bCs/>
                      <w:kern w:val="2"/>
                      <w:szCs w:val="24"/>
                    </w:rPr>
                    <w:t>8 straipsnio pakeitimas</w:t>
                  </w:r>
                </w:sdtContent>
              </w:sdt>
            </w:p>
            <w:sdt>
              <w:sdtPr>
                <w:alias w:val="4 str. 1 d."/>
                <w:tag w:val="part_bc90b60ba3aa41ff9989f2de8ee1b196"/>
                <w:lock w:val="sdtLocked"/>
                <w:richText/>
              </w:sdtPr>
              <w:sdtContent>
                <w:p>
                  <w:pPr>
                    <w:spacing w:line="276" w:lineRule="auto"/>
                    <w:ind w:firstLine="720"/>
                    <w:jc w:val="both"/>
                    <w:rPr>
                      <w:bCs/>
                      <w:kern w:val="2"/>
                      <w:szCs w:val="24"/>
                    </w:rPr>
                  </w:pPr>
                  <w:r>
                    <w:rPr>
                      <w:bCs/>
                      <w:kern w:val="2"/>
                      <w:szCs w:val="24"/>
                    </w:rPr>
                    <w:t>Pakeisti 8 straipsnio 1 dalies 8 punktą ir jį išdėstyti taip:</w:t>
                  </w:r>
                </w:p>
                <w:sdt>
                  <w:sdtPr>
                    <w:alias w:val="citata"/>
                    <w:tag w:val="part_11d0c571529b4e4a9b27c048839fc8ef"/>
                    <w:lock w:val="sdtLocked"/>
                    <w:richText/>
                  </w:sdtPr>
                  <w:sdtContent>
                    <w:sdt>
                      <w:sdtPr>
                        <w:alias w:val="8 p."/>
                        <w:tag w:val="part_355ba5fdd7384e119283476d086bc59c"/>
                        <w:lock w:val="sdtLocked"/>
                        <w:richText/>
                      </w:sdtPr>
                      <w:sdtContent>
                        <w:p>
                          <w:pPr>
                            <w:spacing w:line="276" w:lineRule="auto"/>
                            <w:ind w:firstLine="720"/>
                            <w:jc w:val="both"/>
                            <w:rPr>
                              <w:kern w:val="2"/>
                              <w:szCs w:val="24"/>
                            </w:rPr>
                          </w:pPr>
                          <w:r>
                            <w:rPr>
                              <w:bCs/>
                              <w:kern w:val="2"/>
                              <w:szCs w:val="24"/>
                            </w:rPr>
                            <w:t>„</w:t>
                          </w:r>
                          <w:sdt>
                            <w:sdtPr>
                              <w:alias w:val="Numeris"/>
                              <w:tag w:val="nr_355ba5fdd7384e119283476d086bc59c"/>
                              <w:lock w:val="sdtLocked"/>
                              <w:richText/>
                            </w:sdtPr>
                            <w:sdtContent>
                              <w:r>
                                <w:rPr>
                                  <w:bCs/>
                                  <w:kern w:val="2"/>
                                  <w:szCs w:val="24"/>
                                </w:rPr>
                                <w:t>8</w:t>
                              </w:r>
                            </w:sdtContent>
                          </w:sdt>
                          <w:r>
                            <w:rPr>
                              <w:bCs/>
                              <w:kern w:val="2"/>
                              <w:szCs w:val="24"/>
                            </w:rPr>
                            <w:t xml:space="preserve">) prieš bepiločius orlaivius </w:t>
                          </w:r>
                          <w:r>
                            <w:rPr>
                              <w:kern w:val="2"/>
                              <w:szCs w:val="24"/>
                            </w:rPr>
                            <w:t xml:space="preserve">arba kitus </w:t>
                          </w:r>
                          <w:r>
                            <w:t>autonomiškai ar nuotoliniu būdu valdomus objektus, judančius oru</w:t>
                          </w:r>
                          <w:r>
                            <w:rPr>
                              <w:kern w:val="2"/>
                              <w:szCs w:val="24"/>
                            </w:rPr>
                            <w:t>, jeigu jų skrydžiai vykdomi nesilaikant bepiločių orlaivių skrydžiams nustatytų sąlygų, apribojimų ar tvarkos, taip pat jeigu jie kelia grėsmę krašto apsaugos sistemos institucijų veiklos saugumui.“</w:t>
                          </w:r>
                        </w:p>
                        <w:p>
                          <w:pPr>
                            <w:spacing w:line="276" w:lineRule="auto"/>
                            <w:ind w:firstLine="720"/>
                            <w:jc w:val="both"/>
                            <w:rPr>
                              <w:bCs/>
                              <w:kern w:val="2"/>
                              <w:szCs w:val="24"/>
                            </w:rPr>
                          </w:pPr>
                        </w:p>
                      </w:sdtContent>
                    </w:sdt>
                  </w:sdtContent>
                </w:sdt>
              </w:sdtContent>
            </w:sdt>
          </w:sdtContent>
        </w:sdt>
        <w:sdt>
          <w:sdtPr>
            <w:alias w:val="5 str."/>
            <w:tag w:val="part_c1afad8384a749088211f162ea968c67"/>
            <w:lock w:val="sdtLocked"/>
            <w:richText/>
          </w:sdtPr>
          <w:sdtContent>
            <w:p>
              <w:pPr>
                <w:spacing w:line="276" w:lineRule="auto"/>
                <w:ind w:firstLine="720"/>
                <w:jc w:val="both"/>
                <w:rPr>
                  <w:b/>
                  <w:bCs/>
                  <w:kern w:val="2"/>
                  <w:szCs w:val="24"/>
                </w:rPr>
              </w:pPr>
              <w:sdt>
                <w:sdtPr>
                  <w:alias w:val="Numeris"/>
                  <w:tag w:val="nr_c1afad8384a749088211f162ea968c67"/>
                  <w:lock w:val="sdtLocked"/>
                  <w:richText/>
                </w:sdtPr>
                <w:sdtContent>
                  <w:r>
                    <w:rPr>
                      <w:b/>
                      <w:bCs/>
                      <w:kern w:val="2"/>
                      <w:szCs w:val="24"/>
                    </w:rPr>
                    <w:t>5</w:t>
                  </w:r>
                </w:sdtContent>
              </w:sdt>
              <w:r>
                <w:rPr>
                  <w:b/>
                  <w:bCs/>
                  <w:kern w:val="2"/>
                  <w:szCs w:val="24"/>
                </w:rPr>
                <w:t xml:space="preserve"> straipsnis. </w:t>
              </w:r>
              <w:sdt>
                <w:sdtPr>
                  <w:alias w:val="Pavadinimas"/>
                  <w:tag w:val="title_c1afad8384a749088211f162ea968c67"/>
                  <w:lock w:val="sdtLocked"/>
                  <w:richText/>
                </w:sdtPr>
                <w:sdtContent>
                  <w:r>
                    <w:rPr>
                      <w:b/>
                      <w:bCs/>
                      <w:kern w:val="2"/>
                      <w:szCs w:val="24"/>
                    </w:rPr>
                    <w:t>10 straipsnio pakeitimas</w:t>
                  </w:r>
                </w:sdtContent>
              </w:sdt>
            </w:p>
            <w:sdt>
              <w:sdtPr>
                <w:alias w:val="5 str. 1 d."/>
                <w:tag w:val="part_853561b6152e4657825f01124d3f7e4e"/>
                <w:lock w:val="sdtLocked"/>
                <w:richText/>
              </w:sdtPr>
              <w:sdtContent>
                <w:p>
                  <w:pPr>
                    <w:spacing w:line="276" w:lineRule="auto"/>
                    <w:ind w:left="1080" w:hanging="360"/>
                    <w:jc w:val="both"/>
                  </w:pPr>
                  <w:sdt>
                    <w:sdtPr>
                      <w:alias w:val="Numeris"/>
                      <w:tag w:val="nr_853561b6152e4657825f01124d3f7e4e"/>
                      <w:lock w:val="sdtLocked"/>
                      <w:richText/>
                    </w:sdtPr>
                    <w:sdtContent>
                      <w:r>
                        <w:t>1</w:t>
                      </w:r>
                    </w:sdtContent>
                  </w:sdt>
                  <w:r>
                    <w:t>. Pakeisti 10 straipsnio 2</w:t>
                  </w:r>
                  <w:r>
                    <w:rPr>
                      <w:vertAlign w:val="superscript"/>
                    </w:rPr>
                    <w:t>1</w:t>
                  </w:r>
                  <w:r>
                    <w:t xml:space="preserve"> dalį ir ją išdėstyti taip:</w:t>
                  </w:r>
                </w:p>
                <w:sdt>
                  <w:sdtPr>
                    <w:alias w:val="citata"/>
                    <w:tag w:val="part_bf77ad24e9cf4992a3d46c919e245388"/>
                    <w:lock w:val="sdtLocked"/>
                    <w:richText/>
                  </w:sdtPr>
                  <w:sdtContent>
                    <w:sdt>
                      <w:sdtPr>
                        <w:alias w:val="2-1 d."/>
                        <w:tag w:val="part_59b4dd0a3aba43dd9a7c472e7ca680c2"/>
                        <w:lock w:val="sdtLocked"/>
                        <w:richText/>
                      </w:sdtPr>
                      <w:sdtContent>
                        <w:p>
                          <w:pPr>
                            <w:spacing w:line="276" w:lineRule="auto"/>
                            <w:ind w:firstLine="720"/>
                            <w:jc w:val="both"/>
                            <w:rPr>
                              <w:bCs/>
                            </w:rPr>
                          </w:pPr>
                          <w:r>
                            <w:t>„</w:t>
                          </w:r>
                          <w:sdt>
                            <w:sdtPr>
                              <w:alias w:val="Numeris"/>
                              <w:tag w:val="nr_59b4dd0a3aba43dd9a7c472e7ca680c2"/>
                              <w:lock w:val="sdtLocked"/>
                              <w:richText/>
                            </w:sdtPr>
                            <w:sdtContent>
                              <w:r>
                                <w:t>2</w:t>
                              </w:r>
                              <w:r>
                                <w:rPr>
                                  <w:vertAlign w:val="superscript"/>
                                </w:rPr>
                                <w:t>1</w:t>
                              </w:r>
                            </w:sdtContent>
                          </w:sdt>
                          <w:r>
                            <w:t xml:space="preserve">. Krašto apsaugos ministro ar jo įgalioto asmens sprendimu karinė jėga gali būti panaudota prieš bepiločius orlaivius </w:t>
                          </w:r>
                          <w:r>
                            <w:rPr>
                              <w:bCs/>
                            </w:rPr>
                            <w:t>arba kitus autonomiškai ar nuotoliniu būdu valdomus objektus, judančius oru draudžiamojoje ar ribojamojoje zonoje, jeigu jų skrydžiai vykdomi nesilaikant kariuomenės vado nustatytos tvarkos.“</w:t>
                          </w:r>
                        </w:p>
                      </w:sdtContent>
                    </w:sdt>
                  </w:sdtContent>
                </w:sdt>
              </w:sdtContent>
            </w:sdt>
            <w:sdt>
              <w:sdtPr>
                <w:alias w:val="5 str. 2 d."/>
                <w:tag w:val="part_ef6d8aeb925244bab92270069714e24f"/>
                <w:lock w:val="sdtLocked"/>
                <w:richText/>
              </w:sdtPr>
              <w:sdtContent>
                <w:p>
                  <w:pPr>
                    <w:spacing w:line="276" w:lineRule="auto"/>
                    <w:ind w:left="1080" w:hanging="360"/>
                    <w:jc w:val="both"/>
                    <w:rPr>
                      <w:bCs/>
                    </w:rPr>
                  </w:pPr>
                  <w:sdt>
                    <w:sdtPr>
                      <w:alias w:val="Numeris"/>
                      <w:tag w:val="nr_ef6d8aeb925244bab92270069714e24f"/>
                      <w:lock w:val="sdtLocked"/>
                      <w:richText/>
                    </w:sdtPr>
                    <w:sdtContent>
                      <w:r>
                        <w:rPr>
                          <w:bCs/>
                        </w:rPr>
                        <w:t>2</w:t>
                      </w:r>
                    </w:sdtContent>
                  </w:sdt>
                  <w:r>
                    <w:rPr>
                      <w:bCs/>
                    </w:rPr>
                    <w:t>. Pakeisti 10 straipsnio 3 dalį ir ją išdėstyti taip:</w:t>
                  </w:r>
                </w:p>
                <w:sdt>
                  <w:sdtPr>
                    <w:alias w:val="citata"/>
                    <w:tag w:val="part_301206db93ef47adb8837c390758cfdb"/>
                    <w:lock w:val="sdtLocked"/>
                    <w:richText/>
                  </w:sdtPr>
                  <w:sdtContent>
                    <w:sdt>
                      <w:sdtPr>
                        <w:alias w:val="3 d."/>
                        <w:tag w:val="part_c7237b3411b346a9933c11dfabfadad6"/>
                        <w:lock w:val="sdtLocked"/>
                        <w:richText/>
                      </w:sdtPr>
                      <w:sdtContent>
                        <w:p>
                          <w:pPr>
                            <w:spacing w:line="276" w:lineRule="auto"/>
                            <w:ind w:firstLine="720"/>
                            <w:jc w:val="both"/>
                            <w:rPr>
                              <w:bCs/>
                            </w:rPr>
                          </w:pPr>
                          <w:r>
                            <w:rPr>
                              <w:bCs/>
                            </w:rPr>
                            <w:t>„</w:t>
                          </w:r>
                          <w:sdt>
                            <w:sdtPr>
                              <w:alias w:val="Numeris"/>
                              <w:tag w:val="nr_c7237b3411b346a9933c11dfabfadad6"/>
                              <w:lock w:val="sdtLocked"/>
                              <w:richText/>
                            </w:sdtPr>
                            <w:sdtContent>
                              <w:r>
                                <w:rPr>
                                  <w:bCs/>
                                </w:rPr>
                                <w:t>3</w:t>
                              </w:r>
                            </w:sdtContent>
                          </w:sdt>
                          <w:r>
                            <w:rPr>
                              <w:bCs/>
                            </w:rPr>
                            <w:t>. Krašto apsaugos ministro ar jo įgalioto asmens sprendimu karinė jėga gali būti panaudota prieš orlaivį arba kitą autonomiškai ar nuotoliniu būdu valdomą objektą, judantį oru, kai nustatyti faktiniai duomenys, rodantys, kad jis naudojamas kaip ginklas siekiant padaryti žalą asmenų gyvybei, sveikatai ar turtui.“</w:t>
                          </w:r>
                        </w:p>
                        <w:p>
                          <w:pPr>
                            <w:spacing w:line="276" w:lineRule="auto"/>
                            <w:ind w:firstLine="720"/>
                            <w:jc w:val="both"/>
                            <w:rPr>
                              <w:b/>
                              <w:bCs/>
                              <w:kern w:val="2"/>
                              <w:szCs w:val="24"/>
                            </w:rPr>
                          </w:pPr>
                        </w:p>
                      </w:sdtContent>
                    </w:sdt>
                  </w:sdtContent>
                </w:sdt>
              </w:sdtContent>
            </w:sdt>
          </w:sdtContent>
        </w:sdt>
        <w:sdt>
          <w:sdtPr>
            <w:alias w:val="6 str."/>
            <w:tag w:val="part_d30098fa4aaa4d169708018a12323eac"/>
            <w:lock w:val="sdtLocked"/>
            <w:richText/>
          </w:sdtPr>
          <w:sdtContent>
            <w:p>
              <w:pPr>
                <w:spacing w:line="276" w:lineRule="auto"/>
                <w:ind w:firstLine="720"/>
                <w:jc w:val="both"/>
                <w:rPr>
                  <w:b/>
                  <w:bCs/>
                  <w:kern w:val="2"/>
                  <w:szCs w:val="24"/>
                </w:rPr>
              </w:pPr>
              <w:sdt>
                <w:sdtPr>
                  <w:alias w:val="Numeris"/>
                  <w:tag w:val="nr_d30098fa4aaa4d169708018a12323eac"/>
                  <w:lock w:val="sdtLocked"/>
                  <w:richText/>
                </w:sdtPr>
                <w:sdtContent>
                  <w:r>
                    <w:rPr>
                      <w:b/>
                      <w:bCs/>
                      <w:kern w:val="2"/>
                      <w:szCs w:val="24"/>
                    </w:rPr>
                    <w:t>6</w:t>
                  </w:r>
                </w:sdtContent>
              </w:sdt>
              <w:r>
                <w:rPr>
                  <w:b/>
                  <w:bCs/>
                  <w:kern w:val="2"/>
                  <w:szCs w:val="24"/>
                </w:rPr>
                <w:t xml:space="preserve"> straipsnis. </w:t>
              </w:r>
              <w:sdt>
                <w:sdtPr>
                  <w:alias w:val="Pavadinimas"/>
                  <w:tag w:val="title_d30098fa4aaa4d169708018a12323eac"/>
                  <w:lock w:val="sdtLocked"/>
                  <w:richText/>
                </w:sdtPr>
                <w:sdtContent>
                  <w:r>
                    <w:rPr>
                      <w:b/>
                      <w:bCs/>
                      <w:kern w:val="2"/>
                      <w:szCs w:val="24"/>
                    </w:rPr>
                    <w:t>Statuto papildymas 18 straipsniu</w:t>
                  </w:r>
                </w:sdtContent>
              </w:sdt>
            </w:p>
            <w:sdt>
              <w:sdtPr>
                <w:alias w:val="6 str. 1 d."/>
                <w:tag w:val="part_4295b6a5261a4540996e388bf4b9eb57"/>
                <w:lock w:val="sdtLocked"/>
                <w:richText/>
              </w:sdtPr>
              <w:sdtContent>
                <w:p>
                  <w:pPr>
                    <w:spacing w:line="276" w:lineRule="auto"/>
                    <w:ind w:firstLine="720"/>
                    <w:jc w:val="both"/>
                    <w:rPr>
                      <w:kern w:val="2"/>
                      <w:szCs w:val="24"/>
                    </w:rPr>
                  </w:pPr>
                  <w:r>
                    <w:rPr>
                      <w:kern w:val="2"/>
                      <w:szCs w:val="24"/>
                    </w:rPr>
                    <w:t>Papildyti Statutą 18 straipsniu:</w:t>
                  </w:r>
                </w:p>
                <w:sdt>
                  <w:sdtPr>
                    <w:alias w:val="citata"/>
                    <w:tag w:val="part_b1b50d61f94f498995ec25c935bb8501"/>
                    <w:lock w:val="sdtLocked"/>
                    <w:richText/>
                  </w:sdtPr>
                  <w:sdtContent>
                    <w:sdt>
                      <w:sdtPr>
                        <w:alias w:val="18 str."/>
                        <w:tag w:val="part_bd0b942bef0348208ba2730d060cb348"/>
                        <w:lock w:val="sdtLocked"/>
                        <w:richText/>
                      </w:sdtPr>
                      <w:sdtContent>
                        <w:p>
                          <w:pPr>
                            <w:spacing w:line="276" w:lineRule="auto"/>
                            <w:ind w:left="2552" w:hanging="1832"/>
                            <w:jc w:val="both"/>
                            <w:rPr>
                              <w:b/>
                              <w:szCs w:val="24"/>
                            </w:rPr>
                          </w:pPr>
                          <w:r>
                            <w:rPr>
                              <w:szCs w:val="24"/>
                            </w:rPr>
                            <w:t>„</w:t>
                          </w:r>
                          <w:sdt>
                            <w:sdtPr>
                              <w:alias w:val="Numeris"/>
                              <w:tag w:val="nr_bd0b942bef0348208ba2730d060cb348"/>
                              <w:lock w:val="sdtLocked"/>
                              <w:richText/>
                            </w:sdtPr>
                            <w:sdtContent>
                              <w:r>
                                <w:rPr>
                                  <w:b/>
                                  <w:szCs w:val="24"/>
                                </w:rPr>
                                <w:t>18</w:t>
                              </w:r>
                            </w:sdtContent>
                          </w:sdt>
                          <w:r>
                            <w:rPr>
                              <w:b/>
                              <w:szCs w:val="24"/>
                            </w:rPr>
                            <w:t xml:space="preserve"> straipsnis.</w:t>
                          </w:r>
                          <w:r>
                            <w:rPr>
                              <w:b/>
                              <w:color w:val="000000"/>
                              <w:szCs w:val="24"/>
                            </w:rPr>
                            <w:t xml:space="preserve"> </w:t>
                          </w:r>
                          <w:sdt>
                            <w:sdtPr>
                              <w:alias w:val="Pavadinimas"/>
                              <w:tag w:val="title_bd0b942bef0348208ba2730d060cb348"/>
                              <w:lock w:val="sdtLocked"/>
                              <w:richText/>
                            </w:sdtPr>
                            <w:sdtContent>
                              <w:r>
                                <w:rPr>
                                  <w:b/>
                                  <w:color w:val="000000"/>
                                  <w:szCs w:val="24"/>
                                </w:rPr>
                                <w:t>Kompensacijos</w:t>
                              </w:r>
                              <w:r>
                                <w:rPr>
                                  <w:b/>
                                  <w:szCs w:val="24"/>
                                </w:rPr>
                                <w:t xml:space="preserve"> skyrimas ar žalos atlyginimas subjektams, patyrusiems žalą dėl </w:t>
                              </w:r>
                              <w:r>
                                <w:rPr>
                                  <w:b/>
                                  <w:bCs/>
                                  <w:szCs w:val="24"/>
                                  <w:lang w:eastAsia="lt-LT"/>
                                </w:rPr>
                                <w:t xml:space="preserve">Lietuvos kariuomenės </w:t>
                              </w:r>
                              <w:r>
                                <w:rPr>
                                  <w:b/>
                                </w:rPr>
                                <w:t xml:space="preserve">arba kitų </w:t>
                              </w:r>
                              <w:r>
                                <w:rPr>
                                  <w:b/>
                                  <w:color w:val="000000"/>
                                  <w:shd w:val="clear" w:color="auto" w:fill="FFFFFF"/>
                                </w:rPr>
                                <w:t>Šiaurės Atlanto sutarties organizacijos</w:t>
                              </w:r>
                              <w:r>
                                <w:rPr>
                                  <w:b/>
                                </w:rPr>
                                <w:t xml:space="preserve"> valstybių ginkluotųjų pajėgų ar jų narių </w:t>
                              </w:r>
                              <w:r>
                                <w:rPr>
                                  <w:b/>
                                  <w:bCs/>
                                  <w:szCs w:val="24"/>
                                  <w:lang w:eastAsia="lt-LT"/>
                                </w:rPr>
                                <w:t>veiksmų</w:t>
                              </w:r>
                              <w:r>
                                <w:rPr>
                                  <w:b/>
                                  <w:szCs w:val="24"/>
                                  <w:lang w:eastAsia="lt-LT"/>
                                </w:rPr>
                                <w:t xml:space="preserve"> naudojant karinę jėgą</w:t>
                              </w:r>
                            </w:sdtContent>
                          </w:sdt>
                        </w:p>
                        <w:sdt>
                          <w:sdtPr>
                            <w:alias w:val="18 str. 1 d."/>
                            <w:tag w:val="part_63121f3b00a64ed584299b4bdc47b13d"/>
                            <w:lock w:val="sdtLocked"/>
                            <w:richText/>
                          </w:sdtPr>
                          <w:sdtContent>
                            <w:p>
                              <w:pPr>
                                <w:tabs>
                                  <w:tab w:val="left" w:pos="720"/>
                                  <w:tab w:val="left" w:pos="1080"/>
                                  <w:tab w:val="left" w:pos="2700"/>
                                </w:tabs>
                                <w:spacing w:line="276" w:lineRule="auto"/>
                                <w:ind w:firstLine="720"/>
                                <w:jc w:val="both"/>
                                <w:rPr>
                                  <w:bCs/>
                                  <w:szCs w:val="24"/>
                                  <w:lang w:eastAsia="lt-LT"/>
                                </w:rPr>
                              </w:pPr>
                              <w:sdt>
                                <w:sdtPr>
                                  <w:alias w:val="Numeris"/>
                                  <w:tag w:val="nr_63121f3b00a64ed584299b4bdc47b13d"/>
                                  <w:lock w:val="sdtLocked"/>
                                  <w:richText/>
                                </w:sdtPr>
                                <w:sdtContent>
                                  <w:r>
                                    <w:rPr>
                                      <w:bCs/>
                                      <w:szCs w:val="24"/>
                                      <w:lang w:eastAsia="lt-LT"/>
                                    </w:rPr>
                                    <w:t>1</w:t>
                                  </w:r>
                                </w:sdtContent>
                              </w:sdt>
                              <w:r>
                                <w:rPr>
                                  <w:bCs/>
                                  <w:szCs w:val="24"/>
                                  <w:lang w:eastAsia="lt-LT"/>
                                </w:rPr>
                                <w:t xml:space="preserve">. Žala, padaryta fiziniam asmeniui, juridiniam asmeniui ar kitai organizacijai dėl Lietuvos kariuomenės </w:t>
                              </w:r>
                              <w:r>
                                <w:rPr>
                                  <w:bCs/>
                                </w:rPr>
                                <w:t xml:space="preserve">arba kitų </w:t>
                              </w:r>
                              <w:r>
                                <w:rPr>
                                  <w:bCs/>
                                  <w:color w:val="000000"/>
                                  <w:shd w:val="clear" w:color="auto" w:fill="FFFFFF"/>
                                </w:rPr>
                                <w:t>Šiaurės Atlanto sutarties organizacijos (toliau – NATO)</w:t>
                              </w:r>
                              <w:r>
                                <w:rPr>
                                  <w:bCs/>
                                </w:rPr>
                                <w:t xml:space="preserve"> valstybių ginkluotųjų pajėgų ar jų narių </w:t>
                              </w:r>
                              <w:r>
                                <w:rPr>
                                  <w:bCs/>
                                  <w:szCs w:val="24"/>
                                  <w:lang w:eastAsia="lt-LT"/>
                                </w:rPr>
                                <w:t>teisėtų veiksmų naudojant karinę jėgą</w:t>
                              </w:r>
                              <w:r>
                                <w:rPr>
                                  <w:bCs/>
                                </w:rPr>
                                <w:t xml:space="preserve"> </w:t>
                              </w:r>
                              <w:r>
                                <w:rPr>
                                  <w:bCs/>
                                  <w:szCs w:val="24"/>
                                  <w:lang w:eastAsia="lt-LT"/>
                                </w:rPr>
                                <w:t xml:space="preserve">Statuto nustatytais atvejais, kompensuojama Vyriausybės įgaliotos institucijos sprendimu, kompensuojant tiesioginius nuostolius, jeigu žala padaryta ne subjektui, kurio veiksmų keliamai grėsmei suvaldyti buvo panaudota karinė jėga. </w:t>
                              </w:r>
                              <w:r>
                                <w:rPr>
                                  <w:bCs/>
                                </w:rPr>
                                <w:t>Atsižvelgiant į kompensacijos dydį ir valstybės finansines galimybes kompensacijos išmokėjimas gali būti išdėstytas per 10 metų.</w:t>
                              </w:r>
                              <w:r>
                                <w:rPr>
                                  <w:bCs/>
                                  <w:szCs w:val="24"/>
                                  <w:lang w:eastAsia="lt-LT"/>
                                </w:rPr>
                                <w:t xml:space="preserve"> Vyriausybės įgaliota institucija, priėmusi sprendimą išmokėti kompensaciją, įgyja regreso teisę Lietuvos Respublikos civilinio kodekso nustatyta tvarka reikalauti sumokėtų sumų iš subjektų, dėl kurių veiksmų kilo būtinybė panaudoti karinę jėgą. Draudikui, išmokėjusiam draudimo išmoką, nepereina teisė reikalauti išmokėtų sumų iš Lietuvos kariuomenės </w:t>
                              </w:r>
                              <w:r>
                                <w:rPr>
                                  <w:bCs/>
                                </w:rPr>
                                <w:t xml:space="preserve">arba kitų NATO valstybių ginkluotųjų pajėgų ar jų narių, </w:t>
                              </w:r>
                              <w:r>
                                <w:rPr>
                                  <w:bCs/>
                                  <w:szCs w:val="24"/>
                                  <w:lang w:eastAsia="lt-LT"/>
                                </w:rPr>
                                <w:t xml:space="preserve">atsakingų už </w:t>
                              </w:r>
                              <w:r>
                                <w:rPr>
                                  <w:bCs/>
                                </w:rPr>
                                <w:t>teisėtais veiksmais naudojant karinę jėgą</w:t>
                              </w:r>
                              <w:r>
                                <w:rPr>
                                  <w:bCs/>
                                  <w:szCs w:val="24"/>
                                  <w:lang w:eastAsia="lt-LT"/>
                                </w:rPr>
                                <w:t xml:space="preserve"> padarytą žalą.</w:t>
                              </w:r>
                            </w:p>
                          </w:sdtContent>
                        </w:sdt>
                        <w:sdt>
                          <w:sdtPr>
                            <w:alias w:val="18 str. 2 d."/>
                            <w:tag w:val="part_c2aa8d3258704c818cc03c4d14e07191"/>
                            <w:lock w:val="sdtLocked"/>
                            <w:richText/>
                          </w:sdtPr>
                          <w:sdtContent>
                            <w:p>
                              <w:pPr>
                                <w:tabs>
                                  <w:tab w:val="left" w:pos="720"/>
                                  <w:tab w:val="left" w:pos="1080"/>
                                  <w:tab w:val="left" w:pos="2700"/>
                                </w:tabs>
                                <w:spacing w:line="276" w:lineRule="auto"/>
                                <w:ind w:firstLine="720"/>
                                <w:jc w:val="both"/>
                                <w:rPr>
                                  <w:bCs/>
                                  <w:szCs w:val="24"/>
                                </w:rPr>
                              </w:pPr>
                              <w:sdt>
                                <w:sdtPr>
                                  <w:alias w:val="Numeris"/>
                                  <w:tag w:val="nr_c2aa8d3258704c818cc03c4d14e07191"/>
                                  <w:lock w:val="sdtLocked"/>
                                  <w:richText/>
                                </w:sdtPr>
                                <w:sdtContent>
                                  <w:r>
                                    <w:rPr>
                                      <w:bCs/>
                                      <w:szCs w:val="24"/>
                                      <w:lang w:eastAsia="lt-LT"/>
                                    </w:rPr>
                                    <w:t>2</w:t>
                                  </w:r>
                                </w:sdtContent>
                              </w:sdt>
                              <w:r>
                                <w:rPr>
                                  <w:bCs/>
                                  <w:szCs w:val="24"/>
                                  <w:lang w:eastAsia="lt-LT"/>
                                </w:rPr>
                                <w:t xml:space="preserve">. Šio straipsnio 1 dalyje nustatyta kompensacija neskiriama, </w:t>
                              </w:r>
                              <w:r>
                                <w:rPr>
                                  <w:bCs/>
                                  <w:szCs w:val="24"/>
                                </w:rPr>
                                <w:t>jeigu fizinis asmuo, juridinis asmuo ar kita organizacija arba jų atstovas kreipiasi dėl kompensacijos praėjus daugiau kaip 3 metams nuo žalos atsiradimo dienos.</w:t>
                              </w:r>
                            </w:p>
                          </w:sdtContent>
                        </w:sdt>
                        <w:sdt>
                          <w:sdtPr>
                            <w:alias w:val="18 str. 3 d."/>
                            <w:tag w:val="part_dd0107e09c754f1aad2bea461711b52a"/>
                            <w:lock w:val="sdtLocked"/>
                            <w:richText/>
                          </w:sdtPr>
                          <w:sdtContent>
                            <w:p>
                              <w:pPr>
                                <w:tabs>
                                  <w:tab w:val="left" w:pos="720"/>
                                  <w:tab w:val="left" w:pos="1080"/>
                                  <w:tab w:val="left" w:pos="2700"/>
                                </w:tabs>
                                <w:spacing w:line="276" w:lineRule="auto"/>
                                <w:ind w:firstLine="720"/>
                                <w:jc w:val="both"/>
                                <w:rPr>
                                  <w:bCs/>
                                  <w:szCs w:val="24"/>
                                  <w:lang w:eastAsia="lt-LT"/>
                                </w:rPr>
                              </w:pPr>
                              <w:sdt>
                                <w:sdtPr>
                                  <w:alias w:val="Numeris"/>
                                  <w:tag w:val="nr_dd0107e09c754f1aad2bea461711b52a"/>
                                  <w:lock w:val="sdtLocked"/>
                                  <w:richText/>
                                </w:sdtPr>
                                <w:sdtContent>
                                  <w:r>
                                    <w:rPr>
                                      <w:bCs/>
                                      <w:szCs w:val="24"/>
                                      <w:lang w:eastAsia="lt-LT"/>
                                    </w:rPr>
                                    <w:t>3</w:t>
                                  </w:r>
                                </w:sdtContent>
                              </w:sdt>
                              <w:r>
                                <w:rPr>
                                  <w:bCs/>
                                  <w:szCs w:val="24"/>
                                  <w:lang w:eastAsia="lt-LT"/>
                                </w:rPr>
                                <w:t>. Šio straipsnio 1 dalyje nurodytos žalos dydžio nustatymo ir kompensacijos skyrimo tvarką nustato Vyriausybė.</w:t>
                              </w:r>
                            </w:p>
                          </w:sdtContent>
                        </w:sdt>
                        <w:sdt>
                          <w:sdtPr>
                            <w:alias w:val="18 str. 4 d."/>
                            <w:tag w:val="part_d41165c5a4e14fb4bbcc39bfe974633b"/>
                            <w:lock w:val="sdtLocked"/>
                            <w:richText/>
                          </w:sdtPr>
                          <w:sdtContent>
                            <w:p>
                              <w:pPr>
                                <w:tabs>
                                  <w:tab w:val="left" w:pos="720"/>
                                  <w:tab w:val="left" w:pos="1080"/>
                                  <w:tab w:val="left" w:pos="2700"/>
                                </w:tabs>
                                <w:spacing w:line="276" w:lineRule="auto"/>
                                <w:ind w:firstLine="720"/>
                                <w:jc w:val="both"/>
                                <w:rPr>
                                  <w:szCs w:val="24"/>
                                  <w:lang w:eastAsia="lt-LT"/>
                                </w:rPr>
                              </w:pPr>
                              <w:sdt>
                                <w:sdtPr>
                                  <w:alias w:val="Numeris"/>
                                  <w:tag w:val="nr_d41165c5a4e14fb4bbcc39bfe974633b"/>
                                  <w:lock w:val="sdtLocked"/>
                                  <w:richText/>
                                </w:sdtPr>
                                <w:sdtContent>
                                  <w:r>
                                    <w:rPr>
                                      <w:bCs/>
                                      <w:szCs w:val="24"/>
                                      <w:lang w:eastAsia="lt-LT"/>
                                    </w:rPr>
                                    <w:t>4</w:t>
                                  </w:r>
                                </w:sdtContent>
                              </w:sdt>
                              <w:r>
                                <w:rPr>
                                  <w:bCs/>
                                  <w:szCs w:val="24"/>
                                  <w:lang w:eastAsia="lt-LT"/>
                                </w:rPr>
                                <w:t>. Žala, padaryta fiziniam asmeniui, juridiniam asmeniui ar kitai organizacijai dėl Lietuvos kariuomenės</w:t>
                              </w:r>
                              <w:r>
                                <w:rPr>
                                  <w:bCs/>
                                </w:rPr>
                                <w:t xml:space="preserve"> arba </w:t>
                              </w:r>
                              <w:r>
                                <w:rPr>
                                  <w:bCs/>
                                  <w:color w:val="000000"/>
                                  <w:shd w:val="clear" w:color="auto" w:fill="FFFFFF"/>
                                </w:rPr>
                                <w:t>NATO</w:t>
                              </w:r>
                              <w:r>
                                <w:rPr>
                                  <w:bCs/>
                                </w:rPr>
                                <w:t xml:space="preserve"> valstybių ginkluotųjų pajėgų ar jų narių</w:t>
                              </w:r>
                              <w:r>
                                <w:rPr>
                                  <w:bCs/>
                                  <w:szCs w:val="24"/>
                                  <w:lang w:eastAsia="lt-LT"/>
                                </w:rPr>
                                <w:t xml:space="preserve"> neteisėtų veiksmų naudojant karinę jėgą, </w:t>
                              </w:r>
                              <w:r>
                                <w:rPr>
                                  <w:bCs/>
                                </w:rPr>
                                <w:t xml:space="preserve">atlyginama Civilinio kodekso </w:t>
                              </w:r>
                              <w:r>
                                <w:t xml:space="preserve">ir </w:t>
                              </w:r>
                              <w:r>
                                <w:rPr>
                                  <w:szCs w:val="24"/>
                                  <w:lang w:eastAsia="lt-LT"/>
                                </w:rPr>
                                <w:t>Lietuvos Respublikos tarptautinių sutarčių dėl karinių pajėgų statuso, kurių pagrindu atsiranda reikalavimas atlyginti žalą,</w:t>
                              </w:r>
                              <w:r>
                                <w:t xml:space="preserve"> nustatytais pagrindais ir sąlygomis. Sprendimą dėl šios žalos atlyginimo priima Vyriausybės įgaliota institucija Vyriausybės nustatyta šios žalos </w:t>
                              </w:r>
                              <w:r>
                                <w:rPr>
                                  <w:szCs w:val="24"/>
                                  <w:lang w:eastAsia="lt-LT"/>
                                </w:rPr>
                                <w:t>dydžio nustatymo ir atlyginimo tvarka.</w:t>
                              </w:r>
                            </w:p>
                          </w:sdtContent>
                        </w:sdt>
                        <w:sdt>
                          <w:sdtPr>
                            <w:alias w:val="18 str. 5 d."/>
                            <w:tag w:val="part_1eb9b97cc479491fa135c5d7299f3439"/>
                            <w:lock w:val="sdtLocked"/>
                            <w:richText/>
                          </w:sdtPr>
                          <w:sdtContent>
                            <w:p>
                              <w:pPr>
                                <w:tabs>
                                  <w:tab w:val="left" w:pos="720"/>
                                  <w:tab w:val="left" w:pos="1080"/>
                                  <w:tab w:val="left" w:pos="2700"/>
                                </w:tabs>
                                <w:spacing w:line="276" w:lineRule="auto"/>
                                <w:ind w:firstLine="720"/>
                                <w:jc w:val="both"/>
                                <w:rPr>
                                  <w:szCs w:val="24"/>
                                  <w:lang w:eastAsia="lt-LT"/>
                                </w:rPr>
                              </w:pPr>
                              <w:sdt>
                                <w:sdtPr>
                                  <w:alias w:val="Numeris"/>
                                  <w:tag w:val="nr_1eb9b97cc479491fa135c5d7299f3439"/>
                                  <w:lock w:val="sdtLocked"/>
                                  <w:richText/>
                                </w:sdtPr>
                                <w:sdtContent>
                                  <w:r>
                                    <w:rPr>
                                      <w:szCs w:val="24"/>
                                      <w:lang w:eastAsia="lt-LT"/>
                                    </w:rPr>
                                    <w:t>5</w:t>
                                  </w:r>
                                </w:sdtContent>
                              </w:sdt>
                              <w:r>
                                <w:rPr>
                                  <w:szCs w:val="24"/>
                                  <w:lang w:eastAsia="lt-LT"/>
                                </w:rPr>
                                <w:t>. Žala, padaryta fiziniam asmeniui, juridiniam asmeniui ar kitai organizacijai dėl Lietuvos kariuomenės</w:t>
                              </w:r>
                              <w:r>
                                <w:t xml:space="preserve"> arba </w:t>
                              </w:r>
                              <w:r>
                                <w:rPr>
                                  <w:color w:val="000000"/>
                                  <w:shd w:val="clear" w:color="auto" w:fill="FFFFFF"/>
                                </w:rPr>
                                <w:t>NATO</w:t>
                              </w:r>
                              <w:r>
                                <w:t xml:space="preserve"> valstybių ginkluotųjų pajėgų ar jų narių karinės jėgos naudojimo</w:t>
                              </w:r>
                              <w:r>
                                <w:rPr>
                                  <w:szCs w:val="24"/>
                                  <w:lang w:eastAsia="lt-LT"/>
                                </w:rPr>
                                <w:t xml:space="preserve">, atlyginama ar </w:t>
                              </w:r>
                              <w:r>
                                <w:t xml:space="preserve">kompensacija skiriama </w:t>
                              </w:r>
                              <w:r>
                                <w:rPr>
                                  <w:szCs w:val="24"/>
                                  <w:lang w:eastAsia="lt-LT"/>
                                </w:rPr>
                                <w:t xml:space="preserve">iš Lietuvos Respublikos krašto apsaugos ministerijai šiam tikslui skirtų valstybės biudžeto asignavimų. </w:t>
                              </w:r>
                              <w:r>
                                <w:t xml:space="preserve">Šių asignavimų nepakankant, gali būti naudojami papildomai šiam tikslui </w:t>
                              </w:r>
                              <w:r>
                                <w:rPr>
                                  <w:szCs w:val="24"/>
                                  <w:lang w:eastAsia="lt-LT"/>
                                </w:rPr>
                                <w:t>Krašto apsaugos ministerijai</w:t>
                              </w:r>
                              <w:r>
                                <w:t xml:space="preserve"> skirti valstybės biudžeto asignavimai</w:t>
                              </w:r>
                              <w:r>
                                <w:rPr>
                                  <w:szCs w:val="24"/>
                                  <w:lang w:eastAsia="lt-LT"/>
                                </w:rPr>
                                <w:t>.</w:t>
                              </w:r>
                            </w:p>
                          </w:sdtContent>
                        </w:sdt>
                        <w:sdt>
                          <w:sdtPr>
                            <w:alias w:val="18 str. 6 d."/>
                            <w:tag w:val="part_fad0413e50404212a973de583af065f6"/>
                            <w:lock w:val="sdtLocked"/>
                            <w:richText/>
                          </w:sdtPr>
                          <w:sdtContent>
                            <w:p>
                              <w:pPr>
                                <w:tabs>
                                  <w:tab w:val="left" w:pos="720"/>
                                  <w:tab w:val="left" w:pos="1080"/>
                                  <w:tab w:val="left" w:pos="2700"/>
                                </w:tabs>
                                <w:spacing w:line="276" w:lineRule="auto"/>
                                <w:ind w:firstLine="720"/>
                                <w:jc w:val="both"/>
                                <w:rPr>
                                  <w:szCs w:val="24"/>
                                  <w:lang w:eastAsia="lt-LT"/>
                                </w:rPr>
                              </w:pPr>
                              <w:sdt>
                                <w:sdtPr>
                                  <w:alias w:val="Numeris"/>
                                  <w:tag w:val="nr_fad0413e50404212a973de583af065f6"/>
                                  <w:lock w:val="sdtLocked"/>
                                  <w:richText/>
                                </w:sdtPr>
                                <w:sdtContent>
                                  <w:r>
                                    <w:rPr>
                                      <w:szCs w:val="24"/>
                                      <w:lang w:eastAsia="lt-LT"/>
                                    </w:rPr>
                                    <w:t>6</w:t>
                                  </w:r>
                                </w:sdtContent>
                              </w:sdt>
                              <w:r>
                                <w:rPr>
                                  <w:szCs w:val="24"/>
                                  <w:lang w:eastAsia="lt-LT"/>
                                </w:rPr>
                                <w:t xml:space="preserve">. Vyriausybės įgaliota institucija, skyrusi šio straipsnio 1 dalyje nustatytą kompensaciją už kitų NATO valstybių ginkluotųjų pajėgų ar jų narių padarytą žalą, nereikalauja iš šių valstybių, jų ginkluotųjų pajėgų ar ginkluotųjų pajėgų narių šios žalos atlyginimo. Vyriausybės įgaliota institucija, atsižvelgdama į nacionalinio saugumo ir gynybos interesus, gali priimti sprendimą atsisakyti reikalavimo iš kitų NATO valstybių atlyginti kitais atvejais negu šio </w:t>
                              </w:r>
                              <w:r>
                                <w:rPr>
                                  <w:color w:val="000000"/>
                                  <w:szCs w:val="24"/>
                                  <w:lang w:eastAsia="lt-LT"/>
                                </w:rPr>
                                <w:t xml:space="preserve">straipsnio 1 dalyje nustatytu atveju kompensuotą </w:t>
                              </w:r>
                              <w:r>
                                <w:rPr>
                                  <w:szCs w:val="24"/>
                                  <w:lang w:eastAsia="lt-LT"/>
                                </w:rPr>
                                <w:t>žalą, padarytą šių valstybių ginkluotųjų pajėgų ar jų narių.</w:t>
                              </w:r>
                            </w:p>
                          </w:sdtContent>
                        </w:sdt>
                        <w:sdt>
                          <w:sdtPr>
                            <w:alias w:val="18 str. 7 d."/>
                            <w:tag w:val="part_e4ae493d03d34748ad35e6c139f03579"/>
                            <w:lock w:val="sdtLocked"/>
                            <w:richText/>
                          </w:sdtPr>
                          <w:sdtContent>
                            <w:p>
                              <w:pPr>
                                <w:tabs>
                                  <w:tab w:val="left" w:pos="720"/>
                                  <w:tab w:val="left" w:pos="1080"/>
                                  <w:tab w:val="left" w:pos="2700"/>
                                </w:tabs>
                                <w:spacing w:line="276" w:lineRule="auto"/>
                                <w:ind w:firstLine="720"/>
                                <w:jc w:val="both"/>
                              </w:pPr>
                              <w:sdt>
                                <w:sdtPr>
                                  <w:alias w:val="Numeris"/>
                                  <w:tag w:val="nr_e4ae493d03d34748ad35e6c139f03579"/>
                                  <w:lock w:val="sdtLocked"/>
                                  <w:richText/>
                                </w:sdtPr>
                                <w:sdtContent>
                                  <w:r>
                                    <w:rPr>
                                      <w:szCs w:val="24"/>
                                      <w:lang w:eastAsia="lt-LT"/>
                                    </w:rPr>
                                    <w:t>7</w:t>
                                  </w:r>
                                </w:sdtContent>
                              </w:sdt>
                              <w:r>
                                <w:rPr>
                                  <w:szCs w:val="24"/>
                                  <w:lang w:eastAsia="lt-LT"/>
                                </w:rPr>
                                <w:t xml:space="preserve">. Fizinis asmuo, juridinis asmuo ar kita organizacija, nesutinkantys su sprendime </w:t>
                              </w:r>
                              <w:r>
                                <w:t>nurodytu žalos</w:t>
                              </w:r>
                              <w:r>
                                <w:rPr>
                                  <w:szCs w:val="24"/>
                                  <w:lang w:eastAsia="lt-LT"/>
                                </w:rPr>
                                <w:t>, padarytos fiziniam asmeniui, juridiniam asmeniui ar kitai organizacijai dėl Lietuvos kariuomenės</w:t>
                              </w:r>
                              <w:r>
                                <w:t xml:space="preserve"> arba </w:t>
                              </w:r>
                              <w:r>
                                <w:rPr>
                                  <w:color w:val="000000"/>
                                  <w:shd w:val="clear" w:color="auto" w:fill="FFFFFF"/>
                                </w:rPr>
                                <w:t>NATO</w:t>
                              </w:r>
                              <w:r>
                                <w:t xml:space="preserve"> valstybių ginkluotųjų pajėgų ar jų narių</w:t>
                              </w:r>
                              <w:r>
                                <w:rPr>
                                  <w:szCs w:val="24"/>
                                  <w:lang w:eastAsia="lt-LT"/>
                                </w:rPr>
                                <w:t xml:space="preserve"> karinės jėgos naudojimo,</w:t>
                              </w:r>
                              <w:r>
                                <w:t xml:space="preserve"> atlyginimo ar kompensacijos dydžiu arba su sprendimu neskirti šios žalos atlyginimo ar kompensacijos,</w:t>
                              </w:r>
                              <w:r>
                                <w:rPr>
                                  <w:szCs w:val="24"/>
                                  <w:lang w:eastAsia="lt-LT"/>
                                </w:rPr>
                                <w:t xml:space="preserve"> per 30 dienų nuo tos dienos, kai sužinojo ar turėjo sužinoti apie sprendimą, turi teisę Lietuvos Respublikos civilinio proceso kodekso nustatyta tvarka kreiptis į bendrosios kompetencijos teismą dėl žalos atlyginimo klausimo išnagrinėjimo iš esmės.“</w:t>
                              </w:r>
                            </w:p>
                            <w:p>
                              <w:pPr>
                                <w:tabs>
                                  <w:tab w:val="left" w:pos="720"/>
                                  <w:tab w:val="left" w:pos="1080"/>
                                  <w:tab w:val="left" w:pos="2700"/>
                                </w:tabs>
                                <w:spacing w:line="276" w:lineRule="auto"/>
                                <w:ind w:firstLine="720"/>
                                <w:jc w:val="both"/>
                                <w:rPr>
                                  <w:b/>
                                </w:rPr>
                              </w:pPr>
                            </w:p>
                          </w:sdtContent>
                        </w:sdt>
                      </w:sdtContent>
                    </w:sdt>
                  </w:sdtContent>
                </w:sdt>
              </w:sdtContent>
            </w:sdt>
          </w:sdtContent>
        </w:sdt>
        <w:sdt>
          <w:sdtPr>
            <w:alias w:val="7 str."/>
            <w:tag w:val="part_2b90eca05ba14a1e8785fda729bc36b9"/>
            <w:lock w:val="sdtLocked"/>
            <w:richText/>
          </w:sdtPr>
          <w:sdtContent>
            <w:p>
              <w:pPr>
                <w:tabs>
                  <w:tab w:val="left" w:pos="720"/>
                  <w:tab w:val="left" w:pos="1080"/>
                  <w:tab w:val="left" w:pos="2700"/>
                </w:tabs>
                <w:spacing w:line="276" w:lineRule="auto"/>
                <w:ind w:firstLine="720"/>
                <w:jc w:val="both"/>
                <w:rPr>
                  <w:b/>
                  <w:szCs w:val="24"/>
                  <w:lang w:eastAsia="lt-LT"/>
                </w:rPr>
              </w:pPr>
              <w:sdt>
                <w:sdtPr>
                  <w:alias w:val="Numeris"/>
                  <w:tag w:val="nr_2b90eca05ba14a1e8785fda729bc36b9"/>
                  <w:lock w:val="sdtLocked"/>
                  <w:richText/>
                </w:sdtPr>
                <w:sdtContent>
                  <w:r>
                    <w:rPr>
                      <w:b/>
                      <w:szCs w:val="24"/>
                      <w:lang w:eastAsia="lt-LT"/>
                    </w:rPr>
                    <w:t>7</w:t>
                  </w:r>
                </w:sdtContent>
              </w:sdt>
              <w:r>
                <w:rPr>
                  <w:b/>
                  <w:szCs w:val="24"/>
                  <w:lang w:eastAsia="lt-LT"/>
                </w:rPr>
                <w:t xml:space="preserve"> straipsnis. </w:t>
              </w:r>
              <w:sdt>
                <w:sdtPr>
                  <w:alias w:val="Pavadinimas"/>
                  <w:tag w:val="title_2b90eca05ba14a1e8785fda729bc36b9"/>
                  <w:lock w:val="sdtLocked"/>
                  <w:richText/>
                </w:sdtPr>
                <w:sdtContent>
                  <w:r>
                    <w:rPr>
                      <w:b/>
                      <w:szCs w:val="24"/>
                      <w:lang w:eastAsia="lt-LT"/>
                    </w:rPr>
                    <w:t>18 straipsnio pakeitimas</w:t>
                  </w:r>
                </w:sdtContent>
              </w:sdt>
            </w:p>
            <w:sdt>
              <w:sdtPr>
                <w:alias w:val="7 str. 1 d."/>
                <w:tag w:val="part_3a65103d95b64df2bee33ba6ad07fdab"/>
                <w:lock w:val="sdtLocked"/>
                <w:richText/>
              </w:sdtPr>
              <w:sdtContent>
                <w:p>
                  <w:pPr>
                    <w:tabs>
                      <w:tab w:val="left" w:pos="720"/>
                      <w:tab w:val="left" w:pos="1080"/>
                      <w:tab w:val="left" w:pos="2700"/>
                    </w:tabs>
                    <w:spacing w:line="276" w:lineRule="auto"/>
                    <w:ind w:firstLine="720"/>
                    <w:jc w:val="both"/>
                  </w:pPr>
                  <w:r>
                    <w:t>Pakeisti 18 straipsnio 5 dalį ir ją išdėstyti taip:</w:t>
                  </w:r>
                </w:p>
                <w:sdt>
                  <w:sdtPr>
                    <w:alias w:val="citata"/>
                    <w:tag w:val="part_ce7f43b0502d416c8ea3960bd719b202"/>
                    <w:lock w:val="sdtLocked"/>
                    <w:richText/>
                  </w:sdtPr>
                  <w:sdtContent>
                    <w:sdt>
                      <w:sdtPr>
                        <w:alias w:val="5 d."/>
                        <w:tag w:val="part_4aa072e3514b419ba9b3380886f86c4c"/>
                        <w:lock w:val="sdtLocked"/>
                        <w:richText/>
                      </w:sdtPr>
                      <w:sdtContent>
                        <w:p>
                          <w:pPr>
                            <w:tabs>
                              <w:tab w:val="left" w:pos="720"/>
                              <w:tab w:val="left" w:pos="1080"/>
                              <w:tab w:val="left" w:pos="2700"/>
                            </w:tabs>
                            <w:spacing w:line="276" w:lineRule="auto"/>
                            <w:ind w:firstLine="720"/>
                            <w:jc w:val="both"/>
                            <w:rPr>
                              <w:bCs/>
                              <w:szCs w:val="24"/>
                              <w:lang w:eastAsia="lt-LT"/>
                            </w:rPr>
                          </w:pPr>
                          <w:r>
                            <w:rPr>
                              <w:szCs w:val="24"/>
                              <w:lang w:eastAsia="lt-LT"/>
                            </w:rPr>
                            <w:t>„</w:t>
                          </w:r>
                          <w:sdt>
                            <w:sdtPr>
                              <w:alias w:val="Numeris"/>
                              <w:tag w:val="nr_4aa072e3514b419ba9b3380886f86c4c"/>
                              <w:lock w:val="sdtLocked"/>
                              <w:richText/>
                            </w:sdtPr>
                            <w:sdtContent>
                              <w:r>
                                <w:rPr>
                                  <w:szCs w:val="24"/>
                                  <w:lang w:eastAsia="lt-LT"/>
                                </w:rPr>
                                <w:t>5</w:t>
                              </w:r>
                            </w:sdtContent>
                          </w:sdt>
                          <w:r>
                            <w:rPr>
                              <w:szCs w:val="24"/>
                              <w:lang w:eastAsia="lt-LT"/>
                            </w:rPr>
                            <w:t>. Žala</w:t>
                          </w:r>
                          <w:r>
                            <w:rPr>
                              <w:bCs/>
                              <w:szCs w:val="24"/>
                              <w:lang w:eastAsia="lt-LT"/>
                            </w:rPr>
                            <w:t xml:space="preserve">, </w:t>
                          </w:r>
                          <w:r>
                            <w:rPr>
                              <w:szCs w:val="24"/>
                              <w:lang w:eastAsia="lt-LT"/>
                            </w:rPr>
                            <w:t xml:space="preserve">padaryta fiziniam asmeniui, juridiniam asmeniui ar kitai organizacijai dėl </w:t>
                          </w:r>
                          <w:r>
                            <w:rPr>
                              <w:bCs/>
                              <w:szCs w:val="24"/>
                              <w:lang w:eastAsia="lt-LT"/>
                            </w:rPr>
                            <w:t>Lietuvos kariuomenės</w:t>
                          </w:r>
                          <w:r>
                            <w:t xml:space="preserve"> arba </w:t>
                          </w:r>
                          <w:r>
                            <w:rPr>
                              <w:color w:val="000000"/>
                              <w:shd w:val="clear" w:color="auto" w:fill="FFFFFF"/>
                            </w:rPr>
                            <w:t>NATO</w:t>
                          </w:r>
                          <w:r>
                            <w:t xml:space="preserve"> valstybių ginkluotųjų pajėgų ar jų narių karinės jėgos naudojimo</w:t>
                          </w:r>
                          <w:r>
                            <w:rPr>
                              <w:szCs w:val="24"/>
                              <w:lang w:eastAsia="lt-LT"/>
                            </w:rPr>
                            <w:t>,</w:t>
                          </w:r>
                          <w:r>
                            <w:rPr>
                              <w:bCs/>
                              <w:szCs w:val="24"/>
                              <w:lang w:eastAsia="lt-LT"/>
                            </w:rPr>
                            <w:t xml:space="preserve"> </w:t>
                          </w:r>
                          <w:r>
                            <w:rPr>
                              <w:szCs w:val="24"/>
                              <w:lang w:eastAsia="lt-LT"/>
                            </w:rPr>
                            <w:t xml:space="preserve">atlyginama ar </w:t>
                          </w:r>
                          <w:r>
                            <w:t xml:space="preserve">kompensacija skiriama </w:t>
                          </w:r>
                          <w:r>
                            <w:rPr>
                              <w:szCs w:val="24"/>
                              <w:lang w:eastAsia="lt-LT"/>
                            </w:rPr>
                            <w:t xml:space="preserve">iš Lietuvos Respublikos </w:t>
                          </w:r>
                          <w:r>
                            <w:rPr>
                              <w:bCs/>
                              <w:szCs w:val="24"/>
                              <w:lang w:eastAsia="lt-LT"/>
                            </w:rPr>
                            <w:t xml:space="preserve">krašto apsaugos ministerijai šiam tikslui skirtų valstybės biudžeto asignavimų. </w:t>
                          </w:r>
                          <w:r>
                            <w:t xml:space="preserve">Šių asignavimų nepakankant, gali būti naudojami papildomai šiam tikslui </w:t>
                          </w:r>
                          <w:r>
                            <w:rPr>
                              <w:bCs/>
                              <w:szCs w:val="24"/>
                              <w:lang w:eastAsia="lt-LT"/>
                            </w:rPr>
                            <w:t>Krašto apsaugos ministerijai</w:t>
                          </w:r>
                          <w:r>
                            <w:t xml:space="preserve"> skirti valstybės biudžeto asignavimai, </w:t>
                          </w:r>
                          <w:r>
                            <w:rPr>
                              <w:bCs/>
                            </w:rPr>
                            <w:t>jų nepakankant – Lietuvos Respublikos valstybės rezervo įstatymo nustatyta tvarka valstybės rezervo lėšos</w:t>
                          </w:r>
                          <w:r>
                            <w:rPr>
                              <w:bCs/>
                              <w:szCs w:val="24"/>
                              <w:lang w:eastAsia="lt-LT"/>
                            </w:rPr>
                            <w:t>.“</w:t>
                          </w:r>
                        </w:p>
                        <w:p>
                          <w:pPr>
                            <w:tabs>
                              <w:tab w:val="left" w:pos="720"/>
                              <w:tab w:val="left" w:pos="1080"/>
                              <w:tab w:val="left" w:pos="2700"/>
                            </w:tabs>
                            <w:spacing w:line="276" w:lineRule="auto"/>
                            <w:ind w:firstLine="720"/>
                            <w:jc w:val="both"/>
                            <w:rPr>
                              <w:szCs w:val="24"/>
                              <w:lang w:eastAsia="lt-LT"/>
                            </w:rPr>
                          </w:pPr>
                        </w:p>
                      </w:sdtContent>
                    </w:sdt>
                  </w:sdtContent>
                </w:sdt>
              </w:sdtContent>
            </w:sdt>
          </w:sdtContent>
        </w:sdt>
        <w:sdt>
          <w:sdtPr>
            <w:alias w:val="8 str."/>
            <w:tag w:val="part_0e4f72faba914da6acfa86d884f2721a"/>
            <w:lock w:val="sdtLocked"/>
            <w:richText/>
          </w:sdtPr>
          <w:sdtContent>
            <w:p>
              <w:pPr>
                <w:spacing w:line="276" w:lineRule="auto"/>
                <w:ind w:firstLine="720"/>
                <w:jc w:val="both"/>
                <w:rPr>
                  <w:b/>
                  <w:szCs w:val="24"/>
                  <w:lang w:eastAsia="lt-LT"/>
                </w:rPr>
              </w:pPr>
              <w:sdt>
                <w:sdtPr>
                  <w:alias w:val="Numeris"/>
                  <w:tag w:val="nr_0e4f72faba914da6acfa86d884f2721a"/>
                  <w:lock w:val="sdtLocked"/>
                  <w:richText/>
                </w:sdtPr>
                <w:sdtContent>
                  <w:r>
                    <w:rPr>
                      <w:b/>
                      <w:szCs w:val="24"/>
                      <w:lang w:eastAsia="lt-LT"/>
                    </w:rPr>
                    <w:t>8</w:t>
                  </w:r>
                </w:sdtContent>
              </w:sdt>
              <w:r>
                <w:rPr>
                  <w:b/>
                  <w:szCs w:val="24"/>
                  <w:lang w:eastAsia="lt-LT"/>
                </w:rPr>
                <w:t xml:space="preserve"> straipsnis. </w:t>
              </w:r>
              <w:sdt>
                <w:sdtPr>
                  <w:alias w:val="Pavadinimas"/>
                  <w:tag w:val="title_0e4f72faba914da6acfa86d884f2721a"/>
                  <w:lock w:val="sdtLocked"/>
                  <w:richText/>
                </w:sdtPr>
                <w:sdtContent>
                  <w:r>
                    <w:rPr>
                      <w:b/>
                      <w:szCs w:val="24"/>
                      <w:lang w:eastAsia="lt-LT"/>
                    </w:rPr>
                    <w:t>Įstatymo įsigaliojimas ir įgyvendinimas</w:t>
                  </w:r>
                </w:sdtContent>
              </w:sdt>
            </w:p>
            <w:sdt>
              <w:sdtPr>
                <w:alias w:val="8 str. 1 d."/>
                <w:tag w:val="part_ed8cc264d62c454ca7840f7d422016be"/>
                <w:lock w:val="sdtLocked"/>
                <w:richText/>
              </w:sdtPr>
              <w:sdtContent>
                <w:p>
                  <w:pPr>
                    <w:spacing w:line="276" w:lineRule="auto"/>
                    <w:ind w:firstLine="720"/>
                    <w:jc w:val="both"/>
                    <w:rPr>
                      <w:szCs w:val="24"/>
                      <w:lang w:eastAsia="lt-LT"/>
                    </w:rPr>
                  </w:pPr>
                  <w:sdt>
                    <w:sdtPr>
                      <w:alias w:val="Numeris"/>
                      <w:tag w:val="nr_ed8cc264d62c454ca7840f7d422016be"/>
                      <w:lock w:val="sdtLocked"/>
                      <w:richText/>
                    </w:sdtPr>
                    <w:sdtContent>
                      <w:r>
                        <w:rPr>
                          <w:szCs w:val="24"/>
                          <w:lang w:eastAsia="lt-LT"/>
                        </w:rPr>
                        <w:t>1</w:t>
                      </w:r>
                    </w:sdtContent>
                  </w:sdt>
                  <w:r>
                    <w:rPr>
                      <w:szCs w:val="24"/>
                      <w:lang w:eastAsia="lt-LT"/>
                    </w:rPr>
                    <w:t>. Šis įstatymas, išskyrus 7 straipsnį ir šio straipsnio 3 dalį, įsigalioja 2026 m. rugpjūčio 1 d.</w:t>
                  </w:r>
                </w:p>
              </w:sdtContent>
            </w:sdt>
            <w:sdt>
              <w:sdtPr>
                <w:alias w:val="8 str. 2 d."/>
                <w:tag w:val="part_f9adc2acc95a4c438706adea77d4c5d0"/>
                <w:lock w:val="sdtLocked"/>
                <w:richText/>
              </w:sdtPr>
              <w:sdtContent>
                <w:p>
                  <w:pPr>
                    <w:spacing w:line="276" w:lineRule="auto"/>
                    <w:ind w:firstLine="720"/>
                    <w:jc w:val="both"/>
                    <w:rPr>
                      <w:szCs w:val="24"/>
                      <w:lang w:eastAsia="lt-LT"/>
                    </w:rPr>
                  </w:pPr>
                  <w:sdt>
                    <w:sdtPr>
                      <w:alias w:val="Numeris"/>
                      <w:tag w:val="nr_f9adc2acc95a4c438706adea77d4c5d0"/>
                      <w:lock w:val="sdtLocked"/>
                      <w:richText/>
                    </w:sdtPr>
                    <w:sdtContent>
                      <w:r>
                        <w:rPr>
                          <w:color w:val="000000"/>
                        </w:rPr>
                        <w:t>2</w:t>
                      </w:r>
                    </w:sdtContent>
                  </w:sdt>
                  <w:r>
                    <w:rPr>
                      <w:color w:val="000000"/>
                    </w:rPr>
                    <w:t>. Šio įstatymo 7 straipsnis įsigalioja 2026 m. rugsėjo 2 d.</w:t>
                  </w:r>
                </w:p>
              </w:sdtContent>
            </w:sdt>
            <w:sdt>
              <w:sdtPr>
                <w:alias w:val="8 str. 3 d."/>
                <w:tag w:val="part_2023a6e018c045e2b68af75af954593d"/>
                <w:lock w:val="sdtLocked"/>
                <w:richText/>
              </w:sdtPr>
              <w:sdtContent>
                <w:p>
                  <w:pPr>
                    <w:spacing w:line="276" w:lineRule="auto"/>
                    <w:ind w:firstLine="720"/>
                    <w:jc w:val="both"/>
                    <w:rPr>
                      <w:i/>
                      <w:szCs w:val="24"/>
                    </w:rPr>
                  </w:pPr>
                  <w:sdt>
                    <w:sdtPr>
                      <w:alias w:val="Numeris"/>
                      <w:tag w:val="nr_2023a6e018c045e2b68af75af954593d"/>
                      <w:lock w:val="sdtLocked"/>
                      <w:richText/>
                    </w:sdtPr>
                    <w:sdtContent>
                      <w:r>
                        <w:rPr>
                          <w:szCs w:val="24"/>
                          <w:lang w:eastAsia="lt-LT"/>
                        </w:rPr>
                        <w:t>3</w:t>
                      </w:r>
                    </w:sdtContent>
                  </w:sdt>
                  <w:r>
                    <w:rPr>
                      <w:szCs w:val="24"/>
                      <w:lang w:eastAsia="lt-LT"/>
                    </w:rPr>
                    <w:t>. Lietuvos Respublikos Vyriausybė ir jos įgaliotos institucijos iki 2026 m. liepos 31 d. priima šio įstatymo įgyvendinamuosius teisės aktus.</w:t>
                  </w:r>
                </w:p>
                <w:p>
                  <w:pPr>
                    <w:spacing w:line="360" w:lineRule="auto"/>
                    <w:ind w:firstLine="720"/>
                    <w:jc w:val="both"/>
                    <w:rPr>
                      <w:i/>
                      <w:szCs w:val="24"/>
                    </w:rPr>
                  </w:pPr>
                </w:p>
              </w:sdtContent>
            </w:sdt>
          </w:sdtContent>
        </w:sdt>
        <w:sdt>
          <w:sdtPr>
            <w:alias w:val="signatura"/>
            <w:tag w:val="part_0c00a9c7a45a4b439bea8a7843bbc4b9"/>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pPr>
            </w:p>
            <w:p>
              <w:pPr>
                <w:tabs>
                  <w:tab w:val="right" w:pos="9356"/>
                </w:tabs>
              </w:pPr>
              <w:r>
                <w:rPr>
                  <w:lang w:val="en-US"/>
                </w:rPr>
                <w:t>Respublikos Prezidentas</w:t>
              </w:r>
              <w:r>
                <w:rPr>
                  <w:caps/>
                </w:rPr>
                <w:tab/>
              </w:r>
            </w:p>
          </w:sdtContent>
        </w:sdt>
      </w:sdtContent>
    </w:sdt>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5E5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EC9AFE30-0BAD-4842-9D27-2EDA9AB304D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91387567">
      <w:bodyDiv w:val="1"/>
      <w:marLeft w:val="0"/>
      <w:marRight w:val="0"/>
      <w:marTop w:val="0"/>
      <w:marBottom w:val="0"/>
      <w:divBdr>
        <w:top w:val="none" w:sz="0" w:space="0" w:color="auto"/>
        <w:left w:val="none" w:sz="0" w:space="0" w:color="auto"/>
        <w:bottom w:val="none" w:sz="0" w:space="0" w:color="auto"/>
        <w:right w:val="none" w:sz="0" w:space="0" w:color="auto"/>
      </w:divBdr>
    </w:div>
    <w:div w:id="11838578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65452e108eec4f669594d191946b6613" PartId="de76b8c9761f4d4a8b5dec8fb29a8f83">
    <Part Type="straipsnis" Nr="1" Abbr="1 str." Title="1 straipsnio pakeitimas" DocPartId="c0a29f516abb4ed080c9df009ea90cda" PartId="6712e4becc1146dd9da1d445603a91cc">
      <Part Type="strDalis" Nr="1" Abbr="1 str. 1 d." DocPartId="36d1884c50744265911ff94718bfee12" PartId="6ef099f276aa47c5a5e4ce75ac61becb">
        <Part Type="citata" DocPartId="10663b865b954bb6b05ea5610b808c52" PartId="c0cb821205a74816a81d9ec8f20dfaf5">
          <Part Type="straipsnis" Nr="1" Abbr="1 str." Title="Karinės jėgos naudojimo statuto paskirtis" DocPartId="ffded3677b7c4e7ca551ce7a3d0f928b" PartId="3bfb9f1ec2bb45e38d4427ed8bf14c9a">
            <Part Type="strDalis" Nr="1" Abbr="1 str. 1 d." DocPartId="c79584dc454148fda99d9af76eeba4a4" PartId="474e6fc2d40346118c62861a7cb4013c"/>
          </Part>
        </Part>
      </Part>
    </Part>
    <Part Type="straipsnis" Nr="2" Abbr="2 str." Title="2 straipsnio pakeitimas" DocPartId="75fbe9b5db914f5ca1404c9fcbebe93f" PartId="f81dc8a8494846ea91bfe59602cd1cf3">
      <Part Type="strDalis" Nr="1" Abbr="2 str. 1 d." DocPartId="357f1ec4f79b43f78e74147289f83371" PartId="34838379d8e6434bbc5d8fed9edeba59">
        <Part Type="citata" DocPartId="551bc0b79ccc4f7ab7de8a0155a1e070" PartId="27e52ccaf3b54056bb5c6fd05514a7fb">
          <Part Type="strDalis" Nr="6" Abbr="6 d." DocPartId="be35e5ff57304d28ae8369005e95f8b3" PartId="637d2d55bc064839a04d8c63b264eb4e"/>
        </Part>
      </Part>
    </Part>
    <Part Type="straipsnis" Nr="3" Abbr="3 str." Title="3 straipsnio pakeitimas" DocPartId="b870674020d947d6b24a019f351da680" PartId="1accc2a832cf4756be52d5f9683d8a6e">
      <Part Type="strDalis" Nr="1" Abbr="3 str. 1 d." DocPartId="e3a2c4f7d6bc4e7d9e6d7320e1e4c40a" PartId="17587e1cfd6644aabff76ddcbe124d1f">
        <Part Type="citata" DocPartId="febf3ff1065240c9ad457b168afb89b0" PartId="c74d4d6982a04195bdaa49dd420ef85c">
          <Part Type="strDalis" Nr="4" Abbr="4 d." DocPartId="30a2f295b6c140f088100aa44c49cdd4" PartId="fa6e4c88410440c69db73b2158833ab6"/>
        </Part>
      </Part>
    </Part>
    <Part Type="straipsnis" Nr="4" Abbr="4 str." Title="8 straipsnio pakeitimas" DocPartId="f06dd170c5054c17946a969cc3ddca29" PartId="6d012e6b15844511ade25048fef8bd12">
      <Part Type="strDalis" Nr="1" Abbr="4 str. 1 d." DocPartId="c8c05501cef04512854930facf80af90" PartId="bc90b60ba3aa41ff9989f2de8ee1b196">
        <Part Type="citata" DocPartId="99365b5e0361418395e877f12feb0469" PartId="11d0c571529b4e4a9b27c048839fc8ef">
          <Part Type="strPunktas" Nr="8" Abbr="8 p." DocPartId="aa0eec10024f4669b1543c2887281d6d" PartId="355ba5fdd7384e119283476d086bc59c"/>
        </Part>
      </Part>
    </Part>
    <Part Type="straipsnis" Nr="5" Abbr="5 str." Title="10 straipsnio pakeitimas" DocPartId="95a421c0100b4ac199bf046510733e09" PartId="c1afad8384a749088211f162ea968c67">
      <Part Type="strDalis" Nr="1" Abbr="5 str. 1 d." DocPartId="c940bbdd9aae4b5797807dff5099e096" PartId="853561b6152e4657825f01124d3f7e4e">
        <Part Type="citata" DocPartId="821bf3e5f8e24590aeb42c78f8ca9ca3" PartId="bf77ad24e9cf4992a3d46c919e245388">
          <Part Type="strDalis" Nr="2-1" Abbr="2-1 d." DocPartId="19451fb0066943c485b7031f812aedd9" PartId="59b4dd0a3aba43dd9a7c472e7ca680c2"/>
        </Part>
      </Part>
      <Part Type="strDalis" Nr="2" Abbr="5 str. 2 d." DocPartId="ef4145b8971944ce952f9a61fb6b8fef" PartId="ef6d8aeb925244bab92270069714e24f">
        <Part Type="citata" DocPartId="c0ed0a77e450410db681d26014cf6871" PartId="301206db93ef47adb8837c390758cfdb">
          <Part Type="strDalis" Nr="3" Abbr="3 d." DocPartId="7147295a4d9043a09c1fff8784ac7db3" PartId="c7237b3411b346a9933c11dfabfadad6"/>
        </Part>
      </Part>
    </Part>
    <Part Type="straipsnis" Nr="6" Abbr="6 str." Title="Statuto papildymas 18 straipsniu" DocPartId="70f5b19124d24df1bb8c64c6ebcb2ccf" PartId="d30098fa4aaa4d169708018a12323eac">
      <Part Type="strDalis" Nr="1" Abbr="6 str. 1 d." DocPartId="7825ddc8e67b4e489e3f08ce8dae5909" PartId="4295b6a5261a4540996e388bf4b9eb57">
        <Part Type="citata" DocPartId="065d46911d194da195ff1e33bf423bd2" PartId="b1b50d61f94f498995ec25c935bb8501">
          <Part Type="straipsnis" Nr="18" Abbr="18 str." Title="Kompensacijos skyrimas ar žalos atlyginimas subjektams, patyrusiems žalą dėl Lietuvos kariuomenės arba kitų Šiaurės Atlanto sutarties organizacijos valstybių ginkluotųjų pajėgų ar jų narių veiksmų naudojant karinę jėgą" DocPartId="0660dde3e6f54990be24298f3cd40a70" PartId="bd0b942bef0348208ba2730d060cb348">
            <Part Type="strDalis" Nr="1" Abbr="18 str. 1 d." DocPartId="d2640edb7b574cf4a9d61d87a1e0dfc8" PartId="63121f3b00a64ed584299b4bdc47b13d"/>
            <Part Type="strDalis" Nr="2" Abbr="18 str. 2 d." DocPartId="bb7800b064e843d69cd017022be957a8" PartId="c2aa8d3258704c818cc03c4d14e07191"/>
            <Part Type="strDalis" Nr="3" Abbr="18 str. 3 d." DocPartId="1d088c745dd349ab993607a0f3187813" PartId="dd0107e09c754f1aad2bea461711b52a"/>
            <Part Type="strDalis" Nr="4" Abbr="18 str. 4 d." DocPartId="54fd89f2e07a486fabb37a65f811f66c" PartId="d41165c5a4e14fb4bbcc39bfe974633b"/>
            <Part Type="strDalis" Nr="5" Abbr="18 str. 5 d." DocPartId="0deef07675bc4625bb46966ae85549d4" PartId="1eb9b97cc479491fa135c5d7299f3439"/>
            <Part Type="strDalis" Nr="6" Abbr="18 str. 6 d." DocPartId="b6b234d7533c473dbcd169c862862246" PartId="fad0413e50404212a973de583af065f6"/>
            <Part Type="strDalis" Nr="7" Abbr="18 str. 7 d." DocPartId="ca3154b3421346a88585122a8738677f" PartId="e4ae493d03d34748ad35e6c139f03579"/>
          </Part>
        </Part>
      </Part>
    </Part>
    <Part Type="straipsnis" Nr="7" Abbr="7 str." Title="18 straipsnio pakeitimas" DocPartId="526f2c41effd4db29226871c79f68b9b" PartId="2b90eca05ba14a1e8785fda729bc36b9">
      <Part Type="strDalis" Nr="1" Abbr="7 str. 1 d." DocPartId="7cd84a19172e4f29ab909fb9f8cb8f29" PartId="3a65103d95b64df2bee33ba6ad07fdab">
        <Part Type="citata" DocPartId="aca38e8b707f4345879307e83b662b65" PartId="ce7f43b0502d416c8ea3960bd719b202">
          <Part Type="strDalis" Nr="5" Abbr="5 d." DocPartId="510e7aab75f94e55a8fc76965d6f8868" PartId="4aa072e3514b419ba9b3380886f86c4c"/>
        </Part>
      </Part>
    </Part>
    <Part Type="straipsnis" Nr="8" Abbr="8 str." Title="Įstatymo įsigaliojimas ir įgyvendinimas" DocPartId="477c6e4db50d4a33bbb9f5a21bead38e" PartId="0e4f72faba914da6acfa86d884f2721a">
      <Part Type="strDalis" Nr="1" Abbr="8 str. 1 d." DocPartId="2e514dfb299c45e1a033191ce8b76970" PartId="ed8cc264d62c454ca7840f7d422016be"/>
      <Part Type="strDalis" Nr="2" Abbr="8 str. 2 d." DocPartId="c9783f2e4109478aa5dd9cc06969e11e" PartId="f9adc2acc95a4c438706adea77d4c5d0"/>
      <Part Type="strDalis" Nr="3" Abbr="8 str. 3 d." DocPartId="c311236f07284ab58c1207736262d1a3" PartId="2023a6e018c045e2b68af75af954593d"/>
    </Part>
    <Part Type="signatura" DocPartId="8b3001cc74bc434f82560170c37544d2" PartId="0c00a9c7a45a4b439bea8a7843bbc4b9"/>
  </Part>
</Parts>
</file>

<file path=customXml/itemProps1.xml><?xml version="1.0" encoding="utf-8"?>
<ds:datastoreItem xmlns:ds="http://schemas.openxmlformats.org/officeDocument/2006/customXml" ds:itemID="{80345C4D-2863-4B3B-95A6-90395957CB52}">
  <ds:schemaRefs>
    <ds:schemaRef ds:uri="http://schemas.openxmlformats.org/officeDocument/2006/bibliography"/>
  </ds:schemaRefs>
</ds:datastoreItem>
</file>

<file path=customXml/itemProps2.xml><?xml version="1.0" encoding="utf-8"?>
<ds:datastoreItem xmlns:ds="http://schemas.openxmlformats.org/officeDocument/2006/customXml" ds:itemID="{C1F815D8-1770-4542-B418-4823B356BC1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1139</Words>
  <Characters>7854</Characters>
  <Application>Microsoft Office Word</Application>
  <DocSecurity>4</DocSecurity>
  <Lines>140</Lines>
  <Paragraphs>49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 Seimas</Company>
  <LinksUpToDate>false</LinksUpToDate>
  <CharactersWithSpaces>8944</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2026-06-18T09:04:00Z</dcterms:created>
  <dc:creator>User</dc:creator>
  <lastModifiedBy>adlibuser</lastModifiedBy>
  <lastPrinted>2026-05-12T09:25:00Z</lastPrinted>
  <dcterms:modified xsi:type="dcterms:W3CDTF">2026-06-18T09:04:00Z</dcterms:modified>
  <revision>2</revision>
</coreProperties>
</file>