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a9bfd8b24384e9bbad87690e850e389"/>
        <w:lock w:val="sdtLocked"/>
        <w:richText/>
      </w:sdtPr>
      <w:sdtContent>
        <w:p w14:paraId="01972F57" w14:textId="77777777">
          <w:pPr>
            <w:tabs>
              <w:tab w:val="left" w:pos="1800"/>
            </w:tabs>
            <w:ind w:firstLine="6944"/>
            <w:jc w:val="both"/>
            <w:rPr>
              <w:b/>
              <w:szCs w:val="24"/>
              <w:lang w:eastAsia="lt-LT"/>
            </w:rPr>
          </w:pPr>
          <w:r>
            <w:rPr>
              <w:b/>
              <w:szCs w:val="24"/>
              <w:lang w:eastAsia="lt-LT"/>
            </w:rPr>
            <w:t>Projekto</w:t>
          </w:r>
        </w:p>
        <w:p w14:paraId="1FFFDF38" w14:textId="77777777">
          <w:pPr>
            <w:tabs>
              <w:tab w:val="left" w:pos="1800"/>
            </w:tabs>
            <w:ind w:firstLine="6944"/>
            <w:jc w:val="both"/>
            <w:rPr>
              <w:b/>
              <w:szCs w:val="24"/>
              <w:lang w:eastAsia="lt-LT"/>
            </w:rPr>
          </w:pPr>
          <w:r>
            <w:rPr>
              <w:b/>
              <w:szCs w:val="24"/>
              <w:lang w:eastAsia="lt-LT"/>
            </w:rPr>
            <w:t>lyginamasis variantas</w:t>
          </w:r>
        </w:p>
        <w:p w14:paraId="015D2078" w14:textId="77777777">
          <w:pPr>
            <w:jc w:val="center"/>
            <w:rPr>
              <w:b/>
              <w:bCs/>
              <w:szCs w:val="24"/>
              <w:lang w:eastAsia="lt-LT"/>
            </w:rPr>
          </w:pPr>
        </w:p>
        <w:p w14:paraId="30A1C908" w14:textId="21A63C1E">
          <w:pPr>
            <w:jc w:val="center"/>
            <w:rPr>
              <w:b/>
              <w:bCs/>
              <w:szCs w:val="24"/>
              <w:lang w:eastAsia="lt-LT"/>
            </w:rPr>
          </w:pPr>
          <w:r>
            <w:rPr>
              <w:b/>
              <w:bCs/>
              <w:szCs w:val="24"/>
              <w:lang w:eastAsia="lt-LT"/>
            </w:rPr>
            <w:t>LIETUVOS RESPUBLIKOS</w:t>
          </w:r>
        </w:p>
        <w:p w14:paraId="49AA08AE" w14:textId="0EDFD314">
          <w:pPr>
            <w:jc w:val="center"/>
            <w:rPr>
              <w:b/>
              <w:bCs/>
              <w:szCs w:val="24"/>
              <w:lang w:eastAsia="lt-LT"/>
            </w:rPr>
          </w:pPr>
          <w:r>
            <w:rPr>
              <w:b/>
              <w:bCs/>
              <w:szCs w:val="24"/>
              <w:lang w:eastAsia="lt-LT"/>
            </w:rPr>
            <w:t xml:space="preserve">FARMACIJOS ĮSTATYMO NR. X-709 2, 8,  57 IR 59 STRAIPSNIŲ PAKEITIMO</w:t>
          </w:r>
        </w:p>
        <w:p w14:paraId="1B1BCDB6" w14:textId="77777777">
          <w:pPr>
            <w:jc w:val="center"/>
            <w:rPr>
              <w:b/>
              <w:bCs/>
              <w:szCs w:val="24"/>
              <w:lang w:eastAsia="lt-LT"/>
            </w:rPr>
          </w:pPr>
          <w:r>
            <w:rPr>
              <w:b/>
              <w:bCs/>
              <w:szCs w:val="24"/>
              <w:lang w:eastAsia="lt-LT"/>
            </w:rPr>
            <w:t>ĮSTATYMAS</w:t>
          </w:r>
        </w:p>
        <w:p w14:paraId="14AF7212" w14:textId="77777777">
          <w:pPr>
            <w:jc w:val="center"/>
            <w:outlineLvl w:val="2"/>
            <w:rPr>
              <w:b/>
              <w:bCs/>
              <w:szCs w:val="24"/>
              <w:lang w:eastAsia="lt-LT"/>
            </w:rPr>
          </w:pPr>
        </w:p>
        <w:p w14:paraId="29B7E3CC" w14:textId="022FCB69">
          <w:pPr>
            <w:jc w:val="center"/>
            <w:rPr>
              <w:szCs w:val="24"/>
              <w:lang w:eastAsia="lt-LT"/>
            </w:rPr>
          </w:pPr>
          <w:r>
            <w:rPr>
              <w:szCs w:val="24"/>
              <w:lang w:eastAsia="lt-LT"/>
            </w:rPr>
            <w:t xml:space="preserve">2022 m.                                         d. Nr.</w:t>
          </w:r>
        </w:p>
        <w:p w14:paraId="0EAAD8FC" w14:textId="77777777">
          <w:pPr>
            <w:jc w:val="center"/>
            <w:rPr>
              <w:szCs w:val="24"/>
              <w:lang w:eastAsia="lt-LT"/>
            </w:rPr>
          </w:pPr>
          <w:r>
            <w:rPr>
              <w:szCs w:val="24"/>
              <w:lang w:eastAsia="lt-LT"/>
            </w:rPr>
            <w:t>Vilnius</w:t>
          </w:r>
        </w:p>
        <w:p w14:paraId="506F2BA5" w14:textId="77777777">
          <w:pPr>
            <w:jc w:val="center"/>
            <w:rPr>
              <w:szCs w:val="24"/>
              <w:lang w:eastAsia="lt-LT"/>
            </w:rPr>
          </w:pPr>
        </w:p>
        <w:sdt>
          <w:sdtPr>
            <w:alias w:val="1 str."/>
            <w:tag w:val="part_c2ca8e9c015d48e78106c50798b849e4"/>
            <w:lock w:val="sdtLocked"/>
            <w:richText/>
          </w:sdtPr>
          <w:sdtContent>
            <w:p w14:paraId="53EA2957"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c2ca8e9c015d48e78106c50798b849e4"/>
                  <w:lock w:val="sdtLocked"/>
                  <w:richText/>
                </w:sdtPr>
                <w:sdtContent>
                  <w:r>
                    <w:rPr>
                      <w:b/>
                      <w:bCs/>
                      <w:szCs w:val="24"/>
                      <w:lang w:eastAsia="lt-LT"/>
                    </w:rPr>
                    <w:t>1</w:t>
                  </w:r>
                </w:sdtContent>
              </w:sdt>
              <w:r>
                <w:rPr>
                  <w:b/>
                  <w:bCs/>
                  <w:szCs w:val="24"/>
                  <w:lang w:eastAsia="lt-LT"/>
                </w:rPr>
                <w:t xml:space="preserve"> straipsnis. </w:t>
              </w:r>
              <w:sdt>
                <w:sdtPr>
                  <w:alias w:val="Pavadinimas"/>
                  <w:tag w:val="title_c2ca8e9c015d48e78106c50798b849e4"/>
                  <w:lock w:val="sdtLocked"/>
                  <w:richText/>
                </w:sdtPr>
                <w:sdtContent>
                  <w:r>
                    <w:rPr>
                      <w:b/>
                      <w:bCs/>
                      <w:szCs w:val="24"/>
                      <w:lang w:eastAsia="lt-LT"/>
                    </w:rPr>
                    <w:t>2 straipsnio pakeitimas</w:t>
                  </w:r>
                </w:sdtContent>
              </w:sdt>
            </w:p>
            <w:sdt>
              <w:sdtPr>
                <w:alias w:val="1 str. 1 d."/>
                <w:tag w:val="part_0b39862b570a49a585e48dea26f47bcc"/>
                <w:lock w:val="sdtLocked"/>
                <w:richText/>
              </w:sdtPr>
              <w:sdtContent>
                <w:p w14:paraId="5940C49F" w14:textId="5814B75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68"/>
                    <w:jc w:val="both"/>
                    <w:rPr>
                      <w:bCs/>
                      <w:szCs w:val="24"/>
                      <w:lang w:eastAsia="lt-LT"/>
                    </w:rPr>
                  </w:pPr>
                  <w:sdt>
                    <w:sdtPr>
                      <w:alias w:val="Numeris"/>
                      <w:tag w:val="nr_0b39862b570a49a585e48dea26f47bcc"/>
                      <w:lock w:val="sdtLocked"/>
                      <w:richText/>
                    </w:sdtPr>
                    <w:sdtContent>
                      <w:r>
                        <w:rPr>
                          <w:bCs/>
                          <w:szCs w:val="24"/>
                          <w:lang w:eastAsia="lt-LT"/>
                        </w:rPr>
                        <w:t>1</w:t>
                      </w:r>
                    </w:sdtContent>
                  </w:sdt>
                  <w:r>
                    <w:rPr>
                      <w:bCs/>
                      <w:szCs w:val="24"/>
                      <w:lang w:eastAsia="lt-LT"/>
                    </w:rPr>
                    <w:t>. Papildyti 2 straipsnį 3</w:t>
                  </w:r>
                  <w:r>
                    <w:rPr>
                      <w:bCs/>
                      <w:szCs w:val="24"/>
                      <w:vertAlign w:val="superscript"/>
                      <w:lang w:eastAsia="lt-LT"/>
                    </w:rPr>
                    <w:t>1</w:t>
                  </w:r>
                  <w:r>
                    <w:rPr>
                      <w:bCs/>
                      <w:szCs w:val="24"/>
                      <w:lang w:eastAsia="lt-LT"/>
                    </w:rPr>
                    <w:t xml:space="preserve"> dalimi:</w:t>
                  </w:r>
                </w:p>
                <w:sdt>
                  <w:sdtPr>
                    <w:alias w:val="citata"/>
                    <w:tag w:val="part_09e32a0be0ec4631ab6560f461450eaa"/>
                    <w:lock w:val="sdtLocked"/>
                    <w:richText/>
                  </w:sdtPr>
                  <w:sdtContent>
                    <w:sdt>
                      <w:sdtPr>
                        <w:alias w:val="3-1 d."/>
                        <w:tag w:val="part_e44ac2385d5a4d4a98eff2016b13fd6d"/>
                        <w:lock w:val="sdtLocked"/>
                        <w:richText/>
                      </w:sdtPr>
                      <w:sdtContent>
                        <w:p w14:paraId="6A88A2A4" w14:textId="42826DAF">
                          <w:pPr>
                            <w:ind w:firstLine="877"/>
                            <w:jc w:val="both"/>
                            <w:rPr>
                              <w:szCs w:val="24"/>
                              <w:lang w:eastAsia="lt-LT"/>
                            </w:rPr>
                          </w:pPr>
                          <w:r>
                            <w:rPr>
                              <w:b/>
                              <w:szCs w:val="24"/>
                              <w:lang w:eastAsia="lt-LT"/>
                            </w:rPr>
                            <w:t>„</w:t>
                          </w:r>
                          <w:sdt>
                            <w:sdtPr>
                              <w:alias w:val="Numeris"/>
                              <w:tag w:val="nr_e44ac2385d5a4d4a98eff2016b13fd6d"/>
                              <w:lock w:val="sdtLocked"/>
                              <w:richText/>
                            </w:sdtPr>
                            <w:sdtContent>
                              <w:r>
                                <w:rPr>
                                  <w:b/>
                                  <w:szCs w:val="24"/>
                                  <w:lang w:eastAsia="lt-LT"/>
                                </w:rPr>
                                <w:t>3</w:t>
                              </w:r>
                              <w:r>
                                <w:rPr>
                                  <w:b/>
                                  <w:szCs w:val="24"/>
                                  <w:vertAlign w:val="superscript"/>
                                  <w:lang w:eastAsia="lt-LT"/>
                                </w:rPr>
                                <w:t>1</w:t>
                              </w:r>
                            </w:sdtContent>
                          </w:sdt>
                          <w:r>
                            <w:rPr>
                              <w:b/>
                              <w:szCs w:val="24"/>
                              <w:lang w:eastAsia="lt-LT"/>
                            </w:rPr>
                            <w:t>. Biologinis vaistinis preparatas</w:t>
                          </w:r>
                          <w:r>
                            <w:rPr>
                              <w:szCs w:val="24"/>
                              <w:lang w:eastAsia="lt-LT"/>
                            </w:rPr>
                            <w:t xml:space="preserve"> – </w:t>
                          </w:r>
                          <w:r>
                            <w:rPr>
                              <w:b/>
                              <w:szCs w:val="24"/>
                              <w:lang w:eastAsia="lt-LT"/>
                            </w:rPr>
                            <w:t>vaistinis preparatas, kurio veiklioji medžiaga yra pagaminta ar ekstrahuota iš biologinio šaltinio ir kuriai apibūdinti ir jos kokybei nustatyti yra svarbūs ir fizikiniai, cheminiai, biologiniai tyrimai, ir gamybos procesas bei jo</w:t>
                          </w:r>
                          <w:r>
                            <w:rPr>
                              <w:bCs/>
                              <w:szCs w:val="24"/>
                              <w:lang w:eastAsia="lt-LT"/>
                            </w:rPr>
                            <w:t xml:space="preserve"> </w:t>
                          </w:r>
                          <w:r>
                            <w:rPr>
                              <w:b/>
                              <w:bCs/>
                              <w:szCs w:val="24"/>
                              <w:lang w:eastAsia="lt-LT"/>
                            </w:rPr>
                            <w:t>kontrolė.</w:t>
                          </w:r>
                          <w:r>
                            <w:rPr>
                              <w:szCs w:val="24"/>
                              <w:lang w:eastAsia="lt-LT"/>
                            </w:rPr>
                            <w:t>“</w:t>
                          </w:r>
                        </w:p>
                      </w:sdtContent>
                    </w:sdt>
                  </w:sdtContent>
                </w:sdt>
              </w:sdtContent>
            </w:sdt>
            <w:sdt>
              <w:sdtPr>
                <w:alias w:val="1 str. 2 d."/>
                <w:tag w:val="part_b39a6b5b6a1549fb9166e38ad655bfbf"/>
                <w:lock w:val="sdtLocked"/>
                <w:richText/>
              </w:sdtPr>
              <w:sdtContent>
                <w:p w14:paraId="19C27511" w14:textId="74C10366">
                  <w:pPr>
                    <w:ind w:firstLine="877"/>
                    <w:jc w:val="both"/>
                    <w:rPr>
                      <w:szCs w:val="24"/>
                      <w:lang w:eastAsia="lt-LT"/>
                    </w:rPr>
                  </w:pPr>
                  <w:sdt>
                    <w:sdtPr>
                      <w:alias w:val="Numeris"/>
                      <w:tag w:val="nr_b39a6b5b6a1549fb9166e38ad655bfbf"/>
                      <w:lock w:val="sdtLocked"/>
                      <w:richText/>
                    </w:sdtPr>
                    <w:sdtContent>
                      <w:r>
                        <w:rPr>
                          <w:szCs w:val="24"/>
                          <w:lang w:eastAsia="lt-LT"/>
                        </w:rPr>
                        <w:t>2</w:t>
                      </w:r>
                    </w:sdtContent>
                  </w:sdt>
                  <w:r>
                    <w:rPr>
                      <w:szCs w:val="24"/>
                      <w:lang w:eastAsia="lt-LT"/>
                    </w:rPr>
                    <w:t>. Papildyti 2 straipsnį nauja 8</w:t>
                  </w:r>
                  <w:r>
                    <w:rPr>
                      <w:szCs w:val="24"/>
                      <w:vertAlign w:val="superscript"/>
                      <w:lang w:eastAsia="lt-LT"/>
                    </w:rPr>
                    <w:t>1</w:t>
                  </w:r>
                  <w:r>
                    <w:rPr>
                      <w:szCs w:val="24"/>
                      <w:lang w:eastAsia="lt-LT"/>
                    </w:rPr>
                    <w:t xml:space="preserve"> dalimi:</w:t>
                  </w:r>
                </w:p>
                <w:sdt>
                  <w:sdtPr>
                    <w:alias w:val="citata"/>
                    <w:tag w:val="part_2659377e0e7642d1a1020cc391da19de"/>
                    <w:lock w:val="sdtLocked"/>
                    <w:richText/>
                  </w:sdtPr>
                  <w:sdtContent>
                    <w:sdt>
                      <w:sdtPr>
                        <w:alias w:val="8-1 d."/>
                        <w:tag w:val="part_d56bdb3a9c854fd8b4a0cabfa6f870cc"/>
                        <w:lock w:val="sdtLocked"/>
                        <w:richText/>
                      </w:sdtPr>
                      <w:sdtContent>
                        <w:p w14:paraId="3D453C0B" w14:textId="2B292041">
                          <w:pPr>
                            <w:ind w:firstLine="877"/>
                            <w:jc w:val="both"/>
                            <w:rPr>
                              <w:szCs w:val="24"/>
                              <w:lang w:eastAsia="lt-LT"/>
                            </w:rPr>
                          </w:pPr>
                          <w:r>
                            <w:rPr>
                              <w:szCs w:val="24"/>
                              <w:lang w:eastAsia="lt-LT"/>
                            </w:rPr>
                            <w:t>„</w:t>
                          </w:r>
                          <w:sdt>
                            <w:sdtPr>
                              <w:alias w:val="Numeris"/>
                              <w:tag w:val="nr_d56bdb3a9c854fd8b4a0cabfa6f870cc"/>
                              <w:lock w:val="sdtLocked"/>
                              <w:richText/>
                            </w:sdtPr>
                            <w:sdtContent>
                              <w:r>
                                <w:rPr>
                                  <w:b/>
                                  <w:bCs/>
                                  <w:szCs w:val="24"/>
                                  <w:lang w:eastAsia="lt-LT"/>
                                </w:rPr>
                                <w:t>8</w:t>
                              </w:r>
                              <w:r>
                                <w:rPr>
                                  <w:b/>
                                  <w:bCs/>
                                  <w:szCs w:val="24"/>
                                  <w:vertAlign w:val="superscript"/>
                                  <w:lang w:eastAsia="lt-LT"/>
                                </w:rPr>
                                <w:t>1</w:t>
                              </w:r>
                            </w:sdtContent>
                          </w:sdt>
                          <w:r>
                            <w:rPr>
                              <w:b/>
                              <w:bCs/>
                              <w:szCs w:val="24"/>
                              <w:lang w:eastAsia="lt-LT"/>
                            </w:rPr>
                            <w:t>. Faktinė vaistinio preparato kaina (toliau – faktinė kaina)</w:t>
                          </w:r>
                          <w:r>
                            <w:rPr>
                              <w:szCs w:val="24"/>
                              <w:lang w:eastAsia="lt-LT"/>
                            </w:rPr>
                            <w:t xml:space="preserve"> </w:t>
                          </w:r>
                          <w:r>
                            <w:rPr>
                              <w:b/>
                              <w:bCs/>
                              <w:szCs w:val="24"/>
                              <w:lang w:eastAsia="lt-LT"/>
                            </w:rPr>
                            <w:t xml:space="preserve">– Valstybinės ligonių kasos prie Sveikatos apsaugos ministerijos su kompensuojamojo vaistinio preparato tiekėju sudarytoje gydymo prieinamumo gerinimo ir rizikos pasidalijimo sutartyje nustatyta vaistinio preparato kaina arba kaina su nuolaida, jeigu vaistinio preparato kainai  sveikatos apsaugos ministro nustatyta tvarka taikomos </w:t>
                          </w:r>
                          <w:r>
                            <w:rPr>
                              <w:b/>
                              <w:bCs/>
                              <w:szCs w:val="24"/>
                              <w:lang w:eastAsia="en-GB"/>
                            </w:rPr>
                            <w:t>nuolaidos</w:t>
                          </w:r>
                          <w:r>
                            <w:rPr>
                              <w:szCs w:val="24"/>
                              <w:lang w:eastAsia="en-GB"/>
                            </w:rPr>
                            <w:t>.</w:t>
                          </w:r>
                          <w:r>
                            <w:rPr>
                              <w:b/>
                              <w:bCs/>
                              <w:szCs w:val="24"/>
                              <w:lang w:eastAsia="en-GB"/>
                            </w:rPr>
                            <w:t>“</w:t>
                          </w:r>
                        </w:p>
                      </w:sdtContent>
                    </w:sdt>
                  </w:sdtContent>
                </w:sdt>
              </w:sdtContent>
            </w:sdt>
            <w:sdt>
              <w:sdtPr>
                <w:alias w:val="1 str. 3 d."/>
                <w:tag w:val="part_d97eac5b5e7d4d14b374538be3f7c47a"/>
                <w:lock w:val="sdtLocked"/>
                <w:richText/>
              </w:sdtPr>
              <w:sdtContent>
                <w:p w14:paraId="28F72B2E" w14:textId="638C74C5">
                  <w:pPr>
                    <w:ind w:firstLine="877"/>
                    <w:jc w:val="both"/>
                    <w:rPr>
                      <w:szCs w:val="24"/>
                      <w:lang w:eastAsia="lt-LT"/>
                    </w:rPr>
                  </w:pPr>
                  <w:sdt>
                    <w:sdtPr>
                      <w:alias w:val="Numeris"/>
                      <w:tag w:val="nr_d97eac5b5e7d4d14b374538be3f7c47a"/>
                      <w:lock w:val="sdtLocked"/>
                      <w:richText/>
                    </w:sdtPr>
                    <w:sdtContent>
                      <w:r>
                        <w:rPr>
                          <w:szCs w:val="24"/>
                          <w:lang w:eastAsia="lt-LT"/>
                        </w:rPr>
                        <w:t>3</w:t>
                      </w:r>
                    </w:sdtContent>
                  </w:sdt>
                  <w:r>
                    <w:rPr>
                      <w:szCs w:val="24"/>
                      <w:lang w:eastAsia="lt-LT"/>
                    </w:rPr>
                    <w:t>. Buvusią 2 straipsnio 8</w:t>
                  </w:r>
                  <w:r>
                    <w:rPr>
                      <w:szCs w:val="24"/>
                      <w:vertAlign w:val="superscript"/>
                      <w:lang w:eastAsia="lt-LT"/>
                    </w:rPr>
                    <w:t>1</w:t>
                  </w:r>
                  <w:r>
                    <w:rPr>
                      <w:szCs w:val="24"/>
                      <w:lang w:eastAsia="lt-LT"/>
                    </w:rPr>
                    <w:t xml:space="preserve"> dalį laikyti 8</w:t>
                  </w:r>
                  <w:r>
                    <w:rPr>
                      <w:szCs w:val="24"/>
                      <w:vertAlign w:val="superscript"/>
                      <w:lang w:eastAsia="lt-LT"/>
                    </w:rPr>
                    <w:t>2</w:t>
                  </w:r>
                  <w:r>
                    <w:rPr>
                      <w:szCs w:val="24"/>
                      <w:lang w:eastAsia="lt-LT"/>
                    </w:rPr>
                    <w:t xml:space="preserve"> dalimi.</w:t>
                  </w:r>
                </w:p>
              </w:sdtContent>
            </w:sdt>
            <w:sdt>
              <w:sdtPr>
                <w:alias w:val="1 str. 4 d."/>
                <w:tag w:val="part_cb0f192896484d1c88f1f9054a710457"/>
                <w:lock w:val="sdtLocked"/>
                <w:richText/>
              </w:sdtPr>
              <w:sdtContent>
                <w:p w14:paraId="0EEE8F3E" w14:textId="5CC99143">
                  <w:pPr>
                    <w:ind w:firstLine="877"/>
                    <w:jc w:val="both"/>
                    <w:rPr>
                      <w:szCs w:val="24"/>
                      <w:lang w:eastAsia="lt-LT"/>
                    </w:rPr>
                  </w:pPr>
                  <w:sdt>
                    <w:sdtPr>
                      <w:alias w:val="Numeris"/>
                      <w:tag w:val="nr_cb0f192896484d1c88f1f9054a710457"/>
                      <w:lock w:val="sdtLocked"/>
                      <w:richText/>
                    </w:sdtPr>
                    <w:sdtContent>
                      <w:r>
                        <w:rPr>
                          <w:szCs w:val="24"/>
                          <w:lang w:eastAsia="lt-LT"/>
                        </w:rPr>
                        <w:t>4</w:t>
                      </w:r>
                    </w:sdtContent>
                  </w:sdt>
                  <w:r>
                    <w:rPr>
                      <w:szCs w:val="24"/>
                      <w:lang w:eastAsia="lt-LT"/>
                    </w:rPr>
                    <w:t>. Papildyti 2 straipsnį 23</w:t>
                  </w:r>
                  <w:r>
                    <w:rPr>
                      <w:szCs w:val="24"/>
                      <w:vertAlign w:val="superscript"/>
                      <w:lang w:eastAsia="lt-LT"/>
                    </w:rPr>
                    <w:t>1</w:t>
                  </w:r>
                  <w:r>
                    <w:rPr>
                      <w:szCs w:val="24"/>
                      <w:lang w:eastAsia="lt-LT"/>
                    </w:rPr>
                    <w:t xml:space="preserve"> dalimi:</w:t>
                  </w:r>
                </w:p>
                <w:sdt>
                  <w:sdtPr>
                    <w:alias w:val="citata"/>
                    <w:tag w:val="part_3fe042b68ab942b5938cf6e5bc873936"/>
                    <w:lock w:val="sdtLocked"/>
                    <w:richText/>
                  </w:sdtPr>
                  <w:sdtContent>
                    <w:sdt>
                      <w:sdtPr>
                        <w:alias w:val="25-2 d."/>
                        <w:tag w:val="part_53e8bb1815e34fe6811ab8e27451a808"/>
                        <w:lock w:val="sdtLocked"/>
                        <w:richText/>
                      </w:sdtPr>
                      <w:sdtContent>
                        <w:p w14:paraId="70F9F26C" w14:textId="77777777">
                          <w:pPr>
                            <w:ind w:firstLine="877"/>
                            <w:jc w:val="both"/>
                            <w:rPr>
                              <w:b/>
                              <w:bCs/>
                              <w:sz w:val="22"/>
                              <w:szCs w:val="22"/>
                              <w:lang w:eastAsia="lt-LT"/>
                            </w:rPr>
                          </w:pPr>
                          <w:r>
                            <w:rPr>
                              <w:szCs w:val="24"/>
                              <w:lang w:eastAsia="lt-LT"/>
                            </w:rPr>
                            <w:t>„</w:t>
                          </w:r>
                          <w:sdt>
                            <w:sdtPr>
                              <w:alias w:val="Numeris"/>
                              <w:tag w:val="nr_53e8bb1815e34fe6811ab8e27451a808"/>
                              <w:lock w:val="sdtLocked"/>
                              <w:richText/>
                            </w:sdtPr>
                            <w:sdtContent>
                              <w:r>
                                <w:rPr>
                                  <w:szCs w:val="24"/>
                                  <w:lang w:eastAsia="lt-LT"/>
                                </w:rPr>
                                <w:t>25</w:t>
                              </w:r>
                              <w:r>
                                <w:rPr>
                                  <w:szCs w:val="24"/>
                                  <w:vertAlign w:val="superscript"/>
                                  <w:lang w:eastAsia="lt-LT"/>
                                </w:rPr>
                                <w:t>2</w:t>
                              </w:r>
                            </w:sdtContent>
                          </w:sdt>
                          <w:r>
                            <w:rPr>
                              <w:szCs w:val="24"/>
                              <w:lang w:eastAsia="lt-LT"/>
                            </w:rPr>
                            <w:t xml:space="preserve">. </w:t>
                          </w:r>
                          <w:r>
                            <w:rPr>
                              <w:b/>
                              <w:bCs/>
                              <w:szCs w:val="24"/>
                              <w:lang w:eastAsia="lt-LT"/>
                            </w:rPr>
                            <w:t>Kompensuojamosios medicinos pagalbos priemonės</w:t>
                          </w:r>
                          <w:r>
                            <w:rPr>
                              <w:szCs w:val="24"/>
                              <w:lang w:eastAsia="lt-LT"/>
                            </w:rPr>
                            <w:t xml:space="preserve"> – </w:t>
                          </w:r>
                          <w:r>
                            <w:rPr>
                              <w:b/>
                              <w:bCs/>
                              <w:szCs w:val="24"/>
                              <w:lang w:eastAsia="lt-LT"/>
                            </w:rPr>
                            <w:t xml:space="preserve">medicinos  priemonės, kaip ši sąvoka suprantama Lietuvos Respublikos sveikatos sistemos įstatyme, kurios įrašytos į Kompensuojamųjų medicinos pagalbos priemonių kainyną ir kurių įsigijimo išlaidos ar jų dalis privalomuoju sveikatos draudimu apdraustiems asmenims yra kompensuojama iš Privalomojo sveikatos draudimo fondo biudžeto lėšų.“</w:t>
                          </w:r>
                        </w:p>
                      </w:sdtContent>
                    </w:sdt>
                  </w:sdtContent>
                </w:sdt>
              </w:sdtContent>
            </w:sdt>
            <w:sdt>
              <w:sdtPr>
                <w:alias w:val="1 str. 5 d."/>
                <w:tag w:val="part_1844c92069b34109b0b707219f31eeed"/>
                <w:lock w:val="sdtLocked"/>
                <w:richText/>
              </w:sdtPr>
              <w:sdtContent>
                <w:p w14:paraId="16CC3B7D" w14:textId="4E938488">
                  <w:pPr>
                    <w:ind w:firstLine="877"/>
                    <w:jc w:val="both"/>
                    <w:rPr>
                      <w:szCs w:val="24"/>
                      <w:lang w:eastAsia="lt-LT"/>
                    </w:rPr>
                  </w:pPr>
                  <w:sdt>
                    <w:sdtPr>
                      <w:alias w:val="Numeris"/>
                      <w:tag w:val="nr_1844c92069b34109b0b707219f31eeed"/>
                      <w:lock w:val="sdtLocked"/>
                      <w:richText/>
                    </w:sdtPr>
                    <w:sdtContent>
                      <w:r>
                        <w:rPr>
                          <w:szCs w:val="24"/>
                          <w:lang w:eastAsia="lt-LT"/>
                        </w:rPr>
                        <w:t>5</w:t>
                      </w:r>
                    </w:sdtContent>
                  </w:sdt>
                  <w:r>
                    <w:rPr>
                      <w:color w:val="000000"/>
                      <w:szCs w:val="24"/>
                      <w:lang w:eastAsia="lt-LT"/>
                    </w:rPr>
                    <w:t xml:space="preserve">. Papildyti 2 straipsnį </w:t>
                  </w:r>
                  <w:r>
                    <w:rPr>
                      <w:bCs/>
                      <w:szCs w:val="24"/>
                      <w:lang w:eastAsia="lt-LT"/>
                    </w:rPr>
                    <w:t>25</w:t>
                  </w:r>
                  <w:r>
                    <w:rPr>
                      <w:bCs/>
                      <w:szCs w:val="24"/>
                      <w:vertAlign w:val="superscript"/>
                      <w:lang w:eastAsia="lt-LT"/>
                    </w:rPr>
                    <w:t>1</w:t>
                  </w:r>
                  <w:r>
                    <w:rPr>
                      <w:bCs/>
                      <w:szCs w:val="24"/>
                      <w:lang w:eastAsia="lt-LT"/>
                    </w:rPr>
                    <w:t xml:space="preserve"> dalimi:</w:t>
                  </w:r>
                </w:p>
                <w:sdt>
                  <w:sdtPr>
                    <w:alias w:val="citata"/>
                    <w:tag w:val="part_50ad23e4b139456bb8acb849431baefb"/>
                    <w:lock w:val="sdtLocked"/>
                    <w:richText/>
                  </w:sdtPr>
                  <w:sdtContent>
                    <w:sdt>
                      <w:sdtPr>
                        <w:alias w:val="25-1 d."/>
                        <w:tag w:val="part_9c619461f45c4fd0970e5cb0ba02cfc4"/>
                        <w:lock w:val="sdtLocked"/>
                        <w:richText/>
                      </w:sdtPr>
                      <w:sdtContent>
                        <w:p w14:paraId="41CDE71E" w14:textId="23B62D21">
                          <w:pPr>
                            <w:ind w:firstLine="877"/>
                            <w:jc w:val="both"/>
                            <w:rPr>
                              <w:szCs w:val="24"/>
                              <w:lang w:eastAsia="lt-LT"/>
                            </w:rPr>
                          </w:pPr>
                          <w:r>
                            <w:rPr>
                              <w:bCs/>
                              <w:szCs w:val="24"/>
                              <w:lang w:eastAsia="lt-LT"/>
                            </w:rPr>
                            <w:t>„</w:t>
                          </w:r>
                          <w:sdt>
                            <w:sdtPr>
                              <w:alias w:val="Numeris"/>
                              <w:tag w:val="nr_9c619461f45c4fd0970e5cb0ba02cfc4"/>
                              <w:lock w:val="sdtLocked"/>
                              <w:richText/>
                            </w:sdtPr>
                            <w:sdtContent>
                              <w:r>
                                <w:rPr>
                                  <w:bCs/>
                                  <w:szCs w:val="24"/>
                                  <w:lang w:eastAsia="lt-LT"/>
                                </w:rPr>
                                <w:t>25</w:t>
                              </w:r>
                              <w:r>
                                <w:rPr>
                                  <w:bCs/>
                                  <w:szCs w:val="24"/>
                                  <w:vertAlign w:val="superscript"/>
                                  <w:lang w:eastAsia="lt-LT"/>
                                </w:rPr>
                                <w:t>1</w:t>
                              </w:r>
                            </w:sdtContent>
                          </w:sdt>
                          <w:r>
                            <w:rPr>
                              <w:bCs/>
                              <w:szCs w:val="24"/>
                              <w:lang w:eastAsia="lt-LT"/>
                            </w:rPr>
                            <w:t xml:space="preserve">. </w:t>
                          </w:r>
                          <w:r>
                            <w:rPr>
                              <w:b/>
                              <w:iCs/>
                              <w:szCs w:val="24"/>
                              <w:lang w:eastAsia="lt-LT"/>
                            </w:rPr>
                            <w:t>Mažo terapinio indekso vaistiniai preparatai</w:t>
                          </w:r>
                          <w:r>
                            <w:rPr>
                              <w:iCs/>
                              <w:szCs w:val="24"/>
                              <w:lang w:eastAsia="lt-LT"/>
                            </w:rPr>
                            <w:t xml:space="preserve"> – </w:t>
                          </w:r>
                          <w:r>
                            <w:rPr>
                              <w:b/>
                              <w:bCs/>
                              <w:iCs/>
                              <w:szCs w:val="24"/>
                              <w:lang w:eastAsia="lt-LT"/>
                            </w:rPr>
                            <w:t xml:space="preserve">į </w:t>
                          </w:r>
                          <w:r>
                            <w:rPr>
                              <w:b/>
                              <w:bCs/>
                              <w:szCs w:val="24"/>
                              <w:lang w:eastAsia="lt-LT"/>
                            </w:rPr>
                            <w:t>sveikatos apsaugos ministro tvirtinamą sąrašą įtraukti vaistiniai preparatai, kurie net dėl nedidelio veikliosios medžiagos koncentracijos organizme nuokrypio gali turėti nepakankamą terapinį poveikį arba sukelti nepageidaujamas reakcijas ir dėl to gali būti keičiami kitais to paties bendrinio pavadinimo vaistiniais preparatais tik gydytojo nurodymu.</w:t>
                          </w:r>
                          <w:r>
                            <w:rPr>
                              <w:szCs w:val="24"/>
                              <w:lang w:eastAsia="lt-LT"/>
                            </w:rPr>
                            <w:t>“</w:t>
                          </w:r>
                        </w:p>
                      </w:sdtContent>
                    </w:sdt>
                  </w:sdtContent>
                </w:sdt>
              </w:sdtContent>
            </w:sdt>
            <w:sdt>
              <w:sdtPr>
                <w:alias w:val="1 str. 6 d."/>
                <w:tag w:val="part_94624d858593494fa56fb6db9f585661"/>
                <w:lock w:val="sdtLocked"/>
                <w:richText/>
              </w:sdtPr>
              <w:sdtContent>
                <w:p w14:paraId="0018D3AF" w14:textId="0713CDD1">
                  <w:pPr>
                    <w:ind w:firstLine="939"/>
                    <w:jc w:val="both"/>
                    <w:rPr>
                      <w:szCs w:val="24"/>
                      <w:lang w:eastAsia="lt-LT"/>
                    </w:rPr>
                  </w:pPr>
                  <w:sdt>
                    <w:sdtPr>
                      <w:alias w:val="Numeris"/>
                      <w:tag w:val="nr_94624d858593494fa56fb6db9f585661"/>
                      <w:lock w:val="sdtLocked"/>
                      <w:richText/>
                    </w:sdtPr>
                    <w:sdtContent>
                      <w:r>
                        <w:rPr>
                          <w:szCs w:val="24"/>
                          <w:lang w:eastAsia="lt-LT"/>
                        </w:rPr>
                        <w:t>6</w:t>
                      </w:r>
                    </w:sdtContent>
                  </w:sdt>
                  <w:r>
                    <w:rPr>
                      <w:szCs w:val="24"/>
                      <w:lang w:eastAsia="lt-LT"/>
                    </w:rPr>
                    <w:t>. Papildyti 2 straipsnį 30</w:t>
                  </w:r>
                  <w:r>
                    <w:rPr>
                      <w:szCs w:val="24"/>
                      <w:vertAlign w:val="superscript"/>
                      <w:lang w:eastAsia="lt-LT"/>
                    </w:rPr>
                    <w:t>4</w:t>
                  </w:r>
                  <w:r>
                    <w:rPr>
                      <w:szCs w:val="24"/>
                      <w:lang w:eastAsia="lt-LT"/>
                    </w:rPr>
                    <w:t xml:space="preserve"> dalimi:</w:t>
                  </w:r>
                </w:p>
                <w:sdt>
                  <w:sdtPr>
                    <w:alias w:val="citata"/>
                    <w:tag w:val="part_ff968ce607c6439f874e6e3c23a16689"/>
                    <w:lock w:val="sdtLocked"/>
                    <w:richText/>
                  </w:sdtPr>
                  <w:sdtContent>
                    <w:sdt>
                      <w:sdtPr>
                        <w:alias w:val="30-4 d."/>
                        <w:tag w:val="part_1f78e3451600484298fa75f0103062bf"/>
                        <w:lock w:val="sdtLocked"/>
                        <w:richText/>
                      </w:sdtPr>
                      <w:sdtContent>
                        <w:p w14:paraId="7B3EA319" w14:textId="13BD0C72">
                          <w:pPr>
                            <w:ind w:firstLine="1001"/>
                            <w:jc w:val="both"/>
                            <w:rPr>
                              <w:b/>
                              <w:bCs/>
                              <w:szCs w:val="24"/>
                              <w:lang w:eastAsia="lt-LT"/>
                            </w:rPr>
                          </w:pPr>
                          <w:r>
                            <w:rPr>
                              <w:szCs w:val="24"/>
                              <w:lang w:eastAsia="lt-LT"/>
                            </w:rPr>
                            <w:t>„</w:t>
                          </w:r>
                          <w:sdt>
                            <w:sdtPr>
                              <w:alias w:val="Numeris"/>
                              <w:tag w:val="nr_1f78e3451600484298fa75f0103062bf"/>
                              <w:lock w:val="sdtLocked"/>
                              <w:richText/>
                            </w:sdtPr>
                            <w:sdtContent>
                              <w:r>
                                <w:rPr>
                                  <w:b/>
                                  <w:bCs/>
                                  <w:szCs w:val="24"/>
                                  <w:lang w:eastAsia="lt-LT"/>
                                </w:rPr>
                                <w:t>30</w:t>
                              </w:r>
                              <w:r>
                                <w:rPr>
                                  <w:b/>
                                  <w:bCs/>
                                  <w:szCs w:val="24"/>
                                  <w:vertAlign w:val="superscript"/>
                                  <w:lang w:eastAsia="lt-LT"/>
                                </w:rPr>
                                <w:t>4</w:t>
                              </w:r>
                            </w:sdtContent>
                          </w:sdt>
                          <w:r>
                            <w:rPr>
                              <w:b/>
                              <w:bCs/>
                              <w:szCs w:val="24"/>
                              <w:lang w:eastAsia="lt-LT"/>
                            </w:rPr>
                            <w:t>. Panašaus terapinio poveikio vaistiniai preparatai – skirtingų bendrinių pavadinimų, tačiau artimo terapinio poveikio ir saugumo vaistiniai preparatai, kurie gydytojo gali būti keičiami vieni kitais.“</w:t>
                          </w:r>
                        </w:p>
                      </w:sdtContent>
                    </w:sdt>
                  </w:sdtContent>
                </w:sdt>
              </w:sdtContent>
            </w:sdt>
            <w:sdt>
              <w:sdtPr>
                <w:alias w:val="1 str. 7 d."/>
                <w:tag w:val="part_2b1d643000db49f4a8aa86c1904114b8"/>
                <w:lock w:val="sdtLocked"/>
                <w:richText/>
              </w:sdtPr>
              <w:sdtContent>
                <w:p w14:paraId="24B138D2" w14:textId="4A47DBC2">
                  <w:pPr>
                    <w:ind w:firstLine="1001"/>
                    <w:jc w:val="both"/>
                    <w:rPr>
                      <w:szCs w:val="24"/>
                      <w:lang w:eastAsia="lt-LT"/>
                    </w:rPr>
                  </w:pPr>
                  <w:sdt>
                    <w:sdtPr>
                      <w:alias w:val="Numeris"/>
                      <w:tag w:val="nr_2b1d643000db49f4a8aa86c1904114b8"/>
                      <w:lock w:val="sdtLocked"/>
                      <w:richText/>
                    </w:sdtPr>
                    <w:sdtContent>
                      <w:r>
                        <w:rPr>
                          <w:szCs w:val="24"/>
                          <w:lang w:eastAsia="lt-LT"/>
                        </w:rPr>
                        <w:t>7</w:t>
                      </w:r>
                    </w:sdtContent>
                  </w:sdt>
                  <w:r>
                    <w:rPr>
                      <w:szCs w:val="24"/>
                      <w:lang w:eastAsia="lt-LT"/>
                    </w:rPr>
                    <w:t>. Papildyti 2 straipsnį 30</w:t>
                  </w:r>
                  <w:r>
                    <w:rPr>
                      <w:szCs w:val="24"/>
                      <w:vertAlign w:val="superscript"/>
                      <w:lang w:eastAsia="lt-LT"/>
                    </w:rPr>
                    <w:t>5</w:t>
                  </w:r>
                  <w:r>
                    <w:rPr>
                      <w:szCs w:val="24"/>
                      <w:lang w:eastAsia="lt-LT"/>
                    </w:rPr>
                    <w:t xml:space="preserve"> dalimi:</w:t>
                  </w:r>
                </w:p>
                <w:sdt>
                  <w:sdtPr>
                    <w:alias w:val="citata"/>
                    <w:tag w:val="part_98e0680badc14f1f88f299b9e96a269c"/>
                    <w:lock w:val="sdtLocked"/>
                    <w:richText/>
                  </w:sdtPr>
                  <w:sdtContent>
                    <w:sdt>
                      <w:sdtPr>
                        <w:alias w:val="30-5 d."/>
                        <w:tag w:val="part_81c83bc5ed3346f396112ead194eca46"/>
                        <w:lock w:val="sdtLocked"/>
                        <w:richText/>
                      </w:sdtPr>
                      <w:sdtContent>
                        <w:p w14:paraId="4C2770BA" w14:textId="56933765">
                          <w:pPr>
                            <w:ind w:firstLine="992"/>
                            <w:jc w:val="both"/>
                            <w:rPr>
                              <w:szCs w:val="24"/>
                              <w:lang w:eastAsia="lt-LT"/>
                            </w:rPr>
                          </w:pPr>
                          <w:r>
                            <w:rPr>
                              <w:b/>
                              <w:bCs/>
                              <w:szCs w:val="24"/>
                              <w:lang w:eastAsia="lt-LT"/>
                            </w:rPr>
                            <w:t>„</w:t>
                          </w:r>
                          <w:sdt>
                            <w:sdtPr>
                              <w:alias w:val="Numeris"/>
                              <w:tag w:val="nr_81c83bc5ed3346f396112ead194eca46"/>
                              <w:lock w:val="sdtLocked"/>
                              <w:richText/>
                            </w:sdtPr>
                            <w:sdtContent>
                              <w:r>
                                <w:rPr>
                                  <w:b/>
                                  <w:bCs/>
                                  <w:szCs w:val="24"/>
                                  <w:lang w:eastAsia="lt-LT"/>
                                </w:rPr>
                                <w:t>30</w:t>
                              </w:r>
                              <w:r>
                                <w:rPr>
                                  <w:b/>
                                  <w:bCs/>
                                  <w:szCs w:val="24"/>
                                  <w:vertAlign w:val="superscript"/>
                                  <w:lang w:eastAsia="lt-LT"/>
                                </w:rPr>
                                <w:t>5</w:t>
                              </w:r>
                            </w:sdtContent>
                          </w:sdt>
                          <w:r>
                            <w:rPr>
                              <w:b/>
                              <w:bCs/>
                              <w:szCs w:val="24"/>
                              <w:lang w:eastAsia="lt-LT"/>
                            </w:rPr>
                            <w:t>.</w:t>
                          </w:r>
                          <w:r>
                            <w:rPr>
                              <w:szCs w:val="24"/>
                              <w:lang w:eastAsia="lt-LT"/>
                            </w:rPr>
                            <w:t xml:space="preserve"> </w:t>
                          </w:r>
                          <w:r>
                            <w:rPr>
                              <w:b/>
                              <w:bCs/>
                              <w:szCs w:val="24"/>
                              <w:lang w:eastAsia="lt-LT"/>
                            </w:rPr>
                            <w:t>Panašus biologinis vaistinis preparatas – dėl žaliavų ar gamybos procesų skirtumų generinio vaistinio preparato sąvokos neatitinkantis biologinis vaistinis preparatas, kurio panašumas į referencinį biologinį vaistinį preparatą įrodytas ikiklinikiniais ir klinikiniais tyrimais.</w:t>
                          </w:r>
                          <w:r>
                            <w:rPr>
                              <w:szCs w:val="24"/>
                              <w:lang w:eastAsia="lt-LT"/>
                            </w:rPr>
                            <w:t>“</w:t>
                          </w:r>
                        </w:p>
                      </w:sdtContent>
                    </w:sdt>
                  </w:sdtContent>
                </w:sdt>
              </w:sdtContent>
            </w:sdt>
            <w:sdt>
              <w:sdtPr>
                <w:alias w:val="1 str. 8 d."/>
                <w:tag w:val="part_eb85329441d44b82b03586cbe7906dcc"/>
                <w:lock w:val="sdtLocked"/>
                <w:richText/>
              </w:sdtPr>
              <w:sdtContent>
                <w:p w14:paraId="31AB9B09" w14:textId="1DCB7E8E">
                  <w:pPr>
                    <w:ind w:firstLine="1001"/>
                    <w:jc w:val="both"/>
                    <w:rPr>
                      <w:szCs w:val="24"/>
                      <w:lang w:eastAsia="lt-LT"/>
                    </w:rPr>
                  </w:pPr>
                  <w:sdt>
                    <w:sdtPr>
                      <w:alias w:val="Numeris"/>
                      <w:tag w:val="nr_eb85329441d44b82b03586cbe7906dcc"/>
                      <w:lock w:val="sdtLocked"/>
                      <w:richText/>
                    </w:sdtPr>
                    <w:sdtContent>
                      <w:r>
                        <w:rPr>
                          <w:szCs w:val="24"/>
                          <w:lang w:eastAsia="lt-LT"/>
                        </w:rPr>
                        <w:t>8</w:t>
                      </w:r>
                    </w:sdtContent>
                  </w:sdt>
                  <w:r>
                    <w:rPr>
                      <w:szCs w:val="24"/>
                      <w:lang w:eastAsia="lt-LT"/>
                    </w:rPr>
                    <w:t>. Papildyti 2 straipsnį 41</w:t>
                  </w:r>
                  <w:r>
                    <w:rPr>
                      <w:szCs w:val="24"/>
                      <w:vertAlign w:val="superscript"/>
                      <w:lang w:eastAsia="lt-LT"/>
                    </w:rPr>
                    <w:t>1</w:t>
                  </w:r>
                  <w:r>
                    <w:rPr>
                      <w:szCs w:val="24"/>
                      <w:lang w:eastAsia="lt-LT"/>
                    </w:rPr>
                    <w:t xml:space="preserve"> dalimi:</w:t>
                  </w:r>
                </w:p>
                <w:sdt>
                  <w:sdtPr>
                    <w:alias w:val="citata"/>
                    <w:tag w:val="part_a12cf4c81870427490cf17026bdf3035"/>
                    <w:lock w:val="sdtLocked"/>
                    <w:richText/>
                  </w:sdtPr>
                  <w:sdtContent>
                    <w:sdt>
                      <w:sdtPr>
                        <w:alias w:val="41-1 d."/>
                        <w:tag w:val="part_2492949275264f8daa581d0076d9a61c"/>
                        <w:lock w:val="sdtLocked"/>
                        <w:richText/>
                      </w:sdtPr>
                      <w:sdtContent>
                        <w:p w14:paraId="518F9D6B" w14:textId="20947469">
                          <w:pPr>
                            <w:ind w:firstLine="992"/>
                            <w:jc w:val="both"/>
                            <w:rPr>
                              <w:b/>
                              <w:bCs/>
                              <w:szCs w:val="24"/>
                              <w:lang w:eastAsia="lt-LT"/>
                            </w:rPr>
                          </w:pPr>
                          <w:r>
                            <w:rPr>
                              <w:szCs w:val="24"/>
                              <w:lang w:eastAsia="lt-LT"/>
                            </w:rPr>
                            <w:t>„</w:t>
                          </w:r>
                          <w:sdt>
                            <w:sdtPr>
                              <w:alias w:val="Numeris"/>
                              <w:tag w:val="nr_2492949275264f8daa581d0076d9a61c"/>
                              <w:lock w:val="sdtLocked"/>
                              <w:richText/>
                            </w:sdtPr>
                            <w:sdtContent>
                              <w:r>
                                <w:rPr>
                                  <w:b/>
                                  <w:bCs/>
                                  <w:szCs w:val="24"/>
                                  <w:lang w:eastAsia="lt-LT"/>
                                </w:rPr>
                                <w:t>41</w:t>
                              </w:r>
                              <w:r>
                                <w:rPr>
                                  <w:b/>
                                  <w:bCs/>
                                  <w:szCs w:val="24"/>
                                  <w:vertAlign w:val="superscript"/>
                                  <w:lang w:eastAsia="lt-LT"/>
                                </w:rPr>
                                <w:t>1</w:t>
                              </w:r>
                            </w:sdtContent>
                          </w:sdt>
                          <w:r>
                            <w:rPr>
                              <w:b/>
                              <w:bCs/>
                              <w:szCs w:val="24"/>
                              <w:lang w:eastAsia="lt-LT"/>
                            </w:rPr>
                            <w:t xml:space="preserve">.  Sudėtinis vaistinis preparatas – vaistinis preparatas, į kurio sudėtį įeina dvi ar daugiau veikliųjų medžiagų, kurios atskirai (po vieną) gali įeiti į kitų vaistinių preparatų sudėtį.“</w:t>
                          </w:r>
                        </w:p>
                      </w:sdtContent>
                    </w:sdt>
                  </w:sdtContent>
                </w:sdt>
              </w:sdtContent>
            </w:sdt>
            <w:sdt>
              <w:sdtPr>
                <w:alias w:val="1 str. 9 d."/>
                <w:tag w:val="part_70f8950849cc49e3a2f0ab69945a661c"/>
                <w:lock w:val="sdtLocked"/>
                <w:richText/>
              </w:sdtPr>
              <w:sdtContent>
                <w:p w14:paraId="70D8DCC1" w14:textId="6906E0B1">
                  <w:pPr>
                    <w:ind w:firstLine="1001"/>
                    <w:jc w:val="both"/>
                    <w:rPr>
                      <w:szCs w:val="24"/>
                      <w:lang w:eastAsia="lt-LT"/>
                    </w:rPr>
                  </w:pPr>
                  <w:sdt>
                    <w:sdtPr>
                      <w:alias w:val="Numeris"/>
                      <w:tag w:val="nr_70f8950849cc49e3a2f0ab69945a661c"/>
                      <w:lock w:val="sdtLocked"/>
                      <w:richText/>
                    </w:sdtPr>
                    <w:sdtContent>
                      <w:r>
                        <w:rPr>
                          <w:szCs w:val="24"/>
                          <w:lang w:val="en-US" w:eastAsia="lt-LT"/>
                        </w:rPr>
                        <w:t>9</w:t>
                      </w:r>
                    </w:sdtContent>
                  </w:sdt>
                  <w:r>
                    <w:rPr>
                      <w:szCs w:val="24"/>
                      <w:lang w:eastAsia="lt-LT"/>
                    </w:rPr>
                    <w:t>. Papildyti 2 straipsnį 54</w:t>
                  </w:r>
                  <w:r>
                    <w:rPr>
                      <w:szCs w:val="24"/>
                      <w:vertAlign w:val="superscript"/>
                      <w:lang w:eastAsia="lt-LT"/>
                    </w:rPr>
                    <w:t>4</w:t>
                  </w:r>
                  <w:r>
                    <w:rPr>
                      <w:szCs w:val="24"/>
                      <w:lang w:eastAsia="lt-LT"/>
                    </w:rPr>
                    <w:t xml:space="preserve"> dalimi:</w:t>
                  </w:r>
                </w:p>
                <w:sdt>
                  <w:sdtPr>
                    <w:alias w:val="citata"/>
                    <w:tag w:val="part_1c6e7754969142b391c27c417302c09f"/>
                    <w:lock w:val="sdtLocked"/>
                    <w:richText/>
                  </w:sdtPr>
                  <w:sdtContent>
                    <w:sdt>
                      <w:sdtPr>
                        <w:alias w:val="54-4 d."/>
                        <w:tag w:val="part_c92c6e7d272d4961bbd4c5490fc34546"/>
                        <w:lock w:val="sdtLocked"/>
                        <w:richText/>
                      </w:sdtPr>
                      <w:sdtContent>
                        <w:p w14:paraId="292EE548" w14:textId="01E6BE49">
                          <w:pPr>
                            <w:ind w:firstLine="1001"/>
                            <w:jc w:val="both"/>
                            <w:rPr>
                              <w:b/>
                              <w:szCs w:val="24"/>
                              <w:lang w:eastAsia="lt-LT"/>
                            </w:rPr>
                          </w:pPr>
                          <w:r>
                            <w:rPr>
                              <w:b/>
                              <w:szCs w:val="24"/>
                              <w:lang w:eastAsia="lt-LT"/>
                            </w:rPr>
                            <w:t>„</w:t>
                          </w:r>
                          <w:sdt>
                            <w:sdtPr>
                              <w:alias w:val="Numeris"/>
                              <w:tag w:val="nr_c92c6e7d272d4961bbd4c5490fc34546"/>
                              <w:lock w:val="sdtLocked"/>
                              <w:richText/>
                            </w:sdtPr>
                            <w:sdtContent>
                              <w:r>
                                <w:rPr>
                                  <w:b/>
                                  <w:szCs w:val="24"/>
                                  <w:lang w:eastAsia="lt-LT"/>
                                </w:rPr>
                                <w:t>54</w:t>
                              </w:r>
                              <w:r>
                                <w:rPr>
                                  <w:b/>
                                  <w:szCs w:val="24"/>
                                  <w:vertAlign w:val="superscript"/>
                                  <w:lang w:eastAsia="lt-LT"/>
                                </w:rPr>
                                <w:t>4</w:t>
                              </w:r>
                            </w:sdtContent>
                          </w:sdt>
                          <w:r>
                            <w:rPr>
                              <w:b/>
                              <w:szCs w:val="24"/>
                              <w:lang w:eastAsia="lt-LT"/>
                            </w:rPr>
                            <w:t>.</w:t>
                          </w:r>
                          <w:r>
                            <w:rPr>
                              <w:bCs/>
                              <w:szCs w:val="24"/>
                              <w:lang w:eastAsia="lt-LT"/>
                            </w:rPr>
                            <w:t xml:space="preserve"> </w:t>
                          </w:r>
                          <w:r>
                            <w:rPr>
                              <w:b/>
                              <w:bCs/>
                              <w:szCs w:val="24"/>
                              <w:lang w:eastAsia="lt-LT"/>
                            </w:rPr>
                            <w:t>Kompensuojamojo vaistinio preparato ir (ar) kompensuojamosios medicinos pagalbos priemonės tiekėjas</w:t>
                          </w:r>
                          <w:r>
                            <w:rPr>
                              <w:b/>
                              <w:szCs w:val="24"/>
                              <w:lang w:eastAsia="lt-LT"/>
                            </w:rPr>
                            <w:t xml:space="preserve"> – vaistinio preparato registruotojas ar jo atstovas, lygiagretaus importo leidimo turėtojas ar asmuo, pagal Lietuvos Respublikos farmacijos įstatymą turintis teisę vykdyti vaistinių preparatų lygiagretų platinimą, ar jų atstovas arba medicinos pagalbos priemonės gamintojas ar jo atstovas, medicinos pagalbos priemonės platintojas (tiekimo grandinėje veikiantis fizinis ar juridinis asmuo, kuris nėra nei gamintojas, nei importuotojas ir kuris tiekia medicinos pagalbos priemonę rinkai iki naudojimo pradžios), kurie tiekia vaistinį preparatą ar medicinos pagalbos priemonę į Lietuvos  Respublikos didmeninės ir (ar) mažmeninės prekybos rinką.“</w:t>
                          </w:r>
                        </w:p>
                      </w:sdtContent>
                    </w:sdt>
                  </w:sdtContent>
                </w:sdt>
              </w:sdtContent>
            </w:sdt>
            <w:sdt>
              <w:sdtPr>
                <w:alias w:val="1 str. 10 d."/>
                <w:tag w:val="part_eca14fd90b94434e9d4ce9812b3d23ef"/>
                <w:lock w:val="sdtLocked"/>
                <w:richText/>
              </w:sdtPr>
              <w:sdtContent>
                <w:p w14:paraId="004C46B3" w14:textId="26E3B884">
                  <w:pPr>
                    <w:ind w:firstLine="844"/>
                    <w:jc w:val="both"/>
                    <w:rPr>
                      <w:szCs w:val="24"/>
                      <w:lang w:eastAsia="lt-LT"/>
                    </w:rPr>
                  </w:pPr>
                  <w:sdt>
                    <w:sdtPr>
                      <w:alias w:val="Numeris"/>
                      <w:tag w:val="nr_eca14fd90b94434e9d4ce9812b3d23ef"/>
                      <w:lock w:val="sdtLocked"/>
                      <w:richText/>
                    </w:sdtPr>
                    <w:sdtContent>
                      <w:r>
                        <w:rPr>
                          <w:bCs/>
                          <w:szCs w:val="24"/>
                          <w:lang w:eastAsia="lt-LT"/>
                        </w:rPr>
                        <w:t>10</w:t>
                      </w:r>
                    </w:sdtContent>
                  </w:sdt>
                  <w:r>
                    <w:rPr>
                      <w:bCs/>
                      <w:szCs w:val="24"/>
                      <w:lang w:eastAsia="lt-LT"/>
                    </w:rPr>
                    <w:t xml:space="preserve">. </w:t>
                  </w:r>
                  <w:r>
                    <w:rPr>
                      <w:szCs w:val="24"/>
                      <w:lang w:eastAsia="lt-LT"/>
                    </w:rPr>
                    <w:t>Papildyti 2 straipsnį 68</w:t>
                  </w:r>
                  <w:r>
                    <w:rPr>
                      <w:szCs w:val="24"/>
                      <w:vertAlign w:val="superscript"/>
                      <w:lang w:eastAsia="lt-LT"/>
                    </w:rPr>
                    <w:t>1</w:t>
                  </w:r>
                  <w:r>
                    <w:rPr>
                      <w:szCs w:val="24"/>
                      <w:lang w:eastAsia="lt-LT"/>
                    </w:rPr>
                    <w:t xml:space="preserve"> dalimi:</w:t>
                  </w:r>
                </w:p>
                <w:sdt>
                  <w:sdtPr>
                    <w:alias w:val="citata"/>
                    <w:tag w:val="part_16777263e3444a51a2cf10caea876078"/>
                    <w:lock w:val="sdtLocked"/>
                    <w:richText/>
                  </w:sdtPr>
                  <w:sdtContent>
                    <w:sdt>
                      <w:sdtPr>
                        <w:alias w:val="68-1 d."/>
                        <w:tag w:val="part_9f652541f5594e6fa0620e2617bc71f5"/>
                        <w:lock w:val="sdtLocked"/>
                        <w:richText/>
                      </w:sdtPr>
                      <w:sdtContent>
                        <w:p w14:paraId="0940DF74" w14:textId="31698855">
                          <w:pPr>
                            <w:ind w:firstLine="844"/>
                            <w:jc w:val="both"/>
                            <w:rPr>
                              <w:color w:val="000000"/>
                              <w:szCs w:val="24"/>
                              <w:lang w:eastAsia="lt-LT"/>
                            </w:rPr>
                          </w:pPr>
                          <w:r>
                            <w:rPr>
                              <w:color w:val="000000"/>
                              <w:szCs w:val="24"/>
                              <w:lang w:eastAsia="lt-LT"/>
                            </w:rPr>
                            <w:t>„</w:t>
                          </w:r>
                          <w:sdt>
                            <w:sdtPr>
                              <w:alias w:val="Numeris"/>
                              <w:tag w:val="nr_9f652541f5594e6fa0620e2617bc71f5"/>
                              <w:lock w:val="sdtLocked"/>
                              <w:richText/>
                            </w:sdtPr>
                            <w:sdtContent>
                              <w:r>
                                <w:rPr>
                                  <w:b/>
                                  <w:bCs/>
                                  <w:color w:val="000000"/>
                                  <w:szCs w:val="24"/>
                                  <w:lang w:eastAsia="lt-LT"/>
                                </w:rPr>
                                <w:t>68</w:t>
                              </w:r>
                              <w:r>
                                <w:rPr>
                                  <w:b/>
                                  <w:bCs/>
                                  <w:color w:val="000000"/>
                                  <w:szCs w:val="24"/>
                                  <w:vertAlign w:val="superscript"/>
                                  <w:lang w:eastAsia="lt-LT"/>
                                </w:rPr>
                                <w:t>1</w:t>
                              </w:r>
                            </w:sdtContent>
                          </w:sdt>
                          <w:r>
                            <w:rPr>
                              <w:b/>
                              <w:bCs/>
                              <w:color w:val="000000"/>
                              <w:szCs w:val="24"/>
                              <w:lang w:eastAsia="lt-LT"/>
                            </w:rPr>
                            <w:t>. Vaistinio preparato vartojimas nesilaikant šio vaistinio preparato registracijos sąlygų (</w:t>
                          </w:r>
                          <w:r>
                            <w:rPr>
                              <w:b/>
                              <w:bCs/>
                              <w:i/>
                              <w:iCs/>
                              <w:color w:val="000000"/>
                              <w:szCs w:val="24"/>
                              <w:lang w:eastAsia="lt-LT"/>
                            </w:rPr>
                            <w:t>angl. Off-label use</w:t>
                          </w:r>
                          <w:r>
                            <w:rPr>
                              <w:b/>
                              <w:bCs/>
                              <w:color w:val="000000"/>
                              <w:szCs w:val="24"/>
                              <w:lang w:eastAsia="lt-LT"/>
                            </w:rPr>
                            <w:t>)</w:t>
                          </w:r>
                          <w:r>
                            <w:rPr>
                              <w:color w:val="000000"/>
                              <w:szCs w:val="24"/>
                              <w:lang w:eastAsia="lt-LT"/>
                            </w:rPr>
                            <w:t> – </w:t>
                          </w:r>
                          <w:r>
                            <w:rPr>
                              <w:b/>
                              <w:bCs/>
                              <w:color w:val="000000"/>
                              <w:szCs w:val="24"/>
                              <w:lang w:eastAsia="lt-LT"/>
                            </w:rPr>
                            <w:t>registruoto</w:t>
                          </w:r>
                          <w:r>
                            <w:rPr>
                              <w:color w:val="000000"/>
                              <w:szCs w:val="24"/>
                              <w:lang w:eastAsia="lt-LT"/>
                            </w:rPr>
                            <w:t xml:space="preserve"> </w:t>
                          </w:r>
                          <w:r>
                            <w:rPr>
                              <w:b/>
                              <w:bCs/>
                              <w:color w:val="000000"/>
                              <w:szCs w:val="24"/>
                              <w:lang w:eastAsia="lt-LT"/>
                            </w:rPr>
                            <w:t>vaistinio preparato vartojimas gydymo, diagnostikos ar profilaktikos tikslais savarankiškai ar paskyrus asmens sveikatos priežiūros specialistui, sąmoningai nesilaikant vaistinio preparato informacinių dokumentų nurodymų (pavyzdžiui, vartojant ne pagal patvirtintas terapines indikacijas, ne tos amžiaus grupės pacientams, kitokią dozę ar kitokiu būdu).</w:t>
                          </w:r>
                          <w:r>
                            <w:rPr>
                              <w:b/>
                              <w:szCs w:val="24"/>
                              <w:lang w:eastAsia="lt-LT"/>
                            </w:rPr>
                            <w:t>“</w:t>
                          </w:r>
                        </w:p>
                      </w:sdtContent>
                    </w:sdt>
                  </w:sdtContent>
                </w:sdt>
              </w:sdtContent>
            </w:sdt>
            <w:sdt>
              <w:sdtPr>
                <w:alias w:val="1 str. 11 d."/>
                <w:tag w:val="part_f2cd911359f34a8595a52487fc728cd3"/>
                <w:lock w:val="sdtLocked"/>
                <w:richText/>
              </w:sdtPr>
              <w:sdtContent>
                <w:p w14:paraId="381217FC" w14:textId="3E961E8D">
                  <w:pPr>
                    <w:ind w:firstLine="868"/>
                    <w:jc w:val="both"/>
                    <w:rPr>
                      <w:bCs/>
                      <w:szCs w:val="24"/>
                      <w:lang w:eastAsia="lt-LT"/>
                    </w:rPr>
                  </w:pPr>
                  <w:sdt>
                    <w:sdtPr>
                      <w:alias w:val="Numeris"/>
                      <w:tag w:val="nr_f2cd911359f34a8595a52487fc728cd3"/>
                      <w:lock w:val="sdtLocked"/>
                      <w:richText/>
                    </w:sdtPr>
                    <w:sdtContent>
                      <w:r>
                        <w:rPr>
                          <w:bCs/>
                          <w:szCs w:val="24"/>
                          <w:lang w:eastAsia="lt-LT"/>
                        </w:rPr>
                        <w:t>11</w:t>
                      </w:r>
                    </w:sdtContent>
                  </w:sdt>
                  <w:r>
                    <w:rPr>
                      <w:bCs/>
                      <w:szCs w:val="24"/>
                      <w:lang w:eastAsia="lt-LT"/>
                    </w:rPr>
                    <w:t>. Papildyti 2 straipsnį 81</w:t>
                  </w:r>
                  <w:r>
                    <w:rPr>
                      <w:bCs/>
                      <w:szCs w:val="24"/>
                      <w:vertAlign w:val="superscript"/>
                      <w:lang w:eastAsia="lt-LT"/>
                    </w:rPr>
                    <w:t>1</w:t>
                  </w:r>
                  <w:r>
                    <w:rPr>
                      <w:bCs/>
                      <w:szCs w:val="24"/>
                      <w:lang w:eastAsia="lt-LT"/>
                    </w:rPr>
                    <w:t xml:space="preserve"> dalimi:</w:t>
                  </w:r>
                </w:p>
                <w:sdt>
                  <w:sdtPr>
                    <w:alias w:val="citata"/>
                    <w:tag w:val="part_ddc9becddde74e2a8243bf916b28a6bd"/>
                    <w:lock w:val="sdtLocked"/>
                    <w:richText/>
                  </w:sdtPr>
                  <w:sdtContent>
                    <w:sdt>
                      <w:sdtPr>
                        <w:alias w:val="81-1 d."/>
                        <w:tag w:val="part_a2f98485ab1743c7a3ebda0dc568fa05"/>
                        <w:lock w:val="sdtLocked"/>
                        <w:richText/>
                      </w:sdtPr>
                      <w:sdtContent>
                        <w:p w14:paraId="54A5EA50" w14:textId="4C5E61E4">
                          <w:pPr>
                            <w:ind w:firstLine="868"/>
                            <w:jc w:val="both"/>
                            <w:rPr>
                              <w:b/>
                              <w:szCs w:val="24"/>
                              <w:lang w:eastAsia="lt-LT"/>
                            </w:rPr>
                          </w:pPr>
                          <w:r>
                            <w:rPr>
                              <w:b/>
                              <w:szCs w:val="24"/>
                              <w:lang w:eastAsia="lt-LT"/>
                            </w:rPr>
                            <w:t>„</w:t>
                          </w:r>
                          <w:sdt>
                            <w:sdtPr>
                              <w:alias w:val="Numeris"/>
                              <w:tag w:val="nr_a2f98485ab1743c7a3ebda0dc568fa05"/>
                              <w:lock w:val="sdtLocked"/>
                              <w:richText/>
                            </w:sdtPr>
                            <w:sdtContent>
                              <w:r>
                                <w:rPr>
                                  <w:b/>
                                  <w:szCs w:val="24"/>
                                  <w:lang w:eastAsia="lt-LT"/>
                                </w:rPr>
                                <w:t>81</w:t>
                              </w:r>
                              <w:r>
                                <w:rPr>
                                  <w:b/>
                                  <w:szCs w:val="24"/>
                                  <w:vertAlign w:val="superscript"/>
                                  <w:lang w:eastAsia="lt-LT"/>
                                </w:rPr>
                                <w:t>1</w:t>
                              </w:r>
                            </w:sdtContent>
                          </w:sdt>
                          <w:r>
                            <w:rPr>
                              <w:b/>
                              <w:szCs w:val="24"/>
                              <w:lang w:eastAsia="lt-LT"/>
                            </w:rPr>
                            <w:t xml:space="preserve">.  Vieno tiekėjo vienos grupės vaistiniai preparatai (toliau – vieno tiekėjo vaistiniai preparatai) – vieno tiekėjo negeneriniai ar  generiniai vaistiniai preparatai, priskiriami to paties bendrinio pavadinimo vaistinių preparatų grupei.“</w:t>
                          </w:r>
                        </w:p>
                      </w:sdtContent>
                    </w:sdt>
                  </w:sdtContent>
                </w:sdt>
              </w:sdtContent>
            </w:sdt>
            <w:sdt>
              <w:sdtPr>
                <w:alias w:val="1 str. 12 d."/>
                <w:tag w:val="part_bb8f4cb4773342a5adac9f921fb15a69"/>
                <w:lock w:val="sdtLocked"/>
                <w:richText/>
              </w:sdtPr>
              <w:sdtContent>
                <w:p w14:paraId="6547DF9B" w14:textId="5CCF476C">
                  <w:pPr>
                    <w:ind w:left="2160" w:hanging="1378"/>
                    <w:jc w:val="both"/>
                    <w:rPr>
                      <w:bCs/>
                      <w:color w:val="000000"/>
                      <w:szCs w:val="24"/>
                      <w:lang w:eastAsia="lt-LT"/>
                    </w:rPr>
                  </w:pPr>
                  <w:sdt>
                    <w:sdtPr>
                      <w:alias w:val="Numeris"/>
                      <w:tag w:val="nr_bb8f4cb4773342a5adac9f921fb15a69"/>
                      <w:lock w:val="sdtLocked"/>
                      <w:richText/>
                    </w:sdtPr>
                    <w:sdtContent>
                      <w:r>
                        <w:rPr>
                          <w:bCs/>
                          <w:szCs w:val="24"/>
                          <w:lang w:eastAsia="lt-LT"/>
                        </w:rPr>
                        <w:t>12</w:t>
                      </w:r>
                    </w:sdtContent>
                  </w:sdt>
                  <w:r>
                    <w:rPr>
                      <w:bCs/>
                      <w:szCs w:val="24"/>
                      <w:lang w:eastAsia="lt-LT"/>
                    </w:rPr>
                    <w:t xml:space="preserve">. </w:t>
                  </w:r>
                  <w:r>
                    <w:rPr>
                      <w:bCs/>
                      <w:color w:val="000000"/>
                      <w:szCs w:val="24"/>
                      <w:lang w:eastAsia="lt-LT"/>
                    </w:rPr>
                    <w:t>Pakeisti 2 straipsnio 83 dalį ir ją išdėstyti taip:</w:t>
                  </w:r>
                </w:p>
                <w:sdt>
                  <w:sdtPr>
                    <w:alias w:val="citata"/>
                    <w:tag w:val="part_8eadb14acfb646b0b19f4d2ee752129f"/>
                    <w:lock w:val="sdtLocked"/>
                    <w:richText/>
                  </w:sdtPr>
                  <w:sdtContent>
                    <w:sdt>
                      <w:sdtPr>
                        <w:alias w:val="83 d."/>
                        <w:tag w:val="part_2bd61874090244d180e6e5bdc988763c"/>
                        <w:lock w:val="sdtLocked"/>
                        <w:richText/>
                      </w:sdtPr>
                      <w:sdtContent>
                        <w:p w14:paraId="561CA0B5" w14:textId="5B07A523">
                          <w:pPr>
                            <w:ind w:firstLine="720"/>
                            <w:jc w:val="both"/>
                            <w:rPr>
                              <w:rFonts w:eastAsia="Calibri"/>
                              <w:szCs w:val="24"/>
                              <w:lang w:eastAsia="lt-LT"/>
                            </w:rPr>
                          </w:pPr>
                          <w:r>
                            <w:rPr>
                              <w:rFonts w:eastAsia="Calibri"/>
                              <w:szCs w:val="24"/>
                              <w:lang w:eastAsia="lt-LT"/>
                            </w:rPr>
                            <w:t>„</w:t>
                          </w:r>
                          <w:sdt>
                            <w:sdtPr>
                              <w:alias w:val="Numeris"/>
                              <w:tag w:val="nr_2bd61874090244d180e6e5bdc988763c"/>
                              <w:lock w:val="sdtLocked"/>
                              <w:richText/>
                            </w:sdtPr>
                            <w:sdtContent>
                              <w:r>
                                <w:rPr>
                                  <w:rFonts w:eastAsia="Calibri"/>
                                  <w:szCs w:val="24"/>
                                  <w:lang w:eastAsia="lt-LT"/>
                                </w:rPr>
                                <w:t>83</w:t>
                              </w:r>
                            </w:sdtContent>
                          </w:sdt>
                          <w:r>
                            <w:rPr>
                              <w:rFonts w:eastAsia="Calibri"/>
                              <w:szCs w:val="24"/>
                              <w:lang w:eastAsia="lt-LT"/>
                            </w:rPr>
                            <w:t xml:space="preserve">. Kitos šiame įstatyme vartojamos sąvokos suprantamos taip, kaip jos apibrėžtos Lietuvos Respublikos mokslo ir studijų įstatyme, Lietuvos Respublikos gyvūnų gerovės ir apsaugos įstatyme, Lietuvos Respublikos biomedicininių tyrimų etikos įstatyme, </w:t>
                          </w:r>
                          <w:r>
                            <w:rPr>
                              <w:rFonts w:eastAsia="Calibri"/>
                              <w:b/>
                              <w:bCs/>
                              <w:szCs w:val="24"/>
                              <w:lang w:eastAsia="lt-LT"/>
                            </w:rPr>
                            <w:t xml:space="preserve">Lietuvos Respublikos civilinės saugos įstatyme, Lietuvos Respublikos sveikatos draudimo įstatyme, </w:t>
                          </w:r>
                          <w:r>
                            <w:rPr>
                              <w:rFonts w:eastAsia="Calibri"/>
                              <w:b/>
                              <w:bCs/>
                              <w:color w:val="000000"/>
                              <w:szCs w:val="24"/>
                              <w:lang w:eastAsia="lt-LT"/>
                            </w:rPr>
                            <w:t xml:space="preserve">Lietuvos Respublikos žmonių užkrečiamųjų ligų profilaktikos ir kontrolės įstatyme, </w:t>
                          </w:r>
                          <w:r>
                            <w:rPr>
                              <w:rFonts w:eastAsia="Calibri"/>
                              <w:b/>
                              <w:bCs/>
                              <w:szCs w:val="24"/>
                              <w:lang w:eastAsia="lt-LT"/>
                            </w:rPr>
                            <w:t>Lietuvos Respublikos nepaprastosios padėties įstatyme,</w:t>
                          </w:r>
                          <w:r>
                            <w:rPr>
                              <w:rFonts w:eastAsia="Calibri"/>
                              <w:szCs w:val="24"/>
                              <w:lang w:eastAsia="lt-LT"/>
                            </w:rPr>
                            <w:t xml:space="preserve"> </w:t>
                          </w:r>
                          <w:r>
                            <w:rPr>
                              <w:rFonts w:eastAsia="Calibri"/>
                              <w:b/>
                              <w:bCs/>
                              <w:szCs w:val="24"/>
                              <w:lang w:eastAsia="lt-LT"/>
                            </w:rPr>
                            <w:t xml:space="preserve">Lietuvos Respublikos karo padėties įstatyme, </w:t>
                          </w:r>
                          <w:r>
                            <w:rPr>
                              <w:rFonts w:eastAsia="Calibri"/>
                              <w:szCs w:val="24"/>
                              <w:lang w:eastAsia="lt-LT"/>
                            </w:rPr>
                            <w:t xml:space="preserve">2015 m. spalio 2 d. Komisijos deleguotajame reglamente </w:t>
                          </w:r>
                          <w:fldSimple w:instr="HYPERLINK http://eur-lex.europa.eu/legal-content/LIT/TXT/?uri=CELEX:3161R2016&amp;locale=lt \t _blank">
                            <w:r>
                              <w:rPr>
                                <w:rFonts w:eastAsia="Calibri"/>
                                <w:szCs w:val="24"/>
                                <w:lang w:eastAsia="lt-LT"/>
                                <w:u w:val="single"/>
                                <w:color w:val="0000FF" w:themeColor="hyperlink"/>
                              </w:rPr>
                              <w:t>(ES) 2016/161</w:t>
                            </w:r>
                          </w:fldSimple>
                          <w:r>
                            <w:rPr>
                              <w:rFonts w:eastAsia="Calibri"/>
                              <w:szCs w:val="24"/>
                              <w:lang w:eastAsia="lt-LT"/>
                            </w:rPr>
                            <w:t xml:space="preserve">, kuriuo nustatomos išsamios apsaugos priemonių ant žmonėms skirtų vaistų pakuotės naudojimo taisyklės ir taip papildoma Europos Parlamento ir Tarybos direktyva </w:t>
                          </w:r>
                          <w:fldSimple w:instr="HYPERLINK http://eur-lex.europa.eu/legal-content/LIT/TXT/?uri=CELEX:32001L0083&amp;locale=lt \t _blank">
                            <w:r>
                              <w:rPr>
                                <w:rFonts w:eastAsia="Calibri"/>
                                <w:szCs w:val="24"/>
                                <w:lang w:eastAsia="lt-LT"/>
                                <w:u w:val="single"/>
                                <w:color w:val="0000FF" w:themeColor="hyperlink"/>
                              </w:rPr>
                              <w:t>2001/83/EB</w:t>
                            </w:r>
                          </w:fldSimple>
                          <w:r>
                            <w:rPr>
                              <w:rFonts w:eastAsia="Calibri"/>
                              <w:szCs w:val="24"/>
                              <w:lang w:eastAsia="lt-LT"/>
                            </w:rPr>
                            <w:t xml:space="preserve"> </w:t>
                          </w:r>
                          <w:r>
                            <w:rPr>
                              <w:rFonts w:eastAsia="Calibri"/>
                              <w:strike/>
                              <w:szCs w:val="24"/>
                              <w:lang w:eastAsia="lt-LT"/>
                            </w:rPr>
                            <w:t xml:space="preserve">(OL 2016 L 32, p. 1) </w:t>
                          </w:r>
                          <w:r>
                            <w:rPr>
                              <w:rFonts w:eastAsia="Calibri"/>
                              <w:szCs w:val="24"/>
                              <w:lang w:eastAsia="lt-LT"/>
                            </w:rPr>
                            <w:t xml:space="preserve">(toliau – Reglamentas </w:t>
                          </w:r>
                          <w:fldSimple w:instr="HYPERLINK http://eur-lex.europa.eu/legal-content/LIT/TXT/?uri=CELEX:3161R2016&amp;locale=lt \t _blank">
                            <w:r>
                              <w:rPr>
                                <w:rFonts w:eastAsia="Calibri"/>
                                <w:szCs w:val="24"/>
                                <w:lang w:eastAsia="lt-LT"/>
                                <w:u w:val="single"/>
                                <w:color w:val="0000FF" w:themeColor="hyperlink"/>
                              </w:rPr>
                              <w:t>(ES) 2016/161</w:t>
                            </w:r>
                          </w:fldSimple>
                          <w:r>
                            <w:rPr>
                              <w:rFonts w:eastAsia="Calibri"/>
                              <w:szCs w:val="24"/>
                              <w:lang w:eastAsia="lt-LT"/>
                            </w:rPr>
                            <w:t xml:space="preserve">), ir Reglamente </w:t>
                          </w:r>
                          <w:fldSimple w:instr="HYPERLINK http://eur-lex.europa.eu/legal-content/LIT/TXT/?uri=CELEX:32014R0536&amp;locale=lt \t _blank">
                            <w:r>
                              <w:rPr>
                                <w:rFonts w:eastAsia="Calibri"/>
                                <w:szCs w:val="24"/>
                                <w:lang w:eastAsia="lt-LT"/>
                                <w:u w:val="single"/>
                                <w:color w:val="0000FF" w:themeColor="hyperlink"/>
                              </w:rPr>
                              <w:t>(ES) Nr. 536/2014</w:t>
                            </w:r>
                          </w:fldSimple>
                          <w:r>
                            <w:rPr>
                              <w:rFonts w:eastAsia="Calibri"/>
                              <w:szCs w:val="24"/>
                              <w:lang w:eastAsia="lt-LT"/>
                            </w:rPr>
                            <w:t>.“</w:t>
                          </w:r>
                        </w:p>
                        <w:p w14:paraId="7AFFF62C" w14:textId="77777777">
                          <w:pPr>
                            <w:ind w:firstLine="720"/>
                            <w:jc w:val="both"/>
                            <w:rPr>
                              <w:rFonts w:eastAsia="Calibri"/>
                              <w:szCs w:val="24"/>
                              <w:highlight w:val="darkGray"/>
                              <w:lang w:eastAsia="lt-LT"/>
                            </w:rPr>
                          </w:pPr>
                        </w:p>
                      </w:sdtContent>
                    </w:sdt>
                  </w:sdtContent>
                </w:sdt>
              </w:sdtContent>
            </w:sdt>
          </w:sdtContent>
        </w:sdt>
        <w:sdt>
          <w:sdtPr>
            <w:alias w:val="2 str."/>
            <w:tag w:val="part_efb5cf9285ae4e0084bbd7a4a1f9031e"/>
            <w:lock w:val="sdtLocked"/>
            <w:richText/>
          </w:sdtPr>
          <w:sdtContent>
            <w:p w14:paraId="00C3F575" w14:textId="5BCD1B6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efb5cf9285ae4e0084bbd7a4a1f9031e"/>
                  <w:lock w:val="sdtLocked"/>
                  <w:richText/>
                </w:sdtPr>
                <w:sdtContent>
                  <w:r>
                    <w:rPr>
                      <w:b/>
                      <w:bCs/>
                      <w:szCs w:val="24"/>
                      <w:lang w:eastAsia="lt-LT"/>
                    </w:rPr>
                    <w:t>2</w:t>
                  </w:r>
                </w:sdtContent>
              </w:sdt>
              <w:r>
                <w:rPr>
                  <w:b/>
                  <w:bCs/>
                  <w:szCs w:val="24"/>
                  <w:lang w:eastAsia="lt-LT"/>
                </w:rPr>
                <w:t xml:space="preserve"> straipsnis. </w:t>
              </w:r>
              <w:sdt>
                <w:sdtPr>
                  <w:alias w:val="Pavadinimas"/>
                  <w:tag w:val="title_efb5cf9285ae4e0084bbd7a4a1f9031e"/>
                  <w:lock w:val="sdtLocked"/>
                  <w:richText/>
                </w:sdtPr>
                <w:sdtContent>
                  <w:r>
                    <w:rPr>
                      <w:b/>
                      <w:bCs/>
                      <w:szCs w:val="24"/>
                      <w:lang w:eastAsia="lt-LT"/>
                    </w:rPr>
                    <w:t>8 straipsnio pakeitimas</w:t>
                  </w:r>
                </w:sdtContent>
              </w:sdt>
            </w:p>
            <w:sdt>
              <w:sdtPr>
                <w:alias w:val="2 str. 1 d."/>
                <w:tag w:val="part_563547dfe3f74084a6cd2283b67ca620"/>
                <w:lock w:val="sdtLocked"/>
                <w:richText/>
              </w:sdtPr>
              <w:sdtContent>
                <w:p w14:paraId="50C49E74" w14:textId="1A7926C7">
                  <w:pPr>
                    <w:ind w:left="1200" w:hanging="360"/>
                    <w:jc w:val="both"/>
                    <w:rPr>
                      <w:szCs w:val="24"/>
                      <w:lang w:eastAsia="lt-LT"/>
                    </w:rPr>
                  </w:pPr>
                  <w:sdt>
                    <w:sdtPr>
                      <w:alias w:val="Numeris"/>
                      <w:tag w:val="nr_563547dfe3f74084a6cd2283b67ca620"/>
                      <w:lock w:val="sdtLocked"/>
                      <w:richText/>
                    </w:sdtPr>
                    <w:sdtContent>
                      <w:r>
                        <w:rPr>
                          <w:szCs w:val="24"/>
                          <w:lang w:eastAsia="lt-LT"/>
                        </w:rPr>
                        <w:t>1</w:t>
                      </w:r>
                    </w:sdtContent>
                  </w:sdt>
                  <w:r>
                    <w:rPr>
                      <w:szCs w:val="24"/>
                      <w:lang w:eastAsia="lt-LT"/>
                    </w:rPr>
                    <w:t>.</w:t>
                    <w:tab/>
                    <w:t>Pakeisti 8 straipsnio 5 dalį ir ją išdėstyti taip:</w:t>
                  </w:r>
                </w:p>
                <w:sdt>
                  <w:sdtPr>
                    <w:alias w:val="citata"/>
                    <w:tag w:val="part_e7d466fc9a19425899d2de896a9d5b76"/>
                    <w:lock w:val="sdtLocked"/>
                    <w:richText/>
                  </w:sdtPr>
                  <w:sdtContent>
                    <w:sdt>
                      <w:sdtPr>
                        <w:alias w:val="5 d."/>
                        <w:tag w:val="part_831cd0b28a554d99aa21a42593a7a412"/>
                        <w:lock w:val="sdtLocked"/>
                        <w:richText/>
                      </w:sdtPr>
                      <w:sdtContent>
                        <w:p w14:paraId="21FF9CBD" w14:textId="17B732BF">
                          <w:pPr>
                            <w:ind w:firstLine="720"/>
                            <w:jc w:val="both"/>
                            <w:rPr>
                              <w:rFonts w:eastAsia="Calibri"/>
                              <w:szCs w:val="24"/>
                              <w:lang w:eastAsia="lt-LT"/>
                            </w:rPr>
                          </w:pPr>
                          <w:r>
                            <w:rPr>
                              <w:rFonts w:eastAsia="Calibri"/>
                              <w:szCs w:val="24"/>
                              <w:lang w:eastAsia="lt-LT"/>
                            </w:rPr>
                            <w:t>„</w:t>
                          </w:r>
                          <w:sdt>
                            <w:sdtPr>
                              <w:alias w:val="Numeris"/>
                              <w:tag w:val="nr_831cd0b28a554d99aa21a42593a7a412"/>
                              <w:lock w:val="sdtLocked"/>
                              <w:richText/>
                            </w:sdtPr>
                            <w:sdtContent>
                              <w:r>
                                <w:rPr>
                                  <w:rFonts w:eastAsia="Calibri"/>
                                  <w:szCs w:val="24"/>
                                  <w:lang w:eastAsia="lt-LT"/>
                                </w:rPr>
                                <w:t>5</w:t>
                              </w:r>
                            </w:sdtContent>
                          </w:sdt>
                          <w:r>
                            <w:rPr>
                              <w:rFonts w:eastAsia="Calibri"/>
                              <w:szCs w:val="24"/>
                              <w:lang w:eastAsia="lt-LT"/>
                            </w:rPr>
                            <w:t xml:space="preserve">. </w:t>
                          </w:r>
                          <w:r>
                            <w:rPr>
                              <w:rFonts w:eastAsia="Calibri"/>
                              <w:b/>
                              <w:bCs/>
                              <w:szCs w:val="24"/>
                              <w:lang w:eastAsia="lt-LT"/>
                            </w:rPr>
                            <w:t xml:space="preserve">Kai įtariama ar nustatoma sveikatai pavojingų patogeninių ar cheminių veiksnių, toksinų arba jonizuojančioji radiacija, taip pat paskelbus </w:t>
                          </w:r>
                          <w:r>
                            <w:rPr>
                              <w:rFonts w:eastAsia="Calibri"/>
                              <w:b/>
                              <w:bCs/>
                              <w:color w:val="000000"/>
                              <w:szCs w:val="24"/>
                              <w:lang w:eastAsia="lt-LT"/>
                            </w:rPr>
                            <w:t xml:space="preserve">valstybės lygio </w:t>
                          </w:r>
                          <w:r>
                            <w:rPr>
                              <w:rFonts w:eastAsia="Calibri"/>
                              <w:b/>
                              <w:bCs/>
                              <w:szCs w:val="24"/>
                              <w:lang w:eastAsia="lt-LT"/>
                            </w:rPr>
                            <w:t xml:space="preserve">ekstremaliąją situaciją, </w:t>
                          </w:r>
                          <w:r>
                            <w:rPr>
                              <w:rFonts w:eastAsia="Calibri"/>
                              <w:b/>
                              <w:bCs/>
                              <w:color w:val="000000"/>
                              <w:szCs w:val="24"/>
                              <w:lang w:eastAsia="lt-LT"/>
                            </w:rPr>
                            <w:t>teritorijų karantiną</w:t>
                          </w:r>
                          <w:r>
                            <w:rPr>
                              <w:rFonts w:eastAsia="Calibri"/>
                              <w:b/>
                              <w:bCs/>
                              <w:szCs w:val="24"/>
                              <w:lang w:eastAsia="lt-LT"/>
                            </w:rPr>
                            <w:t>, įvedus karo ar nepaprastąją padėtį</w:t>
                          </w:r>
                          <w:r>
                            <w:rPr>
                              <w:rFonts w:eastAsia="Calibri"/>
                              <w:b/>
                              <w:bCs/>
                              <w:strike/>
                              <w:szCs w:val="24"/>
                              <w:lang w:eastAsia="lt-LT"/>
                            </w:rPr>
                            <w:t xml:space="preserve">, </w:t>
                          </w:r>
                          <w:r>
                            <w:rPr>
                              <w:rFonts w:eastAsia="Calibri"/>
                              <w:strike/>
                              <w:szCs w:val="24"/>
                              <w:lang w:eastAsia="lt-LT"/>
                            </w:rPr>
                            <w:t>Sveikatos</w:t>
                          </w:r>
                          <w:r>
                            <w:rPr>
                              <w:rFonts w:eastAsia="Calibri"/>
                              <w:szCs w:val="24"/>
                              <w:lang w:eastAsia="lt-LT"/>
                            </w:rPr>
                            <w:t xml:space="preserve"> </w:t>
                          </w:r>
                          <w:r>
                            <w:rPr>
                              <w:rFonts w:eastAsia="Calibri"/>
                              <w:b/>
                              <w:bCs/>
                              <w:szCs w:val="24"/>
                              <w:lang w:eastAsia="lt-LT"/>
                            </w:rPr>
                            <w:t>sveikatos</w:t>
                          </w:r>
                          <w:r>
                            <w:rPr>
                              <w:rFonts w:eastAsia="Calibri"/>
                              <w:szCs w:val="24"/>
                              <w:lang w:eastAsia="lt-LT"/>
                            </w:rPr>
                            <w:t xml:space="preserve"> apsaugos ministras gali laikinai leisti tiekti Lietuvos Respublikos rinkai </w:t>
                          </w:r>
                          <w:r>
                            <w:rPr>
                              <w:rFonts w:eastAsia="Calibri"/>
                              <w:b/>
                              <w:bCs/>
                              <w:szCs w:val="24"/>
                              <w:lang w:eastAsia="lt-LT"/>
                            </w:rPr>
                            <w:t>ir vartoti sveikatos priežiūrai</w:t>
                          </w:r>
                          <w:r>
                            <w:rPr>
                              <w:rFonts w:eastAsia="Calibri"/>
                              <w:szCs w:val="24"/>
                              <w:lang w:eastAsia="lt-LT"/>
                            </w:rPr>
                            <w:t xml:space="preserve"> </w:t>
                          </w:r>
                          <w:r>
                            <w:rPr>
                              <w:rFonts w:eastAsia="Calibri"/>
                              <w:b/>
                              <w:bCs/>
                              <w:szCs w:val="24"/>
                              <w:lang w:eastAsia="lt-LT"/>
                            </w:rPr>
                            <w:t>būtinus</w:t>
                          </w:r>
                          <w:r>
                            <w:rPr>
                              <w:rFonts w:eastAsia="Calibri"/>
                              <w:szCs w:val="24"/>
                              <w:lang w:eastAsia="lt-LT"/>
                            </w:rPr>
                            <w:t xml:space="preserve"> neregistruotus vaistinius preparatus</w:t>
                          </w:r>
                          <w:r>
                            <w:rPr>
                              <w:rFonts w:eastAsia="Calibri"/>
                              <w:b/>
                              <w:bCs/>
                              <w:szCs w:val="24"/>
                              <w:lang w:eastAsia="lt-LT"/>
                            </w:rPr>
                            <w:t xml:space="preserve">, taip pat nurodyti ar rekomenduoti vaistinius preparatus vartoti nesilaikant vaistinio preparato registracijos sąlygų, jeigu nurodomos ar rekomenduojamos </w:t>
                          </w:r>
                          <w:r>
                            <w:rPr>
                              <w:b/>
                              <w:bCs/>
                              <w:color w:val="000000"/>
                              <w:szCs w:val="24"/>
                              <w:lang w:eastAsia="lt-LT"/>
                            </w:rPr>
                            <w:t>terapinės indikacijos, dozavimas ir (ar) gydymo kursas yra moksliškai pagrįsti</w:t>
                          </w:r>
                          <w:r>
                            <w:rPr>
                              <w:rFonts w:eastAsia="Calibri"/>
                              <w:strike/>
                              <w:szCs w:val="24"/>
                              <w:lang w:eastAsia="lt-LT"/>
                            </w:rPr>
                            <w:t>, būtinus vartoti, kai įtariama ar nustatoma sveikatai pavojingų patogeninių ar cheminių veiksnių, toksinų arba jonizuojančioji radiacija, taip pat įvykus gaivalinei nelaimei</w:t>
                          </w:r>
                          <w:r>
                            <w:rPr>
                              <w:rFonts w:eastAsia="Calibri"/>
                              <w:szCs w:val="24"/>
                              <w:lang w:eastAsia="lt-LT"/>
                            </w:rPr>
                            <w:t xml:space="preserve">.“ </w:t>
                          </w:r>
                        </w:p>
                      </w:sdtContent>
                    </w:sdt>
                  </w:sdtContent>
                </w:sdt>
              </w:sdtContent>
            </w:sdt>
            <w:sdt>
              <w:sdtPr>
                <w:alias w:val="2 str. 2 d."/>
                <w:tag w:val="part_f3112cd0fc604aaaa82380d16d456b1b"/>
                <w:lock w:val="sdtLocked"/>
                <w:richText/>
              </w:sdtPr>
              <w:sdtContent>
                <w:p w14:paraId="0D455613" w14:textId="38765110">
                  <w:pPr>
                    <w:ind w:left="1200" w:hanging="360"/>
                    <w:jc w:val="both"/>
                    <w:rPr>
                      <w:rFonts w:eastAsia="Calibri"/>
                      <w:szCs w:val="24"/>
                      <w:lang w:eastAsia="lt-LT"/>
                    </w:rPr>
                  </w:pPr>
                  <w:sdt>
                    <w:sdtPr>
                      <w:alias w:val="Numeris"/>
                      <w:tag w:val="nr_f3112cd0fc604aaaa82380d16d456b1b"/>
                      <w:lock w:val="sdtLocked"/>
                      <w:richText/>
                    </w:sdtPr>
                    <w:sdtContent>
                      <w:r>
                        <w:rPr>
                          <w:rFonts w:eastAsia="Calibri"/>
                          <w:szCs w:val="24"/>
                          <w:lang w:eastAsia="lt-LT"/>
                        </w:rPr>
                        <w:t>2</w:t>
                      </w:r>
                    </w:sdtContent>
                  </w:sdt>
                  <w:r>
                    <w:rPr>
                      <w:rFonts w:eastAsia="Calibri"/>
                      <w:szCs w:val="24"/>
                      <w:lang w:eastAsia="lt-LT"/>
                    </w:rPr>
                    <w:t>.</w:t>
                    <w:tab/>
                  </w:r>
                  <w:r>
                    <w:rPr>
                      <w:szCs w:val="24"/>
                      <w:lang w:eastAsia="lt-LT"/>
                    </w:rPr>
                    <w:t>Pakeisti 8 straipsnio 6 dalį ir ją išdėstyti taip:</w:t>
                  </w:r>
                </w:p>
                <w:sdt>
                  <w:sdtPr>
                    <w:alias w:val="citata"/>
                    <w:tag w:val="part_cc7d90db2d7b430ebb6a39a0433ba39e"/>
                    <w:lock w:val="sdtLocked"/>
                    <w:richText/>
                  </w:sdtPr>
                  <w:sdtContent>
                    <w:sdt>
                      <w:sdtPr>
                        <w:alias w:val="6 d."/>
                        <w:tag w:val="part_cb4af76067154574a5c3c575075ffe60"/>
                        <w:lock w:val="sdtLocked"/>
                        <w:richText/>
                      </w:sdtPr>
                      <w:sdtContent>
                        <w:p w14:paraId="61CF8806" w14:textId="49C99DA7">
                          <w:pPr>
                            <w:ind w:firstLine="868"/>
                            <w:jc w:val="both"/>
                            <w:rPr>
                              <w:szCs w:val="24"/>
                              <w:lang w:eastAsia="lt-LT"/>
                            </w:rPr>
                          </w:pPr>
                          <w:r>
                            <w:rPr>
                              <w:szCs w:val="24"/>
                              <w:lang w:eastAsia="lt-LT"/>
                            </w:rPr>
                            <w:t>„</w:t>
                          </w:r>
                          <w:sdt>
                            <w:sdtPr>
                              <w:alias w:val="Numeris"/>
                              <w:tag w:val="nr_cb4af76067154574a5c3c575075ffe60"/>
                              <w:lock w:val="sdtLocked"/>
                              <w:richText/>
                            </w:sdtPr>
                            <w:sdtContent>
                              <w:r>
                                <w:rPr>
                                  <w:szCs w:val="24"/>
                                  <w:lang w:eastAsia="lt-LT"/>
                                </w:rPr>
                                <w:t>6</w:t>
                              </w:r>
                            </w:sdtContent>
                          </w:sdt>
                          <w:r>
                            <w:rPr>
                              <w:szCs w:val="24"/>
                              <w:lang w:eastAsia="lt-LT"/>
                            </w:rPr>
                            <w:t xml:space="preserve">. </w:t>
                          </w:r>
                          <w:r>
                            <w:rPr>
                              <w:strike/>
                              <w:szCs w:val="24"/>
                              <w:lang w:eastAsia="lt-LT"/>
                            </w:rPr>
                            <w:t xml:space="preserve">Nepažeidžiant sveikatos apsaugos ministro nustatytos vardinių vaistinių preparatų tiekimo tvarkos reikalavimų, vaistinių </w:t>
                          </w:r>
                          <w:r>
                            <w:rPr>
                              <w:b/>
                              <w:bCs/>
                              <w:szCs w:val="24"/>
                              <w:lang w:eastAsia="lt-LT"/>
                            </w:rPr>
                            <w:t>Vaistinių</w:t>
                          </w:r>
                          <w:r>
                            <w:rPr>
                              <w:szCs w:val="24"/>
                              <w:lang w:eastAsia="lt-LT"/>
                            </w:rPr>
                            <w:t xml:space="preserve"> preparatų registruotojams, gamintojams ir sveikatos priežiūros specialistams netaikoma atsakomybė už pasekmes dėl neregistruotų vaistinių preparatų vartojimo ar</w:t>
                          </w:r>
                          <w:r>
                            <w:rPr>
                              <w:b/>
                              <w:bCs/>
                              <w:szCs w:val="24"/>
                              <w:lang w:eastAsia="lt-LT"/>
                            </w:rPr>
                            <w:t xml:space="preserve"> </w:t>
                          </w:r>
                          <w:r>
                            <w:rPr>
                              <w:szCs w:val="24"/>
                              <w:lang w:eastAsia="lt-LT"/>
                            </w:rPr>
                            <w:t xml:space="preserve">registruotų vaistinių preparatų vartojimo </w:t>
                          </w:r>
                          <w:r>
                            <w:rPr>
                              <w:b/>
                              <w:bCs/>
                              <w:szCs w:val="24"/>
                              <w:lang w:eastAsia="lt-LT"/>
                            </w:rPr>
                            <w:t xml:space="preserve">nesilaikant jų registracijos sąlygų </w:t>
                          </w:r>
                          <w:r>
                            <w:rPr>
                              <w:strike/>
                              <w:szCs w:val="24"/>
                              <w:lang w:eastAsia="lt-LT"/>
                            </w:rPr>
                            <w:t>pagal nepatvirtintas indikacijas</w:t>
                          </w:r>
                          <w:r>
                            <w:rPr>
                              <w:szCs w:val="24"/>
                              <w:lang w:eastAsia="lt-LT"/>
                            </w:rPr>
                            <w:t>, jeigu tą daryti rekomendavo arba nurodė Sveikatos apsaugos ministerija</w:t>
                          </w:r>
                          <w:r>
                            <w:rPr>
                              <w:strike/>
                              <w:szCs w:val="24"/>
                              <w:lang w:eastAsia="lt-LT"/>
                            </w:rPr>
                            <w:t>, įtarusi arba nustačiusi sveikatai pavojingų patogeninių ar cheminių veiksnių, toksinų ar jonizuojančiąją radiaciją arba įvykus gaivalinei nelaimei</w:t>
                          </w:r>
                          <w:r>
                            <w:rPr>
                              <w:szCs w:val="24"/>
                              <w:lang w:eastAsia="lt-LT"/>
                            </w:rPr>
                            <w:t xml:space="preserve"> </w:t>
                          </w:r>
                          <w:r>
                            <w:rPr>
                              <w:b/>
                              <w:bCs/>
                              <w:szCs w:val="24"/>
                              <w:lang w:eastAsia="lt-LT"/>
                            </w:rPr>
                            <w:t>šio straipsnio 5 dalyje nurodytais atvejais</w:t>
                          </w:r>
                          <w:r>
                            <w:rPr>
                              <w:szCs w:val="24"/>
                              <w:lang w:eastAsia="lt-LT"/>
                            </w:rPr>
                            <w:t xml:space="preserve">. Ši nuostata netaikoma Lietuvos Respublikos civilinio kodekso nustatytais atvejais dėl nekokybiškų </w:t>
                          </w:r>
                          <w:r>
                            <w:rPr>
                              <w:b/>
                              <w:bCs/>
                              <w:szCs w:val="24"/>
                              <w:lang w:eastAsia="lt-LT"/>
                            </w:rPr>
                            <w:t xml:space="preserve">vaistinių </w:t>
                          </w:r>
                          <w:r>
                            <w:rPr>
                              <w:szCs w:val="24"/>
                              <w:lang w:eastAsia="lt-LT"/>
                            </w:rPr>
                            <w:t>preparatų.“</w:t>
                          </w:r>
                        </w:p>
                        <w:p w14:paraId="01F16344"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p>
                      </w:sdtContent>
                    </w:sdt>
                  </w:sdtContent>
                </w:sdt>
              </w:sdtContent>
            </w:sdt>
          </w:sdtContent>
        </w:sdt>
        <w:sdt>
          <w:sdtPr>
            <w:alias w:val="3 str."/>
            <w:tag w:val="part_f86d6967185447c897126b57d7d15b48"/>
            <w:lock w:val="sdtLocked"/>
            <w:richText/>
          </w:sdtPr>
          <w:sdtContent>
            <w:p w14:paraId="7C1AF37F" w14:textId="413DBE3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f86d6967185447c897126b57d7d15b48"/>
                  <w:lock w:val="sdtLocked"/>
                  <w:richText/>
                </w:sdtPr>
                <w:sdtContent>
                  <w:r>
                    <w:rPr>
                      <w:b/>
                      <w:bCs/>
                      <w:szCs w:val="24"/>
                      <w:lang w:eastAsia="lt-LT"/>
                    </w:rPr>
                    <w:t>3</w:t>
                  </w:r>
                </w:sdtContent>
              </w:sdt>
              <w:r>
                <w:rPr>
                  <w:b/>
                  <w:bCs/>
                  <w:szCs w:val="24"/>
                  <w:lang w:eastAsia="lt-LT"/>
                </w:rPr>
                <w:t xml:space="preserve"> straipsnis. </w:t>
              </w:r>
              <w:sdt>
                <w:sdtPr>
                  <w:alias w:val="Pavadinimas"/>
                  <w:tag w:val="title_f86d6967185447c897126b57d7d15b48"/>
                  <w:lock w:val="sdtLocked"/>
                  <w:richText/>
                </w:sdtPr>
                <w:sdtContent>
                  <w:r>
                    <w:rPr>
                      <w:b/>
                      <w:bCs/>
                      <w:szCs w:val="24"/>
                      <w:lang w:eastAsia="lt-LT"/>
                    </w:rPr>
                    <w:t xml:space="preserve">57 straipsnio pakeitimas </w:t>
                  </w:r>
                </w:sdtContent>
              </w:sdt>
            </w:p>
            <w:sdt>
              <w:sdtPr>
                <w:alias w:val="3 str. 1 d."/>
                <w:tag w:val="part_31cd95086ced4c32b0dc0e7a910a1169"/>
                <w:lock w:val="sdtLocked"/>
                <w:richText/>
              </w:sdtPr>
              <w:sdtContent>
                <w:p w14:paraId="676C7856" w14:textId="77777777">
                  <w:pPr>
                    <w:ind w:left="851"/>
                    <w:jc w:val="both"/>
                    <w:rPr>
                      <w:szCs w:val="24"/>
                      <w:lang w:eastAsia="lt-LT"/>
                    </w:rPr>
                  </w:pPr>
                  <w:r>
                    <w:rPr>
                      <w:szCs w:val="24"/>
                      <w:lang w:eastAsia="lt-LT"/>
                    </w:rPr>
                    <w:t>Pakeisti 57 straipsnį ir jį išdėstyti taip:</w:t>
                  </w:r>
                </w:p>
                <w:sdt>
                  <w:sdtPr>
                    <w:alias w:val="citata"/>
                    <w:tag w:val="part_438162d4f74d42aa894b1b2f46e50d84"/>
                    <w:lock w:val="sdtLocked"/>
                    <w:richText/>
                  </w:sdtPr>
                  <w:sdtContent>
                    <w:sdt>
                      <w:sdtPr>
                        <w:alias w:val="57 str."/>
                        <w:tag w:val="part_69c435f07ae746c89121dbab8050e9f0"/>
                        <w:lock w:val="sdtLocked"/>
                        <w:richText/>
                      </w:sdtPr>
                      <w:sdtContent>
                        <w:sdt>
                          <w:sdtPr>
                            <w:alias w:val="Pavadinimas"/>
                            <w:tag w:val="title_69c435f07ae746c89121dbab8050e9f0"/>
                            <w:lock w:val="sdtLocked"/>
                            <w:richText/>
                          </w:sdtPr>
                          <w:sdtContent>
                            <w:p w14:paraId="3632C7C4" w14:textId="77777777">
                              <w:pPr>
                                <w:ind w:left="851"/>
                                <w:rPr>
                                  <w:b/>
                                  <w:bCs/>
                                  <w:color w:val="000000"/>
                                  <w:szCs w:val="24"/>
                                  <w:lang w:eastAsia="lt-LT"/>
                                </w:rPr>
                              </w:pPr>
                              <w:r>
                                <w:rPr>
                                  <w:szCs w:val="24"/>
                                  <w:lang w:eastAsia="lt-LT"/>
                                </w:rPr>
                                <w:t>„</w:t>
                              </w:r>
                              <w:sdt>
                                <w:sdtPr>
                                  <w:alias w:val="Numeris"/>
                                  <w:tag w:val="nr_69c435f07ae746c89121dbab8050e9f0"/>
                                  <w:lock w:val="sdtLocked"/>
                                  <w:richText/>
                                </w:sdtPr>
                                <w:sdtContent>
                                  <w:r>
                                    <w:rPr>
                                      <w:b/>
                                      <w:bCs/>
                                      <w:szCs w:val="24"/>
                                      <w:lang w:eastAsia="lt-LT"/>
                                    </w:rPr>
                                    <w:t>57</w:t>
                                  </w:r>
                                </w:sdtContent>
                              </w:sdt>
                              <w:r>
                                <w:rPr>
                                  <w:b/>
                                  <w:bCs/>
                                  <w:szCs w:val="24"/>
                                  <w:lang w:eastAsia="lt-LT"/>
                                </w:rPr>
                                <w:t xml:space="preserve"> </w:t>
                              </w:r>
                              <w:r>
                                <w:rPr>
                                  <w:b/>
                                  <w:bCs/>
                                  <w:color w:val="000000"/>
                                  <w:szCs w:val="24"/>
                                  <w:lang w:eastAsia="lt-LT"/>
                                </w:rPr>
                                <w:t xml:space="preserve">straipsnis. Kompensuojamųjų vaistinių preparatų ir medicinos pagalbos </w:t>
                              </w:r>
                            </w:p>
                            <w:p w14:paraId="3051C238" w14:textId="498D8725">
                              <w:pPr>
                                <w:ind w:left="1296" w:firstLine="1116"/>
                                <w:rPr>
                                  <w:b/>
                                  <w:bCs/>
                                  <w:color w:val="000000"/>
                                  <w:szCs w:val="24"/>
                                  <w:lang w:eastAsia="lt-LT"/>
                                </w:rPr>
                              </w:pPr>
                              <w:r>
                                <w:rPr>
                                  <w:b/>
                                  <w:bCs/>
                                  <w:color w:val="000000"/>
                                  <w:szCs w:val="24"/>
                                  <w:lang w:eastAsia="lt-LT"/>
                                </w:rPr>
                                <w:t>priemonių kainodaros bendrieji reikalavimai</w:t>
                              </w:r>
                            </w:p>
                          </w:sdtContent>
                        </w:sdt>
                        <w:sdt>
                          <w:sdtPr>
                            <w:alias w:val="57 str. 1 d."/>
                            <w:tag w:val="part_cb0c93896acd4a16b88c19bd16d87293"/>
                            <w:lock w:val="sdtLocked"/>
                            <w:richText/>
                          </w:sdtPr>
                          <w:sdtContent>
                            <w:p w14:paraId="6E6271B3" w14:textId="7C1DE0B8">
                              <w:pPr>
                                <w:shd w:val="clear" w:color="auto" w:fill="FFFFFF"/>
                                <w:ind w:firstLine="930"/>
                                <w:jc w:val="both"/>
                                <w:rPr>
                                  <w:strike/>
                                  <w:color w:val="000000"/>
                                  <w:szCs w:val="24"/>
                                  <w:lang w:eastAsia="lt-LT"/>
                                </w:rPr>
                              </w:pPr>
                              <w:sdt>
                                <w:sdtPr>
                                  <w:alias w:val="Numeris"/>
                                  <w:tag w:val="nr_cb0c93896acd4a16b88c19bd16d87293"/>
                                  <w:lock w:val="sdtLocked"/>
                                  <w:richText/>
                                </w:sdtPr>
                                <w:sdtContent>
                                  <w:r>
                                    <w:rPr>
                                      <w:strike/>
                                      <w:color w:val="000000"/>
                                      <w:szCs w:val="24"/>
                                      <w:lang w:eastAsia="lt-LT"/>
                                    </w:rPr>
                                    <w:t>1</w:t>
                                  </w:r>
                                </w:sdtContent>
                              </w:sdt>
                              <w:r>
                                <w:rPr>
                                  <w:strike/>
                                  <w:color w:val="000000"/>
                                  <w:szCs w:val="24"/>
                                  <w:lang w:eastAsia="lt-LT"/>
                                </w:rPr>
                                <w:t>. Sveikatos apsaugos ministras tvirtina Kompensuojamųjų vaistinių preparatų kainyną ir Kompensuojamųjų medicinos pagalbos priemonių kainyną (toliau – Kainynai), kuriuose nustatomos kompensuojamųjų vaistinių preparatų ir kompensuojamųjų medicinos pagalbos priemonių kainos. Kompensuojamųjų vaistinių preparatų kainynas kiekvienais metais turi būti tvirtinamas du kartus: ne vėliau kaip iki einamųjų metų birželio 1 dienos, o jo įsigaliojimas numatytas einamųjų metų liepos 1 dieną, ir ne vėliau kaip iki einamųjų metų gruodžio 1 dienos, o jo įsigaliojimas numatytas kitų metų sausio 1 dieną. Kompensuojamųjų medicinos pagalbos priemonių kainynas turi būti patvirtintas ne vėliau kaip iki einamųjų metų birželio 1 dienos, o jo įsigaliojimas numatytas einamųjų metų liepos 1 dieną. Kainynų pakeitimai tvirtinami pagal poreikį. Kainynai ir jų pakeitimai skelbiami Sveikatos apsaugos ministerijos interneto svetainėje.</w:t>
                              </w:r>
                            </w:p>
                          </w:sdtContent>
                        </w:sdt>
                        <w:sdt>
                          <w:sdtPr>
                            <w:alias w:val="57 str. 2 d."/>
                            <w:tag w:val="part_2d756014614840d6b87bbd6314de0dc0"/>
                            <w:lock w:val="sdtLocked"/>
                            <w:richText/>
                          </w:sdtPr>
                          <w:sdtContent>
                            <w:p w14:paraId="51B0C495" w14:textId="77777777">
                              <w:pPr>
                                <w:ind w:firstLine="709"/>
                                <w:jc w:val="both"/>
                                <w:rPr>
                                  <w:strike/>
                                  <w:szCs w:val="24"/>
                                  <w:lang w:eastAsia="lt-LT"/>
                                </w:rPr>
                              </w:pPr>
                              <w:sdt>
                                <w:sdtPr>
                                  <w:alias w:val="Numeris"/>
                                  <w:tag w:val="nr_2d756014614840d6b87bbd6314de0dc0"/>
                                  <w:lock w:val="sdtLocked"/>
                                  <w:richText/>
                                </w:sdtPr>
                                <w:sdtContent>
                                  <w:r>
                                    <w:rPr>
                                      <w:strike/>
                                      <w:szCs w:val="24"/>
                                      <w:lang w:eastAsia="lt-LT"/>
                                    </w:rPr>
                                    <w:t>2</w:t>
                                  </w:r>
                                </w:sdtContent>
                              </w:sdt>
                              <w:r>
                                <w:rPr>
                                  <w:strike/>
                                  <w:szCs w:val="24"/>
                                  <w:lang w:eastAsia="lt-LT"/>
                                </w:rPr>
                                <w:t>. Kompensuojamųjų vaistinių preparatų ir kompensuojamųjų medicinos pagalbos priemonių mažmeninės kainos apskaičiuojamos prie vaistinio preparato registruotojo ar jo atstovo, lygiagretaus importo leidimo turėtojo ar asmens, pagal šį įstatymą turinčio teisę vykdyti vaistinių preparatų lygiagretų platinimą, ar jų atstovo arba medicinos pagalbos priemonės gamintojo ar jo atstovo (toliau – vaistinio preparato ar medicinos pagalbos priemonės tiekėjas) Lietuvai taikomos vaistinio preparato ar medicinos pagalbos priemonės kainos pridedant ne didesnius negu sveikatos apsaugos ministro nustatytus didmeninės ir mažmeninės prekybos antkainius ir pridėtinės vertės mokestį, jeigu vaistinis preparatas ar medicinos pagalbos priemonė apmokestinama šiuo mokesčiu. Kompensuojamųjų ekstemporaliųjų vaistinių preparatų mažmeninės kainos apskaičiuojamos prie vaistinių medžiagų didmeninės kainos pridedant ne didesnį kaip 22 procentų šios kainos mažmeninės prekybos antkainį, ne didesnę kaip sveikatos apsaugos ministro patvirtintą šių vaistinių preparatų gamybos vaistinėse kainą, priklausančią nuo gamybos sąnaudų, vaistinių preparatų pakavimui ir ženklinimui naudojamų medžiagų kainas ir pridėtinės vertės mokestį, jeigu vaistinis preparatas apmokestinamas šiuo mokesčiu. Kompensuojamųjų vaistinių preparatų ir kompensuojamųjų medicinos pagalbos priemonių bazinės kainos ir paciento priemokos už juos apskaičiuojamos Vyriausybės nustatyta tvarka.</w:t>
                              </w:r>
                            </w:p>
                          </w:sdtContent>
                        </w:sdt>
                        <w:sdt>
                          <w:sdtPr>
                            <w:alias w:val="57 str. 3 d."/>
                            <w:tag w:val="part_d92af7cb8d1b477797431f7c4a5f7b52"/>
                            <w:lock w:val="sdtLocked"/>
                            <w:richText/>
                          </w:sdtPr>
                          <w:sdtContent>
                            <w:p w14:paraId="057258FB" w14:textId="77777777">
                              <w:pPr>
                                <w:shd w:val="clear" w:color="auto" w:fill="FFFFFF"/>
                                <w:ind w:firstLine="720"/>
                                <w:jc w:val="both"/>
                                <w:rPr>
                                  <w:strike/>
                                  <w:color w:val="000000"/>
                                  <w:szCs w:val="24"/>
                                  <w:lang w:eastAsia="lt-LT"/>
                                </w:rPr>
                              </w:pPr>
                              <w:sdt>
                                <w:sdtPr>
                                  <w:alias w:val="Numeris"/>
                                  <w:tag w:val="nr_d92af7cb8d1b477797431f7c4a5f7b52"/>
                                  <w:lock w:val="sdtLocked"/>
                                  <w:richText/>
                                </w:sdtPr>
                                <w:sdtContent>
                                  <w:r>
                                    <w:rPr>
                                      <w:strike/>
                                      <w:color w:val="000000"/>
                                      <w:szCs w:val="24"/>
                                      <w:lang w:eastAsia="lt-LT"/>
                                    </w:rPr>
                                    <w:t>3</w:t>
                                  </w:r>
                                </w:sdtContent>
                              </w:sdt>
                              <w:r>
                                <w:rPr>
                                  <w:strike/>
                                  <w:color w:val="000000"/>
                                  <w:szCs w:val="24"/>
                                  <w:lang w:eastAsia="lt-LT"/>
                                </w:rPr>
                                <w:t>. Kompensuojamieji vaistiniai preparatai ir kompensuojamosios medicinos pagalbos priemonės vaistinei, asmens sveikatos priežiūros įstaigai ir ūkio subjektams, nurodytiems Lietuvos Respublikos sveikatos draudimo įstatymo 262 straipsnyje, parduodami ne brangiau kaip už didmeninę kainą, kuri apskaičiuojama prie vaistinio preparato ar medicinos pagalbos priemonės tiekėjo Lietuvai taikomos vaistinio preparato ar medicinos pagalbos priemonės kainos pridedant ne didesnį negu sveikatos apsaugos ministro nustatytą didmeninės prekybos antkainį.</w:t>
                              </w:r>
                            </w:p>
                          </w:sdtContent>
                        </w:sdt>
                        <w:sdt>
                          <w:sdtPr>
                            <w:alias w:val="57 str. 4 d."/>
                            <w:tag w:val="part_fca5e8e9b71e4fe1bfbed5eae168edcd"/>
                            <w:lock w:val="sdtLocked"/>
                            <w:richText/>
                          </w:sdtPr>
                          <w:sdtContent>
                            <w:p w14:paraId="0ECC484A" w14:textId="77777777">
                              <w:pPr>
                                <w:shd w:val="clear" w:color="auto" w:fill="FFFFFF"/>
                                <w:ind w:firstLine="720"/>
                                <w:jc w:val="both"/>
                                <w:rPr>
                                  <w:strike/>
                                  <w:color w:val="000000"/>
                                  <w:szCs w:val="24"/>
                                  <w:lang w:eastAsia="lt-LT"/>
                                </w:rPr>
                              </w:pPr>
                              <w:sdt>
                                <w:sdtPr>
                                  <w:alias w:val="Numeris"/>
                                  <w:tag w:val="nr_fca5e8e9b71e4fe1bfbed5eae168edcd"/>
                                  <w:lock w:val="sdtLocked"/>
                                  <w:richText/>
                                </w:sdtPr>
                                <w:sdtContent>
                                  <w:r>
                                    <w:rPr>
                                      <w:strike/>
                                      <w:color w:val="000000"/>
                                      <w:szCs w:val="24"/>
                                      <w:lang w:eastAsia="lt-LT"/>
                                    </w:rPr>
                                    <w:t>4</w:t>
                                  </w:r>
                                </w:sdtContent>
                              </w:sdt>
                              <w:r>
                                <w:rPr>
                                  <w:strike/>
                                  <w:color w:val="000000"/>
                                  <w:szCs w:val="24"/>
                                  <w:lang w:eastAsia="lt-LT"/>
                                </w:rPr>
                                <w:t>. Kompensuojamieji vaistiniai preparatai didmeninio platinimo licencijos turėtojui, kompensuojamos medicinos pagalbos priemonės didmeniniams šių priemonių platintojams parduodami ne didesne negu vaistinio preparato ar medicinos pagalbos priemonės tiekėjo Lietuvai taikoma vaistinio preparato ar medicinos pagalbos priemonės kaina.</w:t>
                              </w:r>
                            </w:p>
                          </w:sdtContent>
                        </w:sdt>
                        <w:sdt>
                          <w:sdtPr>
                            <w:alias w:val="57 str. 1 d."/>
                            <w:tag w:val="part_de9130c5ad324f1da0c6e417819b6257"/>
                            <w:lock w:val="sdtLocked"/>
                            <w:richText/>
                          </w:sdtPr>
                          <w:sdtContent>
                            <w:p w14:paraId="0D1A31C8" w14:textId="538846F2">
                              <w:pPr>
                                <w:shd w:val="clear" w:color="auto" w:fill="FFFFFF"/>
                                <w:ind w:firstLine="806"/>
                                <w:jc w:val="both"/>
                                <w:rPr>
                                  <w:color w:val="000000"/>
                                  <w:szCs w:val="24"/>
                                  <w:lang w:eastAsia="lt-LT"/>
                                </w:rPr>
                              </w:pPr>
                              <w:sdt>
                                <w:sdtPr>
                                  <w:alias w:val="Numeris"/>
                                  <w:tag w:val="nr_de9130c5ad324f1da0c6e417819b6257"/>
                                  <w:lock w:val="sdtLocked"/>
                                  <w:richText/>
                                </w:sdtPr>
                                <w:sdtContent>
                                  <w:r>
                                    <w:rPr>
                                      <w:b/>
                                      <w:bCs/>
                                      <w:color w:val="000000"/>
                                      <w:szCs w:val="24"/>
                                      <w:lang w:eastAsia="lt-LT"/>
                                    </w:rPr>
                                    <w:t>1</w:t>
                                  </w:r>
                                </w:sdtContent>
                              </w:sdt>
                              <w:r>
                                <w:rPr>
                                  <w:b/>
                                  <w:bCs/>
                                  <w:color w:val="000000"/>
                                  <w:szCs w:val="24"/>
                                  <w:lang w:eastAsia="lt-LT"/>
                                </w:rPr>
                                <w:t>. Sveikatos apsaugos ministras tvirtina Kompensuojamųjų vaistinių preparatų kainyną ir Kompensuojamųjų medicinos pagalbos priemonių kainyną (toliau – Kainynai), kuriuose nustatomos kompensuojamųjų vaistinių preparatų ir kompensuojamųjų medicinos pagalbos priemonių kainos. Kompensuojamųjų vaistinių preparatų kainynas kiekvienais metais turi būti tvirtinamas du kartus: ne vėliau kaip iki einamųjų metų birželio 1 dienos, o jo įsigaliojimas numatytas einamųjų metų liepos 1 dieną, ir ne vėliau kaip iki einamųjų metų gruodžio 1 dienos, o jo įsigaliojimas numatytas kitų metų sausio 1 dieną. Kompensuojamųjų medicinos pagalbos priemonių kainynas turi būti patvirtintas ne vėliau kaip iki einamųjų metų birželio 1 dienos, o jo įsigaliojimas numatytas einamųjų metų liepos 1 dieną. Kainynų pakeitimai tvirtinami pagal poreikį. Kainynai ir jų pakeitimai skelbiami Sveikatos apsaugos ministerijos interneto svetainėje.</w:t>
                              </w:r>
                            </w:p>
                          </w:sdtContent>
                        </w:sdt>
                        <w:sdt>
                          <w:sdtPr>
                            <w:alias w:val="57 str. 2 d."/>
                            <w:tag w:val="part_1032fd2efa6a4dca89063ff2b25e90e3"/>
                            <w:lock w:val="sdtLocked"/>
                            <w:richText/>
                          </w:sdtPr>
                          <w:sdtContent>
                            <w:p w14:paraId="1C31228E" w14:textId="15B5CE8E">
                              <w:pPr>
                                <w:ind w:firstLine="771"/>
                                <w:jc w:val="both"/>
                                <w:rPr>
                                  <w:b/>
                                  <w:bCs/>
                                  <w:szCs w:val="24"/>
                                  <w:lang w:eastAsia="lt-LT"/>
                                </w:rPr>
                              </w:pPr>
                              <w:sdt>
                                <w:sdtPr>
                                  <w:alias w:val="Numeris"/>
                                  <w:tag w:val="nr_1032fd2efa6a4dca89063ff2b25e90e3"/>
                                  <w:lock w:val="sdtLocked"/>
                                  <w:richText/>
                                </w:sdtPr>
                                <w:sdtContent>
                                  <w:r>
                                    <w:rPr>
                                      <w:b/>
                                      <w:bCs/>
                                      <w:szCs w:val="24"/>
                                      <w:lang w:eastAsia="lt-LT"/>
                                    </w:rPr>
                                    <w:t>2</w:t>
                                  </w:r>
                                </w:sdtContent>
                              </w:sdt>
                              <w:r>
                                <w:rPr>
                                  <w:b/>
                                  <w:bCs/>
                                  <w:szCs w:val="24"/>
                                  <w:lang w:eastAsia="lt-LT"/>
                                </w:rPr>
                                <w:t>. Kompensuojamųjų vaistinių preparatų ir kompensuojamųjų medicinos pagalbos priemonių mažmeninės kainos apskaičiuojamos prie kompensuojamojo vaistinio preparato ar kompensuojamosios medicinos pagalbos priemonės tiekėjo Lietuvai taikomos vaistinio preparato ar medicinos pagalbos priemonės kainos pridedant ne didesnius negu sveikatos apsaugos ministro nustatytus didmeninės ir mažmeninės prekybos antkainius ir pridėtinės vertės mokestį, jeigu vaistinis preparatas ar medicinos pagalbos priemonė apmokestinama šiuo mokesčiu. Kompensuojamųjų ekstemporaliųjų vaistinių preparatų mažmeninės kainos apskaičiuojamos prie vaistinių medžiagų didmeninės kainos pridedant ne didesnį kaip 22 procentų šios kainos mažmeninės prekybos antkainį, ne didesnę kaip sveikatos apsaugos ministro patvirtintą šių vaistinių preparatų gamybos vaistinėse kainą, priklausančią nuo gamybos sąnaudų, vaistinių preparatų pakavimui ir ženklinimui naudojamų medžiagų kainas ir pridėtinės vertės mokestį, jeigu vaistinis preparatas apmokestinamas šiuo mokesčiu</w:t>
                              </w:r>
                            </w:p>
                          </w:sdtContent>
                        </w:sdt>
                        <w:sdt>
                          <w:sdtPr>
                            <w:alias w:val="57 str. 3 d."/>
                            <w:tag w:val="part_f0b2f55e6dc94a23b104859a74ad8ecf"/>
                            <w:lock w:val="sdtLocked"/>
                            <w:richText/>
                          </w:sdtPr>
                          <w:sdtContent>
                            <w:p w14:paraId="7A8E796A" w14:textId="648A7C65">
                              <w:pPr>
                                <w:shd w:val="clear" w:color="auto" w:fill="FFFFFF"/>
                                <w:ind w:firstLine="720"/>
                                <w:jc w:val="both"/>
                                <w:rPr>
                                  <w:b/>
                                  <w:bCs/>
                                  <w:color w:val="000000"/>
                                  <w:szCs w:val="24"/>
                                  <w:lang w:eastAsia="lt-LT"/>
                                </w:rPr>
                              </w:pPr>
                              <w:sdt>
                                <w:sdtPr>
                                  <w:alias w:val="Numeris"/>
                                  <w:tag w:val="nr_f0b2f55e6dc94a23b104859a74ad8ecf"/>
                                  <w:lock w:val="sdtLocked"/>
                                  <w:richText/>
                                </w:sdtPr>
                                <w:sdtContent>
                                  <w:r>
                                    <w:rPr>
                                      <w:b/>
                                      <w:bCs/>
                                      <w:color w:val="000000"/>
                                      <w:szCs w:val="24"/>
                                      <w:lang w:eastAsia="lt-LT"/>
                                    </w:rPr>
                                    <w:t>3</w:t>
                                  </w:r>
                                </w:sdtContent>
                              </w:sdt>
                              <w:r>
                                <w:rPr>
                                  <w:b/>
                                  <w:bCs/>
                                  <w:color w:val="000000"/>
                                  <w:szCs w:val="24"/>
                                  <w:lang w:eastAsia="lt-LT"/>
                                </w:rPr>
                                <w:t>. Kompensuojamieji vaistiniai preparatai ir kompensuojamosios medicinos pagalbos priemonės vaistinei, asmens sveikatos priežiūros įstaigai ir ūkio subjektams, nurodytiems Lietuvos Respublikos sveikatos draudimo įstatymo 26</w:t>
                              </w:r>
                              <w:r>
                                <w:rPr>
                                  <w:b/>
                                  <w:bCs/>
                                  <w:color w:val="000000"/>
                                  <w:szCs w:val="24"/>
                                  <w:vertAlign w:val="superscript"/>
                                  <w:lang w:eastAsia="lt-LT"/>
                                </w:rPr>
                                <w:t>2</w:t>
                              </w:r>
                              <w:r>
                                <w:rPr>
                                  <w:b/>
                                  <w:bCs/>
                                  <w:color w:val="000000"/>
                                  <w:szCs w:val="24"/>
                                  <w:lang w:eastAsia="lt-LT"/>
                                </w:rPr>
                                <w:t> straipsnyje, parduodami ne brangiau kaip už didmeninę kainą, kuri apskaičiuojama prie kompensuojamojo vaistinio preparato ar kompensuojamosios medicinos pagalbos priemonės tiekėjo Lietuvai taikomos vaistinio preparato ar medicinos pagalbos priemonės kainos pridedant ne didesnį negu sveikatos apsaugos ministro nustatytą didmeninės prekybos antkainį.</w:t>
                              </w:r>
                            </w:p>
                          </w:sdtContent>
                        </w:sdt>
                        <w:sdt>
                          <w:sdtPr>
                            <w:alias w:val="57 str. 4 d."/>
                            <w:tag w:val="part_661a6a760abe4f608114467d8938bcbd"/>
                            <w:lock w:val="sdtLocked"/>
                            <w:richText/>
                          </w:sdtPr>
                          <w:sdtContent>
                            <w:p w14:paraId="63F89F1C" w14:textId="0CB6C247">
                              <w:pPr>
                                <w:shd w:val="clear" w:color="auto" w:fill="FFFFFF"/>
                                <w:ind w:firstLine="720"/>
                                <w:jc w:val="both"/>
                                <w:rPr>
                                  <w:b/>
                                  <w:bCs/>
                                  <w:color w:val="000000"/>
                                  <w:szCs w:val="24"/>
                                  <w:lang w:eastAsia="lt-LT"/>
                                </w:rPr>
                              </w:pPr>
                              <w:sdt>
                                <w:sdtPr>
                                  <w:alias w:val="Numeris"/>
                                  <w:tag w:val="nr_661a6a760abe4f608114467d8938bcbd"/>
                                  <w:lock w:val="sdtLocked"/>
                                  <w:richText/>
                                </w:sdtPr>
                                <w:sdtContent>
                                  <w:r>
                                    <w:rPr>
                                      <w:b/>
                                      <w:bCs/>
                                      <w:color w:val="000000"/>
                                      <w:szCs w:val="24"/>
                                      <w:lang w:eastAsia="lt-LT"/>
                                    </w:rPr>
                                    <w:t>4</w:t>
                                  </w:r>
                                </w:sdtContent>
                              </w:sdt>
                              <w:r>
                                <w:rPr>
                                  <w:b/>
                                  <w:bCs/>
                                  <w:color w:val="000000"/>
                                  <w:szCs w:val="24"/>
                                  <w:lang w:eastAsia="lt-LT"/>
                                </w:rPr>
                                <w:t>. Kompensuojamieji vaistiniai preparatai didmeninio platinimo licencijos turėtojui, kompensuojamos medicinos pagalbos priemonės didmeniniams šių priemonių platintojams parduodami ne didesne negu kompensuojamojo vaistinio preparato ar kompensuojamosios medicinos pagalbos priemonės tiekėjo Lietuvai taikoma vaistinio preparato ar medicinos pagalbos priemonės kaina.</w:t>
                              </w:r>
                            </w:p>
                          </w:sdtContent>
                        </w:sdt>
                        <w:sdt>
                          <w:sdtPr>
                            <w:alias w:val="57 str. 5 d."/>
                            <w:tag w:val="part_35202e91cb6f488b8440d984f9a1bb84"/>
                            <w:lock w:val="sdtLocked"/>
                            <w:richText/>
                          </w:sdtPr>
                          <w:sdtContent>
                            <w:p w14:paraId="159E381B" w14:textId="535FE79C">
                              <w:pPr>
                                <w:ind w:firstLine="806"/>
                                <w:jc w:val="both"/>
                                <w:rPr>
                                  <w:b/>
                                  <w:bCs/>
                                  <w:szCs w:val="24"/>
                                  <w:lang w:eastAsia="lt-LT"/>
                                </w:rPr>
                              </w:pPr>
                              <w:sdt>
                                <w:sdtPr>
                                  <w:alias w:val="Numeris"/>
                                  <w:tag w:val="nr_35202e91cb6f488b8440d984f9a1bb84"/>
                                  <w:lock w:val="sdtLocked"/>
                                  <w:richText/>
                                </w:sdtPr>
                                <w:sdtContent>
                                  <w:r>
                                    <w:rPr>
                                      <w:b/>
                                      <w:bCs/>
                                      <w:szCs w:val="24"/>
                                      <w:lang w:eastAsia="lt-LT"/>
                                    </w:rPr>
                                    <w:t>5</w:t>
                                  </w:r>
                                </w:sdtContent>
                              </w:sdt>
                              <w:r>
                                <w:rPr>
                                  <w:b/>
                                  <w:bCs/>
                                  <w:szCs w:val="24"/>
                                  <w:lang w:eastAsia="lt-LT"/>
                                </w:rPr>
                                <w:t xml:space="preserve">. Vaistiniai preparatai bazinei kainai nustatyti grupuojami ir panašaus terapinio  poveikio vaistinių preparatų grupės ir ekvivalentinės dozės jų bazinei kainai apskaičiuoti sudaromos pagal Vyriausybės nustatytus kriterijus ir tvirtinamos sveikatos apsaugos ministro nustatyta tvarka.</w:t>
                              </w:r>
                            </w:p>
                          </w:sdtContent>
                        </w:sdt>
                        <w:sdt>
                          <w:sdtPr>
                            <w:alias w:val="57 str. 6 d."/>
                            <w:tag w:val="part_f79abf9f6a454cf59a986fc71243498c"/>
                            <w:lock w:val="sdtLocked"/>
                            <w:richText/>
                          </w:sdtPr>
                          <w:sdtContent>
                            <w:p w14:paraId="42B5D1BE" w14:textId="75E3D404">
                              <w:pPr>
                                <w:ind w:firstLine="868"/>
                                <w:jc w:val="both"/>
                                <w:rPr>
                                  <w:b/>
                                  <w:bCs/>
                                  <w:szCs w:val="24"/>
                                  <w:lang w:eastAsia="lt-LT"/>
                                </w:rPr>
                              </w:pPr>
                              <w:sdt>
                                <w:sdtPr>
                                  <w:alias w:val="Numeris"/>
                                  <w:tag w:val="nr_f79abf9f6a454cf59a986fc71243498c"/>
                                  <w:lock w:val="sdtLocked"/>
                                  <w:richText/>
                                </w:sdtPr>
                                <w:sdtContent>
                                  <w:r>
                                    <w:rPr>
                                      <w:b/>
                                      <w:bCs/>
                                      <w:szCs w:val="24"/>
                                      <w:lang w:eastAsia="lt-LT"/>
                                    </w:rPr>
                                    <w:t>6</w:t>
                                  </w:r>
                                </w:sdtContent>
                              </w:sdt>
                              <w:r>
                                <w:rPr>
                                  <w:b/>
                                  <w:bCs/>
                                  <w:szCs w:val="24"/>
                                  <w:lang w:eastAsia="lt-LT"/>
                                </w:rPr>
                                <w:t xml:space="preserve">. Nustatant vaistinio preparato bazinę kainą vadovaujamasi šiais kriterijais:  </w:t>
                              </w:r>
                            </w:p>
                            <w:sdt>
                              <w:sdtPr>
                                <w:alias w:val="57 str. 6 d. 1 p."/>
                                <w:tag w:val="part_d39b80dc21fc4cb7912d3f7b1889f687"/>
                                <w:lock w:val="sdtLocked"/>
                                <w:richText/>
                              </w:sdtPr>
                              <w:sdtContent>
                                <w:p w14:paraId="1FCF095A" w14:textId="152945CA">
                                  <w:pPr>
                                    <w:ind w:firstLine="851"/>
                                    <w:jc w:val="both"/>
                                    <w:rPr>
                                      <w:b/>
                                      <w:bCs/>
                                      <w:szCs w:val="24"/>
                                      <w:lang w:eastAsia="lt-LT"/>
                                    </w:rPr>
                                  </w:pPr>
                                  <w:sdt>
                                    <w:sdtPr>
                                      <w:alias w:val="Numeris"/>
                                      <w:tag w:val="nr_d39b80dc21fc4cb7912d3f7b1889f687"/>
                                      <w:lock w:val="sdtLocked"/>
                                      <w:richText/>
                                    </w:sdtPr>
                                    <w:sdtContent>
                                      <w:r>
                                        <w:rPr>
                                          <w:b/>
                                          <w:bCs/>
                                          <w:szCs w:val="24"/>
                                          <w:lang w:eastAsia="lt-LT"/>
                                        </w:rPr>
                                        <w:t>1</w:t>
                                      </w:r>
                                    </w:sdtContent>
                                  </w:sdt>
                                  <w:r>
                                    <w:rPr>
                                      <w:b/>
                                      <w:bCs/>
                                      <w:szCs w:val="24"/>
                                      <w:lang w:eastAsia="lt-LT"/>
                                    </w:rPr>
                                    <w:t>)</w:t>
                                    <w:tab/>
                                    <w:t xml:space="preserve">jei vaistinis preparatas priskiriamas vieno tiekėjo ar negenerinių panašaus  terapinio  poveikio  vaistinių preparatų grupei,  vaistinio preparato  bazinė kaina nustatoma pagal  Lietuvai taikomą vaistinio preparato kainą, išskyrus atvejus, kai to paties bendrinio pavadinimo vaistinių preparatų Europos Sąjungos valstybėse deklaruojamų, jų nesant, didmeninių trijų mažiausių kainų, nurodytų Tarptautinėje duomenų bazėje vaistų kainoms patikrinti (toliau – EURIPID), vidurkis yra mažesnis nei  Lietuvai  taikoma vaistinio preparato kaina – tokiu atveju bazinė kaina nustatoma pagal šiuos duomenis;</w:t>
                                  </w:r>
                                </w:p>
                              </w:sdtContent>
                            </w:sdt>
                            <w:sdt>
                              <w:sdtPr>
                                <w:alias w:val="57 str. 6 d. 2 p."/>
                                <w:tag w:val="part_c062ef1ff69a46e0a571c509b8324a22"/>
                                <w:lock w:val="sdtLocked"/>
                                <w:richText/>
                              </w:sdtPr>
                              <w:sdtContent>
                                <w:p w14:paraId="5495870D" w14:textId="15EF374D">
                                  <w:pPr>
                                    <w:ind w:firstLine="851"/>
                                    <w:jc w:val="both"/>
                                    <w:rPr>
                                      <w:b/>
                                      <w:bCs/>
                                      <w:szCs w:val="24"/>
                                      <w:lang w:eastAsia="lt-LT"/>
                                    </w:rPr>
                                  </w:pPr>
                                  <w:sdt>
                                    <w:sdtPr>
                                      <w:alias w:val="Numeris"/>
                                      <w:tag w:val="nr_c062ef1ff69a46e0a571c509b8324a22"/>
                                      <w:lock w:val="sdtLocked"/>
                                      <w:richText/>
                                    </w:sdtPr>
                                    <w:sdtContent>
                                      <w:r>
                                        <w:rPr>
                                          <w:b/>
                                          <w:bCs/>
                                          <w:szCs w:val="24"/>
                                          <w:lang w:eastAsia="lt-LT"/>
                                        </w:rPr>
                                        <w:t>2</w:t>
                                      </w:r>
                                    </w:sdtContent>
                                  </w:sdt>
                                  <w:r>
                                    <w:rPr>
                                      <w:b/>
                                      <w:bCs/>
                                      <w:szCs w:val="24"/>
                                      <w:lang w:eastAsia="lt-LT"/>
                                    </w:rPr>
                                    <w:t>)</w:t>
                                    <w:tab/>
                                    <w:t>jei vaistinis preparatas priskiriamas dviejų ir daugiau tiekėjų vaistinių preparatų grupei, vaistinio preparato bazinė kaina nustatoma pagal tos grupės vaistinį preparatą, kurio Lietuvai taikoma kaina mažiausia, išskyrus atvejus, kai to paties bendrinio pavadinimo vaistinių preparatų Europos Sąjungos valstybėse deklaruojamų, jų nesant, didmeninių penkių mažiausių kainų, nurodytų EURIPID, vidurkis yra mažesnis nei Lietuvai taikoma vaistinio preparato kaina – tokiu atveju bazinė kaina nustatoma pagal šiuos duomenis;</w:t>
                                  </w:r>
                                </w:p>
                              </w:sdtContent>
                            </w:sdt>
                            <w:sdt>
                              <w:sdtPr>
                                <w:alias w:val="57 str. 6 d. 3 p."/>
                                <w:tag w:val="part_d009d575036f423580f58be9c3951980"/>
                                <w:lock w:val="sdtLocked"/>
                                <w:richText/>
                              </w:sdtPr>
                              <w:sdtContent>
                                <w:p w14:paraId="708E096F" w14:textId="042B8DE5">
                                  <w:pPr>
                                    <w:ind w:firstLine="851"/>
                                    <w:jc w:val="both"/>
                                    <w:rPr>
                                      <w:b/>
                                      <w:bCs/>
                                      <w:szCs w:val="24"/>
                                      <w:lang w:eastAsia="lt-LT"/>
                                    </w:rPr>
                                  </w:pPr>
                                  <w:sdt>
                                    <w:sdtPr>
                                      <w:alias w:val="Numeris"/>
                                      <w:tag w:val="nr_d009d575036f423580f58be9c3951980"/>
                                      <w:lock w:val="sdtLocked"/>
                                      <w:richText/>
                                    </w:sdtPr>
                                    <w:sdtContent>
                                      <w:r>
                                        <w:rPr>
                                          <w:b/>
                                          <w:bCs/>
                                          <w:szCs w:val="24"/>
                                          <w:lang w:eastAsia="lt-LT"/>
                                        </w:rPr>
                                        <w:t>3</w:t>
                                      </w:r>
                                    </w:sdtContent>
                                  </w:sdt>
                                  <w:r>
                                    <w:rPr>
                                      <w:b/>
                                      <w:bCs/>
                                      <w:szCs w:val="24"/>
                                      <w:lang w:eastAsia="lt-LT"/>
                                    </w:rPr>
                                    <w:t>)</w:t>
                                    <w:tab/>
                                    <w:t>sudėtinių vaistinių preparatų bazinė kaina be antkainių ir pridėtinės vertės mokesčio (toliau – PVM) negali viršyti jį sudarančių veikliųjų medžiagų bazinių kainų sumos be antkainių ir PVM;</w:t>
                                  </w:r>
                                </w:p>
                              </w:sdtContent>
                            </w:sdt>
                            <w:sdt>
                              <w:sdtPr>
                                <w:alias w:val="57 str. 6 d. 4 p."/>
                                <w:tag w:val="part_f9ec9fe4e6ea4d29966b54470cab701c"/>
                                <w:lock w:val="sdtLocked"/>
                                <w:richText/>
                              </w:sdtPr>
                              <w:sdtContent>
                                <w:p w14:paraId="0BAFB3A9" w14:textId="5E2D1FD8">
                                  <w:pPr>
                                    <w:tabs>
                                      <w:tab w:val="left" w:pos="0"/>
                                    </w:tabs>
                                    <w:ind w:firstLine="851"/>
                                    <w:jc w:val="both"/>
                                    <w:rPr>
                                      <w:szCs w:val="24"/>
                                      <w:lang w:eastAsia="lt-LT"/>
                                    </w:rPr>
                                  </w:pPr>
                                  <w:sdt>
                                    <w:sdtPr>
                                      <w:alias w:val="Numeris"/>
                                      <w:tag w:val="nr_f9ec9fe4e6ea4d29966b54470cab701c"/>
                                      <w:lock w:val="sdtLocked"/>
                                      <w:richText/>
                                    </w:sdtPr>
                                    <w:sdtContent>
                                      <w:r>
                                        <w:rPr>
                                          <w:szCs w:val="24"/>
                                          <w:lang w:eastAsia="lt-LT"/>
                                        </w:rPr>
                                        <w:t>4</w:t>
                                      </w:r>
                                    </w:sdtContent>
                                  </w:sdt>
                                  <w:r>
                                    <w:rPr>
                                      <w:szCs w:val="24"/>
                                      <w:lang w:eastAsia="lt-LT"/>
                                    </w:rPr>
                                    <w:t>)</w:t>
                                    <w:tab/>
                                  </w:r>
                                  <w:r>
                                    <w:rPr>
                                      <w:b/>
                                      <w:bCs/>
                                      <w:szCs w:val="24"/>
                                      <w:lang w:eastAsia="lt-LT"/>
                                    </w:rPr>
                                    <w:t xml:space="preserve">jei rengiant Kompensuojamųjų vaistinių preparatų kainyną nustatoma, kad apskaičiuota vaistinio preparato bazinė kaina yra didesnė nei bazinė kaina, nurodyta galiojančiame Kompensuojamųjų vaistinių preparatų kainyne, galiojanti bazinė kaina nekeičiama, išskyrus atvejus, jei vieno tiekėjo vaistinis preparatas yra nepakeičiamas, atitinkantis bent vieną iš šio straipsnio 7 dalyje nustatytų kriterijų, arba mažo terapinio indekso vaistinio preparato, priskiriamo dviejų ir daugiau tiekėjų grupei, tiekėjas įsipareigoja su  Valstybine ligonių kasa prie Sveikatos apsaugos ministerijos sudaryti gydymo prieinamumo gerinimo ir rizikos pasidalijimo sutartį;</w:t>
                                  </w:r>
                                </w:p>
                              </w:sdtContent>
                            </w:sdt>
                            <w:sdt>
                              <w:sdtPr>
                                <w:alias w:val="57 str. 6 d. 5 p."/>
                                <w:tag w:val="part_274c614ae926422cb1c369ed55987ecf"/>
                                <w:lock w:val="sdtLocked"/>
                                <w:richText/>
                              </w:sdtPr>
                              <w:sdtContent>
                                <w:p w14:paraId="0B157307" w14:textId="7DAFD937">
                                  <w:pPr>
                                    <w:tabs>
                                      <w:tab w:val="left" w:pos="0"/>
                                    </w:tabs>
                                    <w:ind w:firstLine="851"/>
                                    <w:jc w:val="both"/>
                                    <w:rPr>
                                      <w:b/>
                                      <w:bCs/>
                                      <w:color w:val="000000"/>
                                      <w:szCs w:val="24"/>
                                      <w:lang w:eastAsia="lt-LT"/>
                                    </w:rPr>
                                  </w:pPr>
                                  <w:sdt>
                                    <w:sdtPr>
                                      <w:alias w:val="Numeris"/>
                                      <w:tag w:val="nr_274c614ae926422cb1c369ed55987ecf"/>
                                      <w:lock w:val="sdtLocked"/>
                                      <w:richText/>
                                    </w:sdtPr>
                                    <w:sdtContent>
                                      <w:r>
                                        <w:rPr>
                                          <w:b/>
                                          <w:bCs/>
                                          <w:color w:val="000000"/>
                                          <w:szCs w:val="24"/>
                                          <w:lang w:eastAsia="lt-LT"/>
                                        </w:rPr>
                                        <w:t>5</w:t>
                                      </w:r>
                                    </w:sdtContent>
                                  </w:sdt>
                                  <w:r>
                                    <w:rPr>
                                      <w:b/>
                                      <w:bCs/>
                                      <w:color w:val="000000"/>
                                      <w:szCs w:val="24"/>
                                      <w:lang w:eastAsia="lt-LT"/>
                                    </w:rPr>
                                    <w:t>)</w:t>
                                    <w:tab/>
                                    <w:t>bazinei kainai apskaičiuoti kartu grupuojami ir pagal šios dalies 1 punktą nustatoma bazinė kaina šių vaistinių preparatų:</w:t>
                                  </w:r>
                                </w:p>
                                <w:sdt>
                                  <w:sdtPr>
                                    <w:alias w:val="57 str. 6 d. 5 p. a pp."/>
                                    <w:tag w:val="part_c166cd8526294e589f50fd11f8b260a2"/>
                                    <w:lock w:val="sdtLocked"/>
                                    <w:richText/>
                                  </w:sdtPr>
                                  <w:sdtContent>
                                    <w:p w14:paraId="7AA3C3B8" w14:textId="77777777">
                                      <w:pPr>
                                        <w:tabs>
                                          <w:tab w:val="left" w:pos="0"/>
                                        </w:tabs>
                                        <w:ind w:firstLine="851"/>
                                        <w:jc w:val="both"/>
                                        <w:rPr>
                                          <w:b/>
                                          <w:bCs/>
                                          <w:color w:val="000000"/>
                                          <w:szCs w:val="24"/>
                                          <w:lang w:eastAsia="lt-LT"/>
                                        </w:rPr>
                                      </w:pPr>
                                      <w:sdt>
                                        <w:sdtPr>
                                          <w:alias w:val="Numeris"/>
                                          <w:tag w:val="nr_c166cd8526294e589f50fd11f8b260a2"/>
                                          <w:lock w:val="sdtLocked"/>
                                          <w:richText/>
                                        </w:sdtPr>
                                        <w:sdtContent>
                                          <w:r>
                                            <w:rPr>
                                              <w:b/>
                                              <w:bCs/>
                                              <w:color w:val="000000"/>
                                              <w:szCs w:val="24"/>
                                              <w:lang w:eastAsia="lt-LT"/>
                                            </w:rPr>
                                            <w:t>a</w:t>
                                          </w:r>
                                        </w:sdtContent>
                                      </w:sdt>
                                      <w:r>
                                        <w:rPr>
                                          <w:b/>
                                          <w:bCs/>
                                          <w:color w:val="000000"/>
                                          <w:szCs w:val="24"/>
                                          <w:lang w:eastAsia="lt-LT"/>
                                        </w:rPr>
                                        <w:t>) lygiagrečiai importuojami vaistiniai preparatai ir į Lietuvos Respublikos vaistinių preparatų registrą įrašyti vaistiniai preparatai, su kuriais buvo lyginami lygiagrečiai importuojami vaistiniai preparatai išduodant lygiagretaus importo leidimus Lietuvos Respublikoje, ir kurių registruotojai atitinkamai eksportuojančioje šalyje ir Lietuvos Respublikoje yra tie patys asmenys;</w:t>
                                      </w:r>
                                    </w:p>
                                  </w:sdtContent>
                                </w:sdt>
                                <w:sdt>
                                  <w:sdtPr>
                                    <w:alias w:val="57 str. 6 d. 5 p. b pp."/>
                                    <w:tag w:val="part_481f16b1e7fa41f6a362bc9c7cdf2e02"/>
                                    <w:lock w:val="sdtLocked"/>
                                    <w:richText/>
                                  </w:sdtPr>
                                  <w:sdtContent>
                                    <w:p w14:paraId="50FF7F04" w14:textId="4F270261">
                                      <w:pPr>
                                        <w:tabs>
                                          <w:tab w:val="left" w:pos="0"/>
                                        </w:tabs>
                                        <w:ind w:firstLine="868"/>
                                        <w:jc w:val="both"/>
                                        <w:rPr>
                                          <w:b/>
                                          <w:bCs/>
                                          <w:color w:val="000000"/>
                                          <w:szCs w:val="24"/>
                                          <w:lang w:eastAsia="lt-LT"/>
                                        </w:rPr>
                                      </w:pPr>
                                      <w:sdt>
                                        <w:sdtPr>
                                          <w:alias w:val="Numeris"/>
                                          <w:tag w:val="nr_481f16b1e7fa41f6a362bc9c7cdf2e02"/>
                                          <w:lock w:val="sdtLocked"/>
                                          <w:richText/>
                                        </w:sdtPr>
                                        <w:sdtContent>
                                          <w:r>
                                            <w:rPr>
                                              <w:b/>
                                              <w:bCs/>
                                              <w:color w:val="000000"/>
                                              <w:szCs w:val="24"/>
                                              <w:lang w:eastAsia="lt-LT"/>
                                            </w:rPr>
                                            <w:t>b</w:t>
                                          </w:r>
                                        </w:sdtContent>
                                      </w:sdt>
                                      <w:r>
                                        <w:rPr>
                                          <w:b/>
                                          <w:bCs/>
                                          <w:color w:val="000000"/>
                                          <w:szCs w:val="24"/>
                                          <w:lang w:eastAsia="lt-LT"/>
                                        </w:rPr>
                                        <w:t>) to paties registruotojo vaistiniai preparatai, įrašyti į Bendrijos vaistinių preparatų registrą, kurie registruotojo tikslingai skirti Lietuvos Respublikos rinkai ir tie, kurie lygiagrečiai platinami.</w:t>
                                      </w:r>
                                      <w:r>
                                        <w:rPr>
                                          <w:b/>
                                          <w:bCs/>
                                          <w:color w:val="FF0000"/>
                                          <w:szCs w:val="24"/>
                                          <w:lang w:eastAsia="lt-LT"/>
                                        </w:rPr>
                                        <w:t xml:space="preserve"> </w:t>
                                      </w:r>
                                    </w:p>
                                  </w:sdtContent>
                                </w:sdt>
                              </w:sdtContent>
                            </w:sdt>
                          </w:sdtContent>
                        </w:sdt>
                        <w:sdt>
                          <w:sdtPr>
                            <w:alias w:val="57 str. 7 d."/>
                            <w:tag w:val="part_cbaaa258b4a04208a8c982f5cde0679f"/>
                            <w:lock w:val="sdtLocked"/>
                            <w:richText/>
                          </w:sdtPr>
                          <w:sdtContent>
                            <w:p w14:paraId="0209546F" w14:textId="1DCCA721">
                              <w:pPr>
                                <w:tabs>
                                  <w:tab w:val="left" w:pos="0"/>
                                </w:tabs>
                                <w:ind w:firstLine="900"/>
                                <w:jc w:val="both"/>
                                <w:rPr>
                                  <w:b/>
                                  <w:bCs/>
                                  <w:szCs w:val="24"/>
                                  <w:lang w:eastAsia="lt-LT"/>
                                </w:rPr>
                              </w:pPr>
                              <w:sdt>
                                <w:sdtPr>
                                  <w:alias w:val="Numeris"/>
                                  <w:tag w:val="nr_cbaaa258b4a04208a8c982f5cde0679f"/>
                                  <w:lock w:val="sdtLocked"/>
                                  <w:richText/>
                                </w:sdtPr>
                                <w:sdtContent>
                                  <w:r>
                                    <w:rPr>
                                      <w:b/>
                                      <w:bCs/>
                                      <w:szCs w:val="24"/>
                                      <w:lang w:eastAsia="lt-LT"/>
                                    </w:rPr>
                                    <w:t>7</w:t>
                                  </w:r>
                                </w:sdtContent>
                              </w:sdt>
                              <w:r>
                                <w:rPr>
                                  <w:b/>
                                  <w:bCs/>
                                  <w:szCs w:val="24"/>
                                  <w:lang w:eastAsia="lt-LT"/>
                                </w:rPr>
                                <w:t>. Nustatant, ar vaistinis preparatas yra nepakeičiamas, vadovaujamasi šiais kriterijais (toliau – nepakeičiamumo kriterijai):</w:t>
                              </w:r>
                            </w:p>
                            <w:sdt>
                              <w:sdtPr>
                                <w:alias w:val="57 str. 7 d. 1 p."/>
                                <w:tag w:val="part_8da9567e44c449358a64847de8b7dd71"/>
                                <w:lock w:val="sdtLocked"/>
                                <w:richText/>
                              </w:sdtPr>
                              <w:sdtContent>
                                <w:p w14:paraId="6CB7526C" w14:textId="37A0C594">
                                  <w:pPr>
                                    <w:tabs>
                                      <w:tab w:val="left" w:pos="0"/>
                                    </w:tabs>
                                    <w:ind w:firstLine="900"/>
                                    <w:jc w:val="both"/>
                                    <w:rPr>
                                      <w:b/>
                                      <w:bCs/>
                                      <w:szCs w:val="24"/>
                                      <w:lang w:eastAsia="lt-LT"/>
                                    </w:rPr>
                                  </w:pPr>
                                  <w:sdt>
                                    <w:sdtPr>
                                      <w:alias w:val="Numeris"/>
                                      <w:tag w:val="nr_8da9567e44c449358a64847de8b7dd71"/>
                                      <w:lock w:val="sdtLocked"/>
                                      <w:richText/>
                                    </w:sdtPr>
                                    <w:sdtContent>
                                      <w:r>
                                        <w:rPr>
                                          <w:b/>
                                          <w:bCs/>
                                          <w:szCs w:val="24"/>
                                          <w:lang w:eastAsia="lt-LT"/>
                                        </w:rPr>
                                        <w:t>1</w:t>
                                      </w:r>
                                    </w:sdtContent>
                                  </w:sdt>
                                  <w:r>
                                    <w:rPr>
                                      <w:b/>
                                      <w:bCs/>
                                      <w:szCs w:val="24"/>
                                      <w:lang w:eastAsia="lt-LT"/>
                                    </w:rPr>
                                    <w:t>)</w:t>
                                    <w:tab/>
                                    <w:t>nėra kitų tos pačios farmakoterapinės grupės kompensuojamųjų vaistinių preparatų, kurie užtikrintų tą patį klinikinį poveikį gydant ligą;</w:t>
                                  </w:r>
                                </w:p>
                              </w:sdtContent>
                            </w:sdt>
                            <w:sdt>
                              <w:sdtPr>
                                <w:alias w:val="57 str. 7 d. 2 p."/>
                                <w:tag w:val="part_92d2cdacf7aa4b6fb62346bd2505ef92"/>
                                <w:lock w:val="sdtLocked"/>
                                <w:richText/>
                              </w:sdtPr>
                              <w:sdtContent>
                                <w:p w14:paraId="4D31AB55" w14:textId="67F8E0FB">
                                  <w:pPr>
                                    <w:tabs>
                                      <w:tab w:val="left" w:pos="0"/>
                                    </w:tabs>
                                    <w:ind w:firstLine="900"/>
                                    <w:jc w:val="both"/>
                                    <w:rPr>
                                      <w:b/>
                                      <w:bCs/>
                                      <w:szCs w:val="24"/>
                                      <w:lang w:eastAsia="lt-LT"/>
                                    </w:rPr>
                                  </w:pPr>
                                  <w:sdt>
                                    <w:sdtPr>
                                      <w:alias w:val="Numeris"/>
                                      <w:tag w:val="nr_92d2cdacf7aa4b6fb62346bd2505ef92"/>
                                      <w:lock w:val="sdtLocked"/>
                                      <w:richText/>
                                    </w:sdtPr>
                                    <w:sdtContent>
                                      <w:r>
                                        <w:rPr>
                                          <w:b/>
                                          <w:bCs/>
                                          <w:szCs w:val="24"/>
                                          <w:lang w:eastAsia="lt-LT"/>
                                        </w:rPr>
                                        <w:t>2</w:t>
                                      </w:r>
                                    </w:sdtContent>
                                  </w:sdt>
                                  <w:r>
                                    <w:rPr>
                                      <w:b/>
                                      <w:bCs/>
                                      <w:szCs w:val="24"/>
                                      <w:lang w:eastAsia="lt-LT"/>
                                    </w:rPr>
                                    <w:t>)</w:t>
                                    <w:tab/>
                                    <w:t>vaistinio preparato charakteristikų santraukoje ir konkrečios ligos gydymo tvarkos apraše, jei į tokį aprašą vaistinis preparatas yra įtrauktas, šis vaistinis preparatas nurodytas kaip pirmos eilės gydymo pasirinkimas ir negali būti pakeistas kitu kompensuojamuoju vaistiniu preparatu;</w:t>
                                  </w:r>
                                </w:p>
                              </w:sdtContent>
                            </w:sdt>
                            <w:sdt>
                              <w:sdtPr>
                                <w:alias w:val="57 str. 7 d. 3 p."/>
                                <w:tag w:val="part_dbd63dcb28f14a32b74b13e5b2dee2a9"/>
                                <w:lock w:val="sdtLocked"/>
                                <w:richText/>
                              </w:sdtPr>
                              <w:sdtContent>
                                <w:p w14:paraId="2D35F3D5" w14:textId="39DFFE21">
                                  <w:pPr>
                                    <w:tabs>
                                      <w:tab w:val="left" w:pos="0"/>
                                    </w:tabs>
                                    <w:ind w:left="1260" w:hanging="360"/>
                                    <w:jc w:val="both"/>
                                    <w:rPr>
                                      <w:b/>
                                      <w:bCs/>
                                      <w:szCs w:val="24"/>
                                      <w:lang w:eastAsia="lt-LT"/>
                                    </w:rPr>
                                  </w:pPr>
                                  <w:sdt>
                                    <w:sdtPr>
                                      <w:alias w:val="Numeris"/>
                                      <w:tag w:val="nr_dbd63dcb28f14a32b74b13e5b2dee2a9"/>
                                      <w:lock w:val="sdtLocked"/>
                                      <w:richText/>
                                    </w:sdtPr>
                                    <w:sdtContent>
                                      <w:r>
                                        <w:rPr>
                                          <w:b/>
                                          <w:bCs/>
                                          <w:szCs w:val="24"/>
                                          <w:lang w:eastAsia="lt-LT"/>
                                        </w:rPr>
                                        <w:t>3</w:t>
                                      </w:r>
                                    </w:sdtContent>
                                  </w:sdt>
                                  <w:r>
                                    <w:rPr>
                                      <w:b/>
                                      <w:bCs/>
                                      <w:szCs w:val="24"/>
                                      <w:lang w:eastAsia="lt-LT"/>
                                    </w:rPr>
                                    <w:t>)</w:t>
                                    <w:tab/>
                                    <w:t>vaistinis preparatas yra mažo terapinio indekso vaistinis preparatas;</w:t>
                                  </w:r>
                                </w:p>
                              </w:sdtContent>
                            </w:sdt>
                            <w:sdt>
                              <w:sdtPr>
                                <w:alias w:val="57 str. 7 d. 4 p."/>
                                <w:tag w:val="part_61169c033d404658b529036394763b9f"/>
                                <w:lock w:val="sdtLocked"/>
                                <w:richText/>
                              </w:sdtPr>
                              <w:sdtContent>
                                <w:p w14:paraId="171DBEDA" w14:textId="370A23E2">
                                  <w:pPr>
                                    <w:tabs>
                                      <w:tab w:val="left" w:pos="0"/>
                                    </w:tabs>
                                    <w:ind w:firstLine="900"/>
                                    <w:jc w:val="both"/>
                                    <w:rPr>
                                      <w:b/>
                                      <w:bCs/>
                                      <w:szCs w:val="24"/>
                                      <w:lang w:eastAsia="lt-LT"/>
                                    </w:rPr>
                                  </w:pPr>
                                  <w:sdt>
                                    <w:sdtPr>
                                      <w:alias w:val="Numeris"/>
                                      <w:tag w:val="nr_61169c033d404658b529036394763b9f"/>
                                      <w:lock w:val="sdtLocked"/>
                                      <w:richText/>
                                    </w:sdtPr>
                                    <w:sdtContent>
                                      <w:r>
                                        <w:rPr>
                                          <w:b/>
                                          <w:bCs/>
                                          <w:szCs w:val="24"/>
                                          <w:lang w:eastAsia="lt-LT"/>
                                        </w:rPr>
                                        <w:t>4</w:t>
                                      </w:r>
                                    </w:sdtContent>
                                  </w:sdt>
                                  <w:r>
                                    <w:rPr>
                                      <w:b/>
                                      <w:bCs/>
                                      <w:szCs w:val="24"/>
                                      <w:lang w:eastAsia="lt-LT"/>
                                    </w:rPr>
                                    <w:t>)</w:t>
                                    <w:tab/>
                                    <w:t>vaistinio preparato dozuotė ir farmacinė forma skiriama vaikams arba vaistinio preparato farmacinė forma – rijimo sutrikimus turintiems asmenims ir Kompensuojamųjų vaistinių preparatų kainyne nėra kitų vaikams tinkamų vaistinio preparato dozuotės ir farmacinės formos arba rijimo sutrikimus turintiems asmenims tinkamos farmacinės formos vaistinių preparatų.</w:t>
                                  </w:r>
                                </w:p>
                              </w:sdtContent>
                            </w:sdt>
                          </w:sdtContent>
                        </w:sdt>
                        <w:sdt>
                          <w:sdtPr>
                            <w:alias w:val="57 str. 8 d."/>
                            <w:tag w:val="part_a09f1274ccb846b0bda38ef1e40fe3f4"/>
                            <w:lock w:val="sdtLocked"/>
                            <w:richText/>
                          </w:sdtPr>
                          <w:sdtContent>
                            <w:p w14:paraId="4FBED9D5" w14:textId="6EE60837">
                              <w:pPr>
                                <w:tabs>
                                  <w:tab w:val="left" w:pos="0"/>
                                </w:tabs>
                                <w:ind w:firstLine="900"/>
                                <w:jc w:val="both"/>
                                <w:rPr>
                                  <w:b/>
                                  <w:bCs/>
                                  <w:szCs w:val="24"/>
                                  <w:lang w:eastAsia="lt-LT"/>
                                </w:rPr>
                              </w:pPr>
                              <w:sdt>
                                <w:sdtPr>
                                  <w:alias w:val="Numeris"/>
                                  <w:tag w:val="nr_a09f1274ccb846b0bda38ef1e40fe3f4"/>
                                  <w:lock w:val="sdtLocked"/>
                                  <w:richText/>
                                </w:sdtPr>
                                <w:sdtContent>
                                  <w:r>
                                    <w:rPr>
                                      <w:b/>
                                      <w:bCs/>
                                      <w:szCs w:val="24"/>
                                      <w:lang w:eastAsia="lt-LT"/>
                                    </w:rPr>
                                    <w:t>8</w:t>
                                  </w:r>
                                </w:sdtContent>
                              </w:sdt>
                              <w:r>
                                <w:rPr>
                                  <w:b/>
                                  <w:bCs/>
                                  <w:szCs w:val="24"/>
                                  <w:lang w:eastAsia="lt-LT"/>
                                </w:rPr>
                                <w:t>. Į Kompensuojamųjų vaistinių preparatų kainyną ar jo pakeitimus įrašomi vaistiniai preparatai, kurių priemokos atitinka vieną iš šių kriterijų:</w:t>
                              </w:r>
                            </w:p>
                            <w:sdt>
                              <w:sdtPr>
                                <w:alias w:val="57 str. 8 d. 1 p."/>
                                <w:tag w:val="part_bb2f15e6e8c54b3b8088f73dfdecec3b"/>
                                <w:lock w:val="sdtLocked"/>
                                <w:richText/>
                              </w:sdtPr>
                              <w:sdtContent>
                                <w:p w14:paraId="1FFD5022" w14:textId="36CB6A70">
                                  <w:pPr>
                                    <w:tabs>
                                      <w:tab w:val="left" w:pos="0"/>
                                    </w:tabs>
                                    <w:ind w:firstLine="851"/>
                                    <w:jc w:val="both"/>
                                    <w:rPr>
                                      <w:b/>
                                      <w:bCs/>
                                      <w:szCs w:val="24"/>
                                      <w:lang w:eastAsia="lt-LT"/>
                                    </w:rPr>
                                  </w:pPr>
                                  <w:sdt>
                                    <w:sdtPr>
                                      <w:alias w:val="Numeris"/>
                                      <w:tag w:val="nr_bb2f15e6e8c54b3b8088f73dfdecec3b"/>
                                      <w:lock w:val="sdtLocked"/>
                                      <w:richText/>
                                    </w:sdtPr>
                                    <w:sdtContent>
                                      <w:r>
                                        <w:rPr>
                                          <w:b/>
                                          <w:bCs/>
                                          <w:szCs w:val="24"/>
                                          <w:lang w:eastAsia="lt-LT"/>
                                        </w:rPr>
                                        <w:t>1</w:t>
                                      </w:r>
                                    </w:sdtContent>
                                  </w:sdt>
                                  <w:r>
                                    <w:rPr>
                                      <w:b/>
                                      <w:bCs/>
                                      <w:szCs w:val="24"/>
                                      <w:lang w:eastAsia="lt-LT"/>
                                    </w:rPr>
                                    <w:t>)</w:t>
                                    <w:tab/>
                                    <w:t xml:space="preserve">paciento priemoka neviršija 20 proc. vaistinio preparato bazinės kainos ir </w:t>
                                  </w:r>
                                  <w:r>
                                    <w:rPr>
                                      <w:b/>
                                      <w:bCs/>
                                      <w:color w:val="000000"/>
                                      <w:szCs w:val="24"/>
                                      <w:lang w:eastAsia="lt-LT"/>
                                    </w:rPr>
                                    <w:t>praėjusių metų 20 proc. vidutinės kompensuojamųjų vaistų recepto kainos</w:t>
                                  </w:r>
                                  <w:r>
                                    <w:rPr>
                                      <w:b/>
                                      <w:bCs/>
                                      <w:szCs w:val="24"/>
                                      <w:lang w:eastAsia="lt-LT"/>
                                    </w:rPr>
                                    <w:t xml:space="preserve"> ir yra ne didesnė nei 4,71 Eur už vaistinio preparato pakuotę;</w:t>
                                  </w:r>
                                </w:p>
                              </w:sdtContent>
                            </w:sdt>
                            <w:sdt>
                              <w:sdtPr>
                                <w:alias w:val="57 str. 8 d. 2 p."/>
                                <w:tag w:val="part_5d1b85eefaa94a7b94710eb57e6496c2"/>
                                <w:lock w:val="sdtLocked"/>
                                <w:richText/>
                              </w:sdtPr>
                              <w:sdtContent>
                                <w:p w14:paraId="0766214F" w14:textId="1A487A94">
                                  <w:pPr>
                                    <w:ind w:firstLine="851"/>
                                    <w:jc w:val="both"/>
                                    <w:rPr>
                                      <w:b/>
                                      <w:bCs/>
                                      <w:szCs w:val="24"/>
                                      <w:lang w:eastAsia="en-GB"/>
                                    </w:rPr>
                                  </w:pPr>
                                  <w:sdt>
                                    <w:sdtPr>
                                      <w:alias w:val="Numeris"/>
                                      <w:tag w:val="nr_5d1b85eefaa94a7b94710eb57e6496c2"/>
                                      <w:lock w:val="sdtLocked"/>
                                      <w:richText/>
                                    </w:sdtPr>
                                    <w:sdtContent>
                                      <w:r>
                                        <w:rPr>
                                          <w:b/>
                                          <w:bCs/>
                                          <w:szCs w:val="24"/>
                                          <w:lang w:eastAsia="en-GB"/>
                                        </w:rPr>
                                        <w:t>2</w:t>
                                      </w:r>
                                    </w:sdtContent>
                                  </w:sdt>
                                  <w:r>
                                    <w:rPr>
                                      <w:b/>
                                      <w:bCs/>
                                      <w:szCs w:val="24"/>
                                      <w:lang w:eastAsia="en-GB"/>
                                    </w:rPr>
                                    <w:t>)</w:t>
                                    <w:tab/>
                                  </w:r>
                                  <w:r>
                                    <w:rPr>
                                      <w:b/>
                                      <w:bCs/>
                                      <w:szCs w:val="24"/>
                                      <w:lang w:eastAsia="lt-LT"/>
                                    </w:rPr>
                                    <w:t xml:space="preserve">paciento priemoka už vieno tiekėjo sudėtinį vaistinį preparatą neviršija </w:t>
                                  </w:r>
                                  <w:r>
                                    <w:rPr>
                                      <w:b/>
                                      <w:bCs/>
                                      <w:color w:val="000000"/>
                                      <w:szCs w:val="24"/>
                                      <w:lang w:eastAsia="lt-LT"/>
                                    </w:rPr>
                                    <w:t xml:space="preserve">20 proc. praėjusių metų vidutinių recepto kompensuojamųjų kainų sumos, </w:t>
                                  </w:r>
                                  <w:r>
                                    <w:rPr>
                                      <w:b/>
                                      <w:bCs/>
                                      <w:szCs w:val="24"/>
                                      <w:lang w:eastAsia="lt-LT"/>
                                    </w:rPr>
                                    <w:t>ir yra ne didesnė nei 4,71 Eur už vaistinio preparato pakuotę</w:t>
                                  </w:r>
                                  <w:r>
                                    <w:rPr>
                                      <w:b/>
                                      <w:bCs/>
                                      <w:color w:val="000000"/>
                                      <w:szCs w:val="24"/>
                                      <w:lang w:eastAsia="lt-LT"/>
                                    </w:rPr>
                                    <w:t xml:space="preserve">,  už dviejų ir daugiau tiekėjų </w:t>
                                  </w:r>
                                  <w:r>
                                    <w:rPr>
                                      <w:b/>
                                      <w:bCs/>
                                      <w:szCs w:val="24"/>
                                      <w:lang w:eastAsia="lt-LT"/>
                                    </w:rPr>
                                    <w:t>sudėtinį vaistinį preparatą</w:t>
                                  </w:r>
                                  <w:r>
                                    <w:rPr>
                                      <w:b/>
                                      <w:bCs/>
                                      <w:color w:val="000000"/>
                                      <w:szCs w:val="24"/>
                                      <w:lang w:eastAsia="lt-LT"/>
                                    </w:rPr>
                                    <w:t xml:space="preserve"> – neviršija jo sudedamųjų dalių didžiausių priemokų sumos;</w:t>
                                  </w:r>
                                </w:p>
                              </w:sdtContent>
                            </w:sdt>
                            <w:sdt>
                              <w:sdtPr>
                                <w:alias w:val="57 str. 8 d. 3 p."/>
                                <w:tag w:val="part_4259b0096d0f46dba4fcc3810d4d222b"/>
                                <w:lock w:val="sdtLocked"/>
                                <w:richText/>
                              </w:sdtPr>
                              <w:sdtContent>
                                <w:p w14:paraId="2E9C6063" w14:textId="324950A3">
                                  <w:pPr>
                                    <w:ind w:firstLine="851"/>
                                    <w:jc w:val="both"/>
                                    <w:rPr>
                                      <w:b/>
                                      <w:bCs/>
                                      <w:szCs w:val="24"/>
                                      <w:lang w:eastAsia="en-GB"/>
                                    </w:rPr>
                                  </w:pPr>
                                  <w:sdt>
                                    <w:sdtPr>
                                      <w:alias w:val="Numeris"/>
                                      <w:tag w:val="nr_4259b0096d0f46dba4fcc3810d4d222b"/>
                                      <w:lock w:val="sdtLocked"/>
                                      <w:richText/>
                                    </w:sdtPr>
                                    <w:sdtContent>
                                      <w:r>
                                        <w:rPr>
                                          <w:b/>
                                          <w:bCs/>
                                          <w:szCs w:val="24"/>
                                          <w:lang w:eastAsia="en-GB"/>
                                        </w:rPr>
                                        <w:t>3</w:t>
                                      </w:r>
                                    </w:sdtContent>
                                  </w:sdt>
                                  <w:r>
                                    <w:rPr>
                                      <w:b/>
                                      <w:bCs/>
                                      <w:szCs w:val="24"/>
                                      <w:lang w:eastAsia="en-GB"/>
                                    </w:rPr>
                                    <w:t>)</w:t>
                                    <w:tab/>
                                  </w:r>
                                  <w:r>
                                    <w:rPr>
                                      <w:b/>
                                      <w:bCs/>
                                      <w:szCs w:val="24"/>
                                      <w:lang w:eastAsia="lt-LT"/>
                                    </w:rPr>
                                    <w:t xml:space="preserve">apskaičiuota paciento priemoka neatitinka šios dalies </w:t>
                                  </w:r>
                                  <w:r>
                                    <w:rPr>
                                      <w:b/>
                                      <w:bCs/>
                                      <w:szCs w:val="24"/>
                                      <w:lang w:val="en-US" w:eastAsia="lt-LT"/>
                                    </w:rPr>
                                    <w:t>1 ar 2</w:t>
                                  </w:r>
                                  <w:r>
                                    <w:rPr>
                                      <w:b/>
                                      <w:bCs/>
                                      <w:szCs w:val="24"/>
                                      <w:lang w:eastAsia="lt-LT"/>
                                    </w:rPr>
                                    <w:t xml:space="preserve"> punkte nustatytų kriterijų, tačiau</w:t>
                                  </w:r>
                                  <w:r>
                                    <w:rPr>
                                      <w:szCs w:val="24"/>
                                      <w:lang w:eastAsia="lt-LT"/>
                                    </w:rPr>
                                    <w:t xml:space="preserve"> </w:t>
                                  </w:r>
                                  <w:r>
                                    <w:rPr>
                                      <w:b/>
                                      <w:bCs/>
                                      <w:szCs w:val="24"/>
                                      <w:lang w:eastAsia="lt-LT"/>
                                    </w:rPr>
                                    <w:t>atitinka vieną iš šių sąlygų:</w:t>
                                  </w:r>
                                </w:p>
                                <w:sdt>
                                  <w:sdtPr>
                                    <w:alias w:val="57 str. 8 d. 3 p. a pp."/>
                                    <w:tag w:val="part_f1493c40fb29484780e1feb1ef352c51"/>
                                    <w:lock w:val="sdtLocked"/>
                                    <w:richText/>
                                  </w:sdtPr>
                                  <w:sdtContent>
                                    <w:p w14:paraId="36A703F1" w14:textId="75D61FFB">
                                      <w:pPr>
                                        <w:ind w:firstLine="851"/>
                                        <w:jc w:val="both"/>
                                        <w:rPr>
                                          <w:b/>
                                          <w:bCs/>
                                          <w:szCs w:val="24"/>
                                          <w:lang w:eastAsia="lt-LT"/>
                                        </w:rPr>
                                      </w:pPr>
                                      <w:sdt>
                                        <w:sdtPr>
                                          <w:alias w:val="Numeris"/>
                                          <w:tag w:val="nr_f1493c40fb29484780e1feb1ef352c51"/>
                                          <w:lock w:val="sdtLocked"/>
                                          <w:richText/>
                                        </w:sdtPr>
                                        <w:sdtContent>
                                          <w:r>
                                            <w:rPr>
                                              <w:b/>
                                              <w:bCs/>
                                              <w:szCs w:val="24"/>
                                              <w:lang w:eastAsia="lt-LT"/>
                                            </w:rPr>
                                            <w:t>a</w:t>
                                          </w:r>
                                        </w:sdtContent>
                                      </w:sdt>
                                      <w:r>
                                        <w:rPr>
                                          <w:b/>
                                          <w:bCs/>
                                          <w:szCs w:val="24"/>
                                          <w:lang w:eastAsia="lt-LT"/>
                                        </w:rPr>
                                        <w:t>)</w:t>
                                        <w:tab/>
                                        <w:t xml:space="preserve">vaistinis preparatas atitinka vieną iš šio straipsnio 7 dalyje nustatytų nepakeičiamumo kriterijų; </w:t>
                                      </w:r>
                                    </w:p>
                                  </w:sdtContent>
                                </w:sdt>
                                <w:sdt>
                                  <w:sdtPr>
                                    <w:alias w:val="57 str. 8 d. 3 p. b pp."/>
                                    <w:tag w:val="part_80403b2294c240d0b1b13f9746e24e43"/>
                                    <w:lock w:val="sdtLocked"/>
                                    <w:richText/>
                                  </w:sdtPr>
                                  <w:sdtContent>
                                    <w:p w14:paraId="40CAD2F8" w14:textId="5F1B8539">
                                      <w:pPr>
                                        <w:ind w:firstLine="840"/>
                                        <w:jc w:val="both"/>
                                        <w:rPr>
                                          <w:b/>
                                          <w:bCs/>
                                          <w:szCs w:val="24"/>
                                          <w:lang w:eastAsia="en-GB"/>
                                        </w:rPr>
                                      </w:pPr>
                                      <w:sdt>
                                        <w:sdtPr>
                                          <w:alias w:val="Numeris"/>
                                          <w:tag w:val="nr_80403b2294c240d0b1b13f9746e24e43"/>
                                          <w:lock w:val="sdtLocked"/>
                                          <w:richText/>
                                        </w:sdtPr>
                                        <w:sdtContent>
                                          <w:r>
                                            <w:rPr>
                                              <w:b/>
                                              <w:bCs/>
                                              <w:szCs w:val="24"/>
                                              <w:lang w:eastAsia="en-GB"/>
                                            </w:rPr>
                                            <w:t>b</w:t>
                                          </w:r>
                                        </w:sdtContent>
                                      </w:sdt>
                                      <w:r>
                                        <w:rPr>
                                          <w:b/>
                                          <w:bCs/>
                                          <w:szCs w:val="24"/>
                                          <w:lang w:eastAsia="en-GB"/>
                                        </w:rPr>
                                        <w:t>)</w:t>
                                        <w:tab/>
                                        <w:t>sveikatos apsaugos ministro nustatyta tvarka tiekėjas nusprendė taikyti Lietuvai taikomai vaistinio preparato kainai tokio dydžio nuolaidą, kurią pritaikius apskaičiuota paciento priemoka atitiktų šiame straipsnyje nustatytus kriterijus;</w:t>
                                      </w:r>
                                    </w:p>
                                  </w:sdtContent>
                                </w:sdt>
                                <w:sdt>
                                  <w:sdtPr>
                                    <w:alias w:val="57 str. 8 d. 3 p. c pp."/>
                                    <w:tag w:val="part_7dd824889ff7481b974175388dad7101"/>
                                    <w:lock w:val="sdtLocked"/>
                                    <w:richText/>
                                  </w:sdtPr>
                                  <w:sdtContent>
                                    <w:p w14:paraId="5D932950" w14:textId="5CECC0ED">
                                      <w:pPr>
                                        <w:ind w:firstLine="840"/>
                                        <w:jc w:val="both"/>
                                        <w:rPr>
                                          <w:b/>
                                          <w:bCs/>
                                          <w:szCs w:val="24"/>
                                          <w:lang w:eastAsia="en-GB"/>
                                        </w:rPr>
                                      </w:pPr>
                                      <w:sdt>
                                        <w:sdtPr>
                                          <w:alias w:val="Numeris"/>
                                          <w:tag w:val="nr_7dd824889ff7481b974175388dad7101"/>
                                          <w:lock w:val="sdtLocked"/>
                                          <w:richText/>
                                        </w:sdtPr>
                                        <w:sdtContent>
                                          <w:r>
                                            <w:rPr>
                                              <w:b/>
                                              <w:bCs/>
                                              <w:szCs w:val="24"/>
                                              <w:lang w:eastAsia="en-GB"/>
                                            </w:rPr>
                                            <w:t>c</w:t>
                                          </w:r>
                                        </w:sdtContent>
                                      </w:sdt>
                                      <w:r>
                                        <w:rPr>
                                          <w:b/>
                                          <w:bCs/>
                                          <w:szCs w:val="24"/>
                                          <w:lang w:eastAsia="en-GB"/>
                                        </w:rPr>
                                        <w:t>)</w:t>
                                        <w:tab/>
                                      </w:r>
                                      <w:r>
                                        <w:rPr>
                                          <w:b/>
                                          <w:bCs/>
                                          <w:szCs w:val="24"/>
                                          <w:lang w:eastAsia="lt-LT"/>
                                        </w:rPr>
                                        <w:t xml:space="preserve">įvertinus paraiškas, nurodytas šio įstatymo 59 straipsnyje,  nustatoma, kad dviejų ir daugiau tiekėjų vaistinių preparatų grupėje paciento priemoka už nė vieną tam tikro stiprumo vaistinio preparato  pakuotę (jei Lietuvos Respublikoje yra registruotos ir tiekiamos į rinką  skirtingo stiprumo vaistinio preparato pakuotės) neatitinka šios dalies </w:t>
                                      </w:r>
                                      <w:r>
                                        <w:rPr>
                                          <w:b/>
                                          <w:bCs/>
                                          <w:szCs w:val="24"/>
                                          <w:lang w:val="en-US" w:eastAsia="lt-LT"/>
                                        </w:rPr>
                                        <w:t>1 ar 2</w:t>
                                      </w:r>
                                      <w:r>
                                        <w:rPr>
                                          <w:b/>
                                          <w:bCs/>
                                          <w:szCs w:val="24"/>
                                          <w:lang w:eastAsia="lt-LT"/>
                                        </w:rPr>
                                        <w:t xml:space="preserve"> punkte nustatytų kriterijų – šiuo atveju į tokią Kompensuojamųjų vaistinių preparatų kainyno grupę įrašomi  vaistiniai preparatai (kiekvieno vaistinio preparato stiprumo po vieną), kurių paciento priemoka yra didesnė negu nurodyta šios dalies 1 ar 2  punkte, tačiau mažesnė už kitų tos grupės vaistinių preparatų;</w:t>
                                      </w:r>
                                    </w:p>
                                  </w:sdtContent>
                                </w:sdt>
                                <w:sdt>
                                  <w:sdtPr>
                                    <w:alias w:val="57 str. 8 d. 3 p. d pp."/>
                                    <w:tag w:val="part_8fcce28af7a04bf6b60f9b34b50db1ec"/>
                                    <w:lock w:val="sdtLocked"/>
                                    <w:richText/>
                                  </w:sdtPr>
                                  <w:sdtContent>
                                    <w:p w14:paraId="47B757DD" w14:textId="25B7B439">
                                      <w:pPr>
                                        <w:ind w:firstLine="993"/>
                                        <w:jc w:val="both"/>
                                        <w:rPr>
                                          <w:b/>
                                          <w:bCs/>
                                          <w:szCs w:val="24"/>
                                          <w:lang w:eastAsia="lt-LT"/>
                                        </w:rPr>
                                      </w:pPr>
                                      <w:sdt>
                                        <w:sdtPr>
                                          <w:alias w:val="Numeris"/>
                                          <w:tag w:val="nr_8fcce28af7a04bf6b60f9b34b50db1ec"/>
                                          <w:lock w:val="sdtLocked"/>
                                          <w:richText/>
                                        </w:sdtPr>
                                        <w:sdtContent>
                                          <w:r>
                                            <w:rPr>
                                              <w:b/>
                                              <w:bCs/>
                                              <w:szCs w:val="24"/>
                                              <w:lang w:eastAsia="lt-LT"/>
                                            </w:rPr>
                                            <w:t>d</w:t>
                                          </w:r>
                                        </w:sdtContent>
                                      </w:sdt>
                                      <w:r>
                                        <w:rPr>
                                          <w:b/>
                                          <w:bCs/>
                                          <w:szCs w:val="24"/>
                                          <w:lang w:eastAsia="lt-LT"/>
                                        </w:rPr>
                                        <w:t>)</w:t>
                                        <w:tab/>
                                        <w:t xml:space="preserve">vaistinis preparatas priskiriamas vieno tiekėjo  vaistinių preparatų grupei – šiuo atveju jis įrašomas į Kompensuojamųjų vaistinių preparatų kainyną, tačiau negali būti išrašomas kaip kompensuojamasis ir gali būti išduotas (parduotas) vaistinėse tik pagal receptus, išrašytus iki Kompensuojamųjų vaistinių preparatų kainyno, į kurį įrašytas šiame papunktyje nurodytu atveju, įsigaliojimo, bet ne ilgiau kaip 6 mėnesius nuo šio Kompensuojamųjų vaistinių preparatų kainyno įsigaliojimo dienos.</w:t>
                                      </w:r>
                                    </w:p>
                                  </w:sdtContent>
                                </w:sdt>
                              </w:sdtContent>
                            </w:sdt>
                          </w:sdtContent>
                        </w:sdt>
                        <w:sdt>
                          <w:sdtPr>
                            <w:alias w:val="57 str. 9 d."/>
                            <w:tag w:val="part_55a7e78d9b404bc0be9326dfaa1aed23"/>
                            <w:lock w:val="sdtLocked"/>
                            <w:richText/>
                          </w:sdtPr>
                          <w:sdtContent>
                            <w:p w14:paraId="1DB8DDF0" w14:textId="3100D8A7">
                              <w:pPr>
                                <w:ind w:firstLine="900"/>
                                <w:jc w:val="both"/>
                                <w:rPr>
                                  <w:b/>
                                  <w:bCs/>
                                  <w:szCs w:val="24"/>
                                  <w:lang w:eastAsia="en-GB"/>
                                </w:rPr>
                              </w:pPr>
                              <w:sdt>
                                <w:sdtPr>
                                  <w:alias w:val="Numeris"/>
                                  <w:tag w:val="nr_55a7e78d9b404bc0be9326dfaa1aed23"/>
                                  <w:lock w:val="sdtLocked"/>
                                  <w:richText/>
                                </w:sdtPr>
                                <w:sdtContent>
                                  <w:r>
                                    <w:rPr>
                                      <w:b/>
                                      <w:bCs/>
                                      <w:szCs w:val="24"/>
                                      <w:lang w:eastAsia="en-GB"/>
                                    </w:rPr>
                                    <w:t>9</w:t>
                                  </w:r>
                                </w:sdtContent>
                              </w:sdt>
                              <w:r>
                                <w:rPr>
                                  <w:b/>
                                  <w:bCs/>
                                  <w:szCs w:val="24"/>
                                  <w:lang w:eastAsia="en-GB"/>
                                </w:rPr>
                                <w:t xml:space="preserve">. Jeigu į vaistinių preparatų grupę, kurią sudaro vieno tiekėjo vienas ar keli negeneriniai vaistiniai preparatai, įrašomas generinis vaistinis preparatas,  jo Lietuvai taikoma kaina turi būti ne mažiau kaip 30 proc. mažesnė negu pigiausio tos grupės vaistinio preparato faktinė kaina. Jeigu į vaistinių preparatų grupę, kurią sudaro vienas ar keli biologiniai vaistiniai preparatai, įrašomas panašus biologinis vaistinis preparatas, jo Lietuvai taikoma kaina turi būti ne mažiau kaip 15 proc. mažesnė negu pigiausio grupės vaistinio preparato faktinė kaina.</w:t>
                              </w:r>
                            </w:p>
                          </w:sdtContent>
                        </w:sdt>
                        <w:sdt>
                          <w:sdtPr>
                            <w:alias w:val="57 str. 10 d."/>
                            <w:tag w:val="part_cb4cc4bb107747d7a36cd1acd44e8d47"/>
                            <w:lock w:val="sdtLocked"/>
                            <w:richText/>
                          </w:sdtPr>
                          <w:sdtContent>
                            <w:p w14:paraId="4C90B83E" w14:textId="145F59C3">
                              <w:pPr>
                                <w:tabs>
                                  <w:tab w:val="left" w:pos="0"/>
                                </w:tabs>
                                <w:ind w:firstLine="868"/>
                                <w:jc w:val="both"/>
                                <w:rPr>
                                  <w:szCs w:val="24"/>
                                  <w:lang w:eastAsia="lt-LT"/>
                                </w:rPr>
                              </w:pPr>
                              <w:sdt>
                                <w:sdtPr>
                                  <w:alias w:val="Numeris"/>
                                  <w:tag w:val="nr_cb4cc4bb107747d7a36cd1acd44e8d47"/>
                                  <w:lock w:val="sdtLocked"/>
                                  <w:richText/>
                                </w:sdtPr>
                                <w:sdtContent>
                                  <w:r>
                                    <w:rPr>
                                      <w:b/>
                                      <w:bCs/>
                                      <w:szCs w:val="24"/>
                                      <w:lang w:eastAsia="lt-LT"/>
                                    </w:rPr>
                                    <w:t>10</w:t>
                                  </w:r>
                                </w:sdtContent>
                              </w:sdt>
                              <w:r>
                                <w:rPr>
                                  <w:b/>
                                  <w:bCs/>
                                  <w:szCs w:val="24"/>
                                  <w:lang w:eastAsia="lt-LT"/>
                                </w:rPr>
                                <w:t>. Medicinos pagalbos priemonės bazinei kainai nustatyti grupuojamos sveikatos apsaugos ministro nustatyta tvarka.</w:t>
                              </w:r>
                            </w:p>
                          </w:sdtContent>
                        </w:sdt>
                        <w:sdt>
                          <w:sdtPr>
                            <w:alias w:val="57 str. 11 d."/>
                            <w:tag w:val="part_f227434a909c437c8cf5ec24ec13094f"/>
                            <w:lock w:val="sdtLocked"/>
                            <w:richText/>
                          </w:sdtPr>
                          <w:sdtContent>
                            <w:p w14:paraId="43570A03" w14:textId="5A1F0437">
                              <w:pPr>
                                <w:tabs>
                                  <w:tab w:val="left" w:pos="0"/>
                                </w:tabs>
                                <w:ind w:firstLine="851"/>
                                <w:jc w:val="both"/>
                                <w:rPr>
                                  <w:b/>
                                  <w:bCs/>
                                  <w:szCs w:val="24"/>
                                  <w:lang w:eastAsia="lt-LT"/>
                                </w:rPr>
                              </w:pPr>
                              <w:sdt>
                                <w:sdtPr>
                                  <w:alias w:val="Numeris"/>
                                  <w:tag w:val="nr_f227434a909c437c8cf5ec24ec13094f"/>
                                  <w:lock w:val="sdtLocked"/>
                                  <w:richText/>
                                </w:sdtPr>
                                <w:sdtContent>
                                  <w:r>
                                    <w:rPr>
                                      <w:b/>
                                      <w:bCs/>
                                      <w:szCs w:val="24"/>
                                      <w:lang w:eastAsia="lt-LT"/>
                                    </w:rPr>
                                    <w:t>11</w:t>
                                  </w:r>
                                </w:sdtContent>
                              </w:sdt>
                              <w:r>
                                <w:rPr>
                                  <w:b/>
                                  <w:bCs/>
                                  <w:szCs w:val="24"/>
                                  <w:lang w:eastAsia="lt-LT"/>
                                </w:rPr>
                                <w:t>. Nustatant medicinos pagalbos priemonės bazinę kainą vadovaujamasi šiais kriterijais:</w:t>
                              </w:r>
                            </w:p>
                            <w:sdt>
                              <w:sdtPr>
                                <w:alias w:val="57 str. 11 d. 1 p."/>
                                <w:tag w:val="part_46f6f38353e14f9e8bc00e7b4a1fed22"/>
                                <w:lock w:val="sdtLocked"/>
                                <w:richText/>
                              </w:sdtPr>
                              <w:sdtContent>
                                <w:p w14:paraId="15FACFC3" w14:textId="16398D87">
                                  <w:pPr>
                                    <w:tabs>
                                      <w:tab w:val="left" w:pos="0"/>
                                    </w:tabs>
                                    <w:ind w:firstLine="851"/>
                                    <w:jc w:val="both"/>
                                    <w:rPr>
                                      <w:szCs w:val="24"/>
                                      <w:lang w:eastAsia="lt-LT"/>
                                    </w:rPr>
                                  </w:pPr>
                                  <w:sdt>
                                    <w:sdtPr>
                                      <w:alias w:val="Numeris"/>
                                      <w:tag w:val="nr_46f6f38353e14f9e8bc00e7b4a1fed22"/>
                                      <w:lock w:val="sdtLocked"/>
                                      <w:richText/>
                                    </w:sdtPr>
                                    <w:sdtContent>
                                      <w:r>
                                        <w:rPr>
                                          <w:b/>
                                          <w:bCs/>
                                          <w:szCs w:val="24"/>
                                          <w:lang w:eastAsia="lt-LT"/>
                                        </w:rPr>
                                        <w:t>1</w:t>
                                      </w:r>
                                    </w:sdtContent>
                                  </w:sdt>
                                  <w:r>
                                    <w:rPr>
                                      <w:b/>
                                      <w:bCs/>
                                      <w:szCs w:val="24"/>
                                      <w:lang w:eastAsia="lt-LT"/>
                                    </w:rPr>
                                    <w:t xml:space="preserve">)  medicinos pagalbos priemonės bazinė kaina nustatoma pagal tos grupės medicinos pagalbos priemonę, kurios Lietuvai taikoma kaina mažiausia;</w:t>
                                  </w:r>
                                </w:p>
                              </w:sdtContent>
                            </w:sdt>
                            <w:sdt>
                              <w:sdtPr>
                                <w:alias w:val="57 str. 11 d. 2 p."/>
                                <w:tag w:val="part_7adcad97bdb14415992a90b6b5c9a3ce"/>
                                <w:lock w:val="sdtLocked"/>
                                <w:richText/>
                              </w:sdtPr>
                              <w:sdtContent>
                                <w:p w14:paraId="00003265" w14:textId="72F19F5F">
                                  <w:pPr>
                                    <w:tabs>
                                      <w:tab w:val="left" w:pos="0"/>
                                    </w:tabs>
                                    <w:ind w:firstLine="851"/>
                                    <w:jc w:val="both"/>
                                    <w:rPr>
                                      <w:b/>
                                      <w:bCs/>
                                      <w:szCs w:val="24"/>
                                      <w:lang w:eastAsia="lt-LT"/>
                                    </w:rPr>
                                  </w:pPr>
                                  <w:sdt>
                                    <w:sdtPr>
                                      <w:alias w:val="Numeris"/>
                                      <w:tag w:val="nr_7adcad97bdb14415992a90b6b5c9a3ce"/>
                                      <w:lock w:val="sdtLocked"/>
                                      <w:richText/>
                                    </w:sdtPr>
                                    <w:sdtContent>
                                      <w:r>
                                        <w:rPr>
                                          <w:b/>
                                          <w:bCs/>
                                          <w:szCs w:val="24"/>
                                          <w:lang w:eastAsia="lt-LT"/>
                                        </w:rPr>
                                        <w:t>2</w:t>
                                      </w:r>
                                    </w:sdtContent>
                                  </w:sdt>
                                  <w:r>
                                    <w:rPr>
                                      <w:b/>
                                      <w:bCs/>
                                      <w:szCs w:val="24"/>
                                      <w:lang w:eastAsia="lt-LT"/>
                                    </w:rPr>
                                    <w:t xml:space="preserve">) jei rengiant Kompensuojamųjų medicinos pagalbos priemonių kainyną nustatoma, kad apskaičiuota medicinos pagalbos priemonės bazinė kaina yra didesnė nei bazinė kaina, nurodyta galiojančiame Kompensuojamųjų  medicinos pagalbos priemonių kainyne, galiojanti bazinė kaina nekeičiama.</w:t>
                                  </w:r>
                                </w:p>
                              </w:sdtContent>
                            </w:sdt>
                          </w:sdtContent>
                        </w:sdt>
                        <w:sdt>
                          <w:sdtPr>
                            <w:alias w:val="57 str. 12 d."/>
                            <w:tag w:val="part_4041071c9d224befb7393f4b3b665979"/>
                            <w:lock w:val="sdtLocked"/>
                            <w:richText/>
                          </w:sdtPr>
                          <w:sdtContent>
                            <w:p w14:paraId="34551BEA" w14:textId="26CC72FD">
                              <w:pPr>
                                <w:tabs>
                                  <w:tab w:val="left" w:pos="0"/>
                                </w:tabs>
                                <w:ind w:firstLine="709"/>
                                <w:jc w:val="both"/>
                                <w:rPr>
                                  <w:b/>
                                  <w:bCs/>
                                  <w:szCs w:val="24"/>
                                  <w:lang w:eastAsia="lt-LT"/>
                                </w:rPr>
                              </w:pPr>
                              <w:sdt>
                                <w:sdtPr>
                                  <w:alias w:val="Numeris"/>
                                  <w:tag w:val="nr_4041071c9d224befb7393f4b3b665979"/>
                                  <w:lock w:val="sdtLocked"/>
                                  <w:richText/>
                                </w:sdtPr>
                                <w:sdtContent>
                                  <w:r>
                                    <w:rPr>
                                      <w:b/>
                                      <w:bCs/>
                                      <w:szCs w:val="24"/>
                                      <w:lang w:eastAsia="lt-LT"/>
                                    </w:rPr>
                                    <w:t>12</w:t>
                                  </w:r>
                                </w:sdtContent>
                              </w:sdt>
                              <w:r>
                                <w:rPr>
                                  <w:b/>
                                  <w:bCs/>
                                  <w:szCs w:val="24"/>
                                  <w:lang w:eastAsia="lt-LT"/>
                                </w:rPr>
                                <w:t xml:space="preserve">. Į Kompensuojamųjų medicinos pagalbos priemonių kainyną ar jo pakeitimus įrašomos kompensuojamosios medicinos pagalbos priemonės, kurių  priemokos atitinka vieną iš šių kriterijų:</w:t>
                              </w:r>
                            </w:p>
                            <w:sdt>
                              <w:sdtPr>
                                <w:alias w:val="57 str. 12 d. 1 p."/>
                                <w:tag w:val="part_ab23ac34e90d49e9908d8815031cd7a9"/>
                                <w:lock w:val="sdtLocked"/>
                                <w:richText/>
                              </w:sdtPr>
                              <w:sdtContent>
                                <w:p w14:paraId="078422F4" w14:textId="7FB3BC13">
                                  <w:pPr>
                                    <w:tabs>
                                      <w:tab w:val="left" w:pos="0"/>
                                    </w:tabs>
                                    <w:ind w:firstLine="840"/>
                                    <w:jc w:val="both"/>
                                    <w:rPr>
                                      <w:b/>
                                      <w:bCs/>
                                      <w:szCs w:val="24"/>
                                      <w:lang w:eastAsia="lt-LT"/>
                                    </w:rPr>
                                  </w:pPr>
                                  <w:sdt>
                                    <w:sdtPr>
                                      <w:alias w:val="Numeris"/>
                                      <w:tag w:val="nr_ab23ac34e90d49e9908d8815031cd7a9"/>
                                      <w:lock w:val="sdtLocked"/>
                                      <w:richText/>
                                    </w:sdtPr>
                                    <w:sdtContent>
                                      <w:r>
                                        <w:rPr>
                                          <w:b/>
                                          <w:bCs/>
                                          <w:szCs w:val="24"/>
                                          <w:lang w:eastAsia="lt-LT"/>
                                        </w:rPr>
                                        <w:t>1</w:t>
                                      </w:r>
                                    </w:sdtContent>
                                  </w:sdt>
                                  <w:r>
                                    <w:rPr>
                                      <w:b/>
                                      <w:bCs/>
                                      <w:szCs w:val="24"/>
                                      <w:lang w:eastAsia="lt-LT"/>
                                    </w:rPr>
                                    <w:t>)</w:t>
                                    <w:tab/>
                                    <w:t>paciento priemoka neviršija 50 proc. medicinos pagalbos priemonės bazinės kainos ir praėjusių metų 50 proc. vidutinės kompensuojamųjų medicinos pagalbos priemonių recepto kainos ir yra ne didesnė nei 20,33 Eur už medicinos pagalbos priemonės pakuotę;</w:t>
                                  </w:r>
                                </w:p>
                              </w:sdtContent>
                            </w:sdt>
                            <w:sdt>
                              <w:sdtPr>
                                <w:alias w:val="57 str. 12 d. 2 p."/>
                                <w:tag w:val="part_d5d579a2df724d848619449ccbe14527"/>
                                <w:lock w:val="sdtLocked"/>
                                <w:richText/>
                              </w:sdtPr>
                              <w:sdtContent>
                                <w:p w14:paraId="5240938F" w14:textId="4C511B1C">
                                  <w:pPr>
                                    <w:tabs>
                                      <w:tab w:val="left" w:pos="0"/>
                                    </w:tabs>
                                    <w:ind w:firstLine="840"/>
                                    <w:jc w:val="both"/>
                                    <w:rPr>
                                      <w:b/>
                                      <w:bCs/>
                                      <w:szCs w:val="24"/>
                                      <w:lang w:eastAsia="lt-LT"/>
                                    </w:rPr>
                                  </w:pPr>
                                  <w:sdt>
                                    <w:sdtPr>
                                      <w:alias w:val="Numeris"/>
                                      <w:tag w:val="nr_d5d579a2df724d848619449ccbe14527"/>
                                      <w:lock w:val="sdtLocked"/>
                                      <w:richText/>
                                    </w:sdtPr>
                                    <w:sdtContent>
                                      <w:r>
                                        <w:rPr>
                                          <w:b/>
                                          <w:bCs/>
                                          <w:szCs w:val="24"/>
                                          <w:lang w:eastAsia="lt-LT"/>
                                        </w:rPr>
                                        <w:t>2</w:t>
                                      </w:r>
                                    </w:sdtContent>
                                  </w:sdt>
                                  <w:r>
                                    <w:rPr>
                                      <w:b/>
                                      <w:bCs/>
                                      <w:szCs w:val="24"/>
                                      <w:lang w:eastAsia="lt-LT"/>
                                    </w:rPr>
                                    <w:t>)</w:t>
                                    <w:tab/>
                                    <w:t xml:space="preserve">apskaičiuota paciento priemoka neatitinka šios dalies </w:t>
                                  </w:r>
                                  <w:r>
                                    <w:rPr>
                                      <w:b/>
                                      <w:bCs/>
                                      <w:szCs w:val="24"/>
                                      <w:lang w:val="en-US" w:eastAsia="lt-LT"/>
                                    </w:rPr>
                                    <w:t>1</w:t>
                                  </w:r>
                                  <w:r>
                                    <w:rPr>
                                      <w:b/>
                                      <w:bCs/>
                                      <w:szCs w:val="24"/>
                                      <w:lang w:eastAsia="lt-LT"/>
                                    </w:rPr>
                                    <w:t xml:space="preserve"> punkte nustatyto kriterijaus, tačiau atitinka vieną iš šių sąlygų:</w:t>
                                  </w:r>
                                </w:p>
                                <w:sdt>
                                  <w:sdtPr>
                                    <w:alias w:val="57 str. 12 d. 2 p. a pp."/>
                                    <w:tag w:val="part_0e26bc44dd3f4622884d4f23b2a13b8f"/>
                                    <w:lock w:val="sdtLocked"/>
                                    <w:richText/>
                                  </w:sdtPr>
                                  <w:sdtContent>
                                    <w:p w14:paraId="1D70B10C" w14:textId="39390F13">
                                      <w:pPr>
                                        <w:tabs>
                                          <w:tab w:val="left" w:pos="0"/>
                                        </w:tabs>
                                        <w:ind w:firstLine="900"/>
                                        <w:jc w:val="both"/>
                                        <w:rPr>
                                          <w:b/>
                                          <w:bCs/>
                                          <w:szCs w:val="24"/>
                                          <w:lang w:eastAsia="lt-LT"/>
                                        </w:rPr>
                                      </w:pPr>
                                      <w:sdt>
                                        <w:sdtPr>
                                          <w:alias w:val="Numeris"/>
                                          <w:tag w:val="nr_0e26bc44dd3f4622884d4f23b2a13b8f"/>
                                          <w:lock w:val="sdtLocked"/>
                                          <w:richText/>
                                        </w:sdtPr>
                                        <w:sdtContent>
                                          <w:r>
                                            <w:rPr>
                                              <w:b/>
                                              <w:bCs/>
                                              <w:szCs w:val="24"/>
                                              <w:lang w:eastAsia="lt-LT"/>
                                            </w:rPr>
                                            <w:t>a</w:t>
                                          </w:r>
                                        </w:sdtContent>
                                      </w:sdt>
                                      <w:r>
                                        <w:rPr>
                                          <w:b/>
                                          <w:bCs/>
                                          <w:szCs w:val="24"/>
                                          <w:lang w:eastAsia="lt-LT"/>
                                        </w:rPr>
                                        <w:t>)</w:t>
                                        <w:tab/>
                                      </w:r>
                                      <w:r>
                                        <w:rPr>
                                          <w:b/>
                                          <w:bCs/>
                                          <w:szCs w:val="24"/>
                                          <w:lang w:eastAsia="en-GB"/>
                                        </w:rPr>
                                        <w:t xml:space="preserve">sveikatos apsaugos ministro nustatyta tvarka </w:t>
                                      </w:r>
                                      <w:r>
                                        <w:rPr>
                                          <w:b/>
                                          <w:bCs/>
                                          <w:color w:val="242424"/>
                                          <w:szCs w:val="24"/>
                                          <w:lang w:eastAsia="lt-LT"/>
                                        </w:rPr>
                                        <w:t xml:space="preserve">tiekėjas nusprendė taikyti Lietuvai taikomai medicinos pagalbos priemonės kainai tokio dydžio nuolaidą, kurią pritaikius apskaičiuota paciento priemoka atitiktų </w:t>
                                      </w:r>
                                      <w:r>
                                        <w:rPr>
                                          <w:b/>
                                          <w:bCs/>
                                          <w:szCs w:val="24"/>
                                          <w:lang w:eastAsia="lt-LT"/>
                                        </w:rPr>
                                        <w:t xml:space="preserve">šios dalies </w:t>
                                      </w:r>
                                      <w:r>
                                        <w:rPr>
                                          <w:b/>
                                          <w:bCs/>
                                          <w:szCs w:val="24"/>
                                          <w:lang w:val="en-US" w:eastAsia="lt-LT"/>
                                        </w:rPr>
                                        <w:t>1</w:t>
                                      </w:r>
                                      <w:r>
                                        <w:rPr>
                                          <w:b/>
                                          <w:bCs/>
                                          <w:szCs w:val="24"/>
                                          <w:lang w:eastAsia="lt-LT"/>
                                        </w:rPr>
                                        <w:t xml:space="preserve"> punkte </w:t>
                                      </w:r>
                                      <w:r>
                                        <w:rPr>
                                          <w:b/>
                                          <w:bCs/>
                                          <w:color w:val="242424"/>
                                          <w:szCs w:val="24"/>
                                          <w:lang w:eastAsia="lt-LT"/>
                                        </w:rPr>
                                        <w:t>nustatytą kriterijų;</w:t>
                                      </w:r>
                                    </w:p>
                                  </w:sdtContent>
                                </w:sdt>
                                <w:sdt>
                                  <w:sdtPr>
                                    <w:alias w:val="57 str. 12 d. 2 p. b pp."/>
                                    <w:tag w:val="part_e6c88c4a4b0844e1ac7d86f5590dec29"/>
                                    <w:lock w:val="sdtLocked"/>
                                    <w:richText/>
                                  </w:sdtPr>
                                  <w:sdtContent>
                                    <w:p w14:paraId="4BEA97EF" w14:textId="49F4E711">
                                      <w:pPr>
                                        <w:ind w:firstLine="900"/>
                                        <w:jc w:val="both"/>
                                        <w:rPr>
                                          <w:b/>
                                          <w:bCs/>
                                          <w:szCs w:val="24"/>
                                          <w:lang w:eastAsia="en-GB"/>
                                        </w:rPr>
                                      </w:pPr>
                                      <w:sdt>
                                        <w:sdtPr>
                                          <w:alias w:val="Numeris"/>
                                          <w:tag w:val="nr_e6c88c4a4b0844e1ac7d86f5590dec29"/>
                                          <w:lock w:val="sdtLocked"/>
                                          <w:richText/>
                                        </w:sdtPr>
                                        <w:sdtContent>
                                          <w:r>
                                            <w:rPr>
                                              <w:b/>
                                              <w:bCs/>
                                              <w:szCs w:val="24"/>
                                              <w:lang w:eastAsia="en-GB"/>
                                            </w:rPr>
                                            <w:t>b</w:t>
                                          </w:r>
                                        </w:sdtContent>
                                      </w:sdt>
                                      <w:r>
                                        <w:rPr>
                                          <w:b/>
                                          <w:bCs/>
                                          <w:szCs w:val="24"/>
                                          <w:lang w:eastAsia="en-GB"/>
                                        </w:rPr>
                                        <w:t>)</w:t>
                                        <w:tab/>
                                      </w:r>
                                      <w:r>
                                        <w:rPr>
                                          <w:b/>
                                          <w:bCs/>
                                          <w:szCs w:val="24"/>
                                          <w:lang w:eastAsia="lt-LT"/>
                                        </w:rPr>
                                        <w:t xml:space="preserve">įvertinus paraiškas, nurodytas šio įstatymo 59 straipsnyje,  nustatoma</w:t>
                                      </w:r>
                                      <w:r>
                                        <w:rPr>
                                          <w:b/>
                                          <w:bCs/>
                                          <w:color w:val="242424"/>
                                          <w:szCs w:val="24"/>
                                          <w:lang w:eastAsia="lt-LT"/>
                                        </w:rPr>
                                        <w:t xml:space="preserve">, kad nė vienos atitinkamos grupės medicinos pagalbos priemonės, kurios funkcinės ar techninės savybės yra tokios pat,   priemoka neatitinka šios dalies 1 punkte nustatyto kriterijaus  </w:t>
                                      </w:r>
                                      <w:r>
                                        <w:rPr>
                                          <w:b/>
                                          <w:bCs/>
                                          <w:szCs w:val="24"/>
                                          <w:lang w:eastAsia="lt-LT"/>
                                        </w:rPr>
                                        <w:t>– šiuo atveju</w:t>
                                      </w:r>
                                      <w:r>
                                        <w:rPr>
                                          <w:b/>
                                          <w:bCs/>
                                          <w:color w:val="242424"/>
                                          <w:szCs w:val="24"/>
                                          <w:lang w:eastAsia="lt-LT"/>
                                        </w:rPr>
                                        <w:t xml:space="preserve"> į tokią Kompensuojamųjų medicinos pagalbos priemonių grupę įtraukiama po vieną tokias pat funkcines ir technines savybes turinčią medicinos pagalbos priemonę, </w:t>
                                      </w:r>
                                      <w:r>
                                        <w:rPr>
                                          <w:b/>
                                          <w:bCs/>
                                          <w:szCs w:val="24"/>
                                          <w:lang w:eastAsia="lt-LT"/>
                                        </w:rPr>
                                        <w:t xml:space="preserve">kurios paciento priemoka yra didesnė negu nurodyta šios dalies 1 punkte, tačiau mažesnė už kitų </w:t>
                                      </w:r>
                                      <w:r>
                                        <w:rPr>
                                          <w:b/>
                                          <w:bCs/>
                                          <w:color w:val="242424"/>
                                          <w:szCs w:val="24"/>
                                          <w:lang w:eastAsia="lt-LT"/>
                                        </w:rPr>
                                        <w:t xml:space="preserve">tokias pat funkcines ir technines </w:t>
                                      </w:r>
                                      <w:r>
                                        <w:rPr>
                                          <w:b/>
                                          <w:bCs/>
                                          <w:szCs w:val="24"/>
                                          <w:lang w:eastAsia="lt-LT"/>
                                        </w:rPr>
                                        <w:t xml:space="preserve">savybes turinčių tos grupės </w:t>
                                      </w:r>
                                      <w:r>
                                        <w:rPr>
                                          <w:b/>
                                          <w:bCs/>
                                          <w:color w:val="242424"/>
                                          <w:szCs w:val="24"/>
                                          <w:lang w:eastAsia="lt-LT"/>
                                        </w:rPr>
                                        <w:t>medicinos pagalbos priemonių</w:t>
                                      </w:r>
                                      <w:r>
                                        <w:rPr>
                                          <w:b/>
                                          <w:bCs/>
                                          <w:szCs w:val="24"/>
                                          <w:lang w:eastAsia="lt-LT"/>
                                        </w:rPr>
                                        <w:t>.</w:t>
                                      </w:r>
                                    </w:p>
                                  </w:sdtContent>
                                </w:sdt>
                              </w:sdtContent>
                            </w:sdt>
                          </w:sdtContent>
                        </w:sdt>
                        <w:sdt>
                          <w:sdtPr>
                            <w:alias w:val="57 str. 13 d."/>
                            <w:tag w:val="part_5dff263a49c94dc2993bd45ca6f801b0"/>
                            <w:lock w:val="sdtLocked"/>
                            <w:richText/>
                          </w:sdtPr>
                          <w:sdtContent>
                            <w:p w14:paraId="678B5BC5" w14:textId="6B8B432D">
                              <w:pPr>
                                <w:ind w:firstLine="930"/>
                                <w:jc w:val="both"/>
                                <w:rPr>
                                  <w:szCs w:val="24"/>
                                  <w:lang w:eastAsia="lt-LT"/>
                                </w:rPr>
                              </w:pPr>
                              <w:sdt>
                                <w:sdtPr>
                                  <w:alias w:val="Numeris"/>
                                  <w:tag w:val="nr_5dff263a49c94dc2993bd45ca6f801b0"/>
                                  <w:lock w:val="sdtLocked"/>
                                  <w:richText/>
                                </w:sdtPr>
                                <w:sdtContent>
                                  <w:r>
                                    <w:rPr>
                                      <w:b/>
                                      <w:bCs/>
                                      <w:szCs w:val="24"/>
                                      <w:lang w:eastAsia="lt-LT"/>
                                    </w:rPr>
                                    <w:t>13</w:t>
                                  </w:r>
                                </w:sdtContent>
                              </w:sdt>
                              <w:r>
                                <w:rPr>
                                  <w:b/>
                                  <w:bCs/>
                                  <w:szCs w:val="24"/>
                                  <w:lang w:eastAsia="lt-LT"/>
                                </w:rPr>
                                <w:t>. Kompensuojamųjų vaistinių preparatų ir kompensuojamųjų medicinos pagalbos priemonių bazinių kainų ir paciento priemokų už juos apskaičiavimo tvarką nustato Vyriausybė, vadovaudamasi šiame straipsnyje nustatytais kriterijais.</w:t>
                              </w:r>
                              <w:r>
                                <w:rPr>
                                  <w:szCs w:val="24"/>
                                  <w:lang w:eastAsia="lt-LT"/>
                                </w:rPr>
                                <w:t>“</w:t>
                              </w:r>
                            </w:p>
                            <w:p w14:paraId="0271E519" w14:textId="77777777">
                              <w:pPr>
                                <w:jc w:val="both"/>
                                <w:rPr>
                                  <w:szCs w:val="24"/>
                                  <w:lang w:eastAsia="lt-LT"/>
                                </w:rPr>
                              </w:pPr>
                            </w:p>
                          </w:sdtContent>
                        </w:sdt>
                      </w:sdtContent>
                    </w:sdt>
                  </w:sdtContent>
                </w:sdt>
              </w:sdtContent>
            </w:sdt>
          </w:sdtContent>
        </w:sdt>
        <w:sdt>
          <w:sdtPr>
            <w:alias w:val="4 str."/>
            <w:tag w:val="part_dcdede41584e4f0886f1bf5092bafae1"/>
            <w:lock w:val="sdtLocked"/>
            <w:richText/>
          </w:sdtPr>
          <w:sdtContent>
            <w:p w14:paraId="0B5B8C08" w14:textId="589D11BA">
              <w:pPr>
                <w:tabs>
                  <w:tab w:val="left" w:pos="0"/>
                </w:tabs>
                <w:ind w:firstLine="851"/>
                <w:rPr>
                  <w:b/>
                  <w:bCs/>
                  <w:szCs w:val="24"/>
                  <w:lang w:eastAsia="lt-LT"/>
                </w:rPr>
              </w:pPr>
              <w:sdt>
                <w:sdtPr>
                  <w:alias w:val="Numeris"/>
                  <w:tag w:val="nr_dcdede41584e4f0886f1bf5092bafae1"/>
                  <w:lock w:val="sdtLocked"/>
                  <w:richText/>
                </w:sdtPr>
                <w:sdtContent>
                  <w:r>
                    <w:rPr>
                      <w:b/>
                      <w:bCs/>
                      <w:szCs w:val="24"/>
                      <w:lang w:eastAsia="lt-LT"/>
                    </w:rPr>
                    <w:t>4</w:t>
                  </w:r>
                </w:sdtContent>
              </w:sdt>
              <w:r>
                <w:rPr>
                  <w:b/>
                  <w:bCs/>
                  <w:szCs w:val="24"/>
                  <w:lang w:eastAsia="lt-LT"/>
                </w:rPr>
                <w:t xml:space="preserve"> straipsnis. </w:t>
              </w:r>
              <w:sdt>
                <w:sdtPr>
                  <w:alias w:val="Pavadinimas"/>
                  <w:tag w:val="title_dcdede41584e4f0886f1bf5092bafae1"/>
                  <w:lock w:val="sdtLocked"/>
                  <w:richText/>
                </w:sdtPr>
                <w:sdtContent>
                  <w:r>
                    <w:rPr>
                      <w:b/>
                      <w:bCs/>
                      <w:szCs w:val="24"/>
                      <w:lang w:eastAsia="lt-LT"/>
                    </w:rPr>
                    <w:t>59 straipsnio pakeitimas</w:t>
                  </w:r>
                </w:sdtContent>
              </w:sdt>
            </w:p>
            <w:sdt>
              <w:sdtPr>
                <w:alias w:val="4 str. 1 d."/>
                <w:tag w:val="part_6e5a2996da0841ca82e4e80ed5a70a99"/>
                <w:lock w:val="sdtLocked"/>
                <w:richText/>
              </w:sdtPr>
              <w:sdtContent>
                <w:p w14:paraId="75F04B1B" w14:textId="2429F8C8">
                  <w:pPr>
                    <w:tabs>
                      <w:tab w:val="left" w:pos="0"/>
                    </w:tabs>
                    <w:ind w:left="851"/>
                    <w:rPr>
                      <w:szCs w:val="24"/>
                      <w:lang w:eastAsia="lt-LT"/>
                    </w:rPr>
                  </w:pPr>
                  <w:r>
                    <w:rPr>
                      <w:szCs w:val="24"/>
                      <w:lang w:eastAsia="lt-LT"/>
                    </w:rPr>
                    <w:t>Pakeisti 59 straipsnio 2 dalį ir ją išdėstyti taip:</w:t>
                  </w:r>
                </w:p>
                <w:sdt>
                  <w:sdtPr>
                    <w:alias w:val="citata"/>
                    <w:tag w:val="part_5f6048609d664fbfb3aea832e524a1e6"/>
                    <w:lock w:val="sdtLocked"/>
                    <w:richText/>
                  </w:sdtPr>
                  <w:sdtContent>
                    <w:sdt>
                      <w:sdtPr>
                        <w:alias w:val="2 d."/>
                        <w:tag w:val="part_03ecdc7f0c7e45be900889a8e949bb37"/>
                        <w:lock w:val="sdtLocked"/>
                        <w:richText/>
                      </w:sdtPr>
                      <w:sdtContent>
                        <w:p w14:paraId="325E6B42" w14:textId="174EB9B4">
                          <w:pPr>
                            <w:ind w:firstLine="906"/>
                            <w:jc w:val="both"/>
                            <w:rPr>
                              <w:szCs w:val="24"/>
                              <w:lang w:eastAsia="lt-LT"/>
                            </w:rPr>
                          </w:pPr>
                          <w:r>
                            <w:rPr>
                              <w:szCs w:val="24"/>
                              <w:lang w:eastAsia="lt-LT"/>
                            </w:rPr>
                            <w:t>„</w:t>
                          </w:r>
                          <w:sdt>
                            <w:sdtPr>
                              <w:alias w:val="Numeris"/>
                              <w:tag w:val="nr_03ecdc7f0c7e45be900889a8e949bb37"/>
                              <w:lock w:val="sdtLocked"/>
                              <w:richText/>
                            </w:sdtPr>
                            <w:sdtContent>
                              <w:r>
                                <w:rPr>
                                  <w:szCs w:val="24"/>
                                  <w:lang w:eastAsia="lt-LT"/>
                                </w:rPr>
                                <w:t>2</w:t>
                              </w:r>
                            </w:sdtContent>
                          </w:sdt>
                          <w:r>
                            <w:rPr>
                              <w:szCs w:val="24"/>
                              <w:lang w:eastAsia="lt-LT"/>
                            </w:rPr>
                            <w:t>. Į šio straipsnio 1 dalyje nurodytus kainynus vaistiniai preparatai ir medicinos pagalbos priemonės įrašomi sveikatos apsaugos ministro nustatyta tvarka, kai yra abi šios sąlygos:</w:t>
                          </w:r>
                        </w:p>
                        <w:sdt>
                          <w:sdtPr>
                            <w:alias w:val="2 d. 1 p."/>
                            <w:tag w:val="part_171baf061d6b40b1a53540bba07aaa45"/>
                            <w:lock w:val="sdtLocked"/>
                            <w:richText/>
                          </w:sdtPr>
                          <w:sdtContent>
                            <w:p w14:paraId="6B458F67" w14:textId="6EDC4BCA">
                              <w:pPr>
                                <w:ind w:firstLine="906"/>
                                <w:jc w:val="both"/>
                                <w:rPr>
                                  <w:szCs w:val="24"/>
                                  <w:lang w:eastAsia="lt-LT"/>
                                </w:rPr>
                              </w:pPr>
                              <w:sdt>
                                <w:sdtPr>
                                  <w:alias w:val="Numeris"/>
                                  <w:tag w:val="nr_171baf061d6b40b1a53540bba07aaa45"/>
                                  <w:lock w:val="sdtLocked"/>
                                  <w:richText/>
                                </w:sdtPr>
                                <w:sdtContent>
                                  <w:r>
                                    <w:rPr>
                                      <w:szCs w:val="24"/>
                                      <w:lang w:eastAsia="lt-LT"/>
                                    </w:rPr>
                                    <w:t>1</w:t>
                                  </w:r>
                                </w:sdtContent>
                              </w:sdt>
                              <w:r>
                                <w:rPr>
                                  <w:szCs w:val="24"/>
                                  <w:lang w:eastAsia="lt-LT"/>
                                </w:rPr>
                                <w:t xml:space="preserve">) pateikus sveikatos apsaugos ministro nustatytos formos paraišką įrašyti vaistinį preparatą ar medicinos pagalbos priemonę į Kompensuojamųjų vaistinių preparatų kainyną ar Kompensuojamųjų medicinos pagalbos priemonių kainyną; </w:t>
                              </w:r>
                            </w:p>
                          </w:sdtContent>
                        </w:sdt>
                        <w:sdt>
                          <w:sdtPr>
                            <w:alias w:val="2 d. 2 p."/>
                            <w:tag w:val="part_5b5afadbc4ae4caea1da0104f0fe8a97"/>
                            <w:lock w:val="sdtLocked"/>
                            <w:richText/>
                          </w:sdtPr>
                          <w:sdtContent>
                            <w:p w14:paraId="669B46BF" w14:textId="76C6D283">
                              <w:pPr>
                                <w:ind w:firstLine="968"/>
                                <w:jc w:val="both"/>
                                <w:rPr>
                                  <w:szCs w:val="24"/>
                                  <w:lang w:eastAsia="lt-LT"/>
                                </w:rPr>
                              </w:pPr>
                              <w:sdt>
                                <w:sdtPr>
                                  <w:alias w:val="Numeris"/>
                                  <w:tag w:val="nr_5b5afadbc4ae4caea1da0104f0fe8a97"/>
                                  <w:lock w:val="sdtLocked"/>
                                  <w:richText/>
                                </w:sdtPr>
                                <w:sdtContent>
                                  <w:r>
                                    <w:rPr>
                                      <w:szCs w:val="24"/>
                                      <w:lang w:eastAsia="lt-LT"/>
                                    </w:rPr>
                                    <w:t>2</w:t>
                                  </w:r>
                                </w:sdtContent>
                              </w:sdt>
                              <w:r>
                                <w:rPr>
                                  <w:szCs w:val="24"/>
                                  <w:lang w:eastAsia="lt-LT"/>
                                </w:rPr>
                                <w:t xml:space="preserve">) į Kompensuojamųjų vaistinių preparatų kainyną ar Kompensuojamųjų medicinos pagalbos priemonių kainyną norimų įtraukti vaistinių preparatų ir medicinos pagalbos priemonių bazinės kainos ir paciento priemokos už juos, </w:t>
                              </w:r>
                              <w:r>
                                <w:rPr>
                                  <w:b/>
                                  <w:bCs/>
                                  <w:szCs w:val="24"/>
                                  <w:lang w:eastAsia="lt-LT"/>
                                </w:rPr>
                                <w:t xml:space="preserve">apskaičiuotos Vyriausybės nustatyta tvarka, </w:t>
                              </w:r>
                              <w:r>
                                <w:rPr>
                                  <w:szCs w:val="24"/>
                                  <w:lang w:eastAsia="lt-LT"/>
                                </w:rPr>
                                <w:t xml:space="preserve">atitinka </w:t>
                              </w:r>
                              <w:r>
                                <w:rPr>
                                  <w:strike/>
                                  <w:szCs w:val="24"/>
                                  <w:lang w:eastAsia="lt-LT"/>
                                </w:rPr>
                                <w:t>Vyriausybės nustatytus reikalavimus</w:t>
                              </w:r>
                              <w:r>
                                <w:rPr>
                                  <w:szCs w:val="24"/>
                                  <w:lang w:eastAsia="lt-LT"/>
                                </w:rPr>
                                <w:t xml:space="preserve"> </w:t>
                              </w:r>
                              <w:r>
                                <w:rPr>
                                  <w:b/>
                                  <w:bCs/>
                                  <w:szCs w:val="24"/>
                                  <w:lang w:eastAsia="lt-LT"/>
                                </w:rPr>
                                <w:t>šio įstatymo 57 straipsnyje nustatytus kriterijus</w:t>
                              </w:r>
                              <w:r>
                                <w:rPr>
                                  <w:szCs w:val="24"/>
                                  <w:lang w:eastAsia="lt-LT"/>
                                </w:rPr>
                                <w:t>.“</w:t>
                              </w:r>
                            </w:p>
                            <w:p w14:paraId="4C1C896E" w14:textId="77777777">
                              <w:pPr>
                                <w:tabs>
                                  <w:tab w:val="left" w:pos="0"/>
                                </w:tabs>
                                <w:ind w:firstLine="851"/>
                                <w:rPr>
                                  <w:b/>
                                  <w:bCs/>
                                  <w:szCs w:val="24"/>
                                  <w:lang w:eastAsia="lt-LT"/>
                                </w:rPr>
                              </w:pPr>
                            </w:p>
                          </w:sdtContent>
                        </w:sdt>
                      </w:sdtContent>
                    </w:sdt>
                  </w:sdtContent>
                </w:sdt>
              </w:sdtContent>
            </w:sdt>
          </w:sdtContent>
        </w:sdt>
        <w:sdt>
          <w:sdtPr>
            <w:alias w:val="5 str."/>
            <w:tag w:val="part_eee994f83f134a69a620983f52134253"/>
            <w:lock w:val="sdtLocked"/>
            <w:richText/>
          </w:sdtPr>
          <w:sdtContent>
            <w:p w14:paraId="1735662D" w14:textId="4709555C">
              <w:pPr>
                <w:tabs>
                  <w:tab w:val="left" w:pos="0"/>
                </w:tabs>
                <w:ind w:firstLine="851"/>
                <w:rPr>
                  <w:b/>
                  <w:bCs/>
                  <w:szCs w:val="24"/>
                  <w:lang w:eastAsia="lt-LT"/>
                </w:rPr>
              </w:pPr>
              <w:sdt>
                <w:sdtPr>
                  <w:alias w:val="Numeris"/>
                  <w:tag w:val="nr_eee994f83f134a69a620983f52134253"/>
                  <w:lock w:val="sdtLocked"/>
                  <w:richText/>
                </w:sdtPr>
                <w:sdtContent>
                  <w:r>
                    <w:rPr>
                      <w:b/>
                      <w:bCs/>
                      <w:szCs w:val="24"/>
                      <w:lang w:eastAsia="lt-LT"/>
                    </w:rPr>
                    <w:t>5</w:t>
                  </w:r>
                </w:sdtContent>
              </w:sdt>
              <w:r>
                <w:rPr>
                  <w:b/>
                  <w:bCs/>
                  <w:szCs w:val="24"/>
                  <w:lang w:eastAsia="lt-LT"/>
                </w:rPr>
                <w:t xml:space="preserve"> straipsnis. </w:t>
              </w:r>
              <w:sdt>
                <w:sdtPr>
                  <w:alias w:val="Pavadinimas"/>
                  <w:tag w:val="title_eee994f83f134a69a620983f52134253"/>
                  <w:lock w:val="sdtLocked"/>
                  <w:richText/>
                </w:sdtPr>
                <w:sdtContent>
                  <w:r>
                    <w:rPr>
                      <w:b/>
                      <w:bCs/>
                      <w:szCs w:val="24"/>
                      <w:lang w:eastAsia="lt-LT"/>
                    </w:rPr>
                    <w:t>Įstatymo įsigaliojimas ir įgyvendinimas</w:t>
                  </w:r>
                </w:sdtContent>
              </w:sdt>
            </w:p>
            <w:sdt>
              <w:sdtPr>
                <w:alias w:val="5 str. 1 d."/>
                <w:tag w:val="part_66bbc80e50d040689079169b1e988c6b"/>
                <w:lock w:val="sdtLocked"/>
                <w:richText/>
              </w:sdtPr>
              <w:sdtContent>
                <w:p w14:paraId="4448B5BF" w14:textId="77777777">
                  <w:pPr>
                    <w:ind w:firstLine="851"/>
                    <w:jc w:val="both"/>
                    <w:rPr>
                      <w:bCs/>
                      <w:szCs w:val="24"/>
                      <w:lang w:eastAsia="lt-LT"/>
                    </w:rPr>
                  </w:pPr>
                  <w:sdt>
                    <w:sdtPr>
                      <w:alias w:val="Numeris"/>
                      <w:tag w:val="nr_66bbc80e50d040689079169b1e988c6b"/>
                      <w:lock w:val="sdtLocked"/>
                      <w:richText/>
                    </w:sdtPr>
                    <w:sdtContent>
                      <w:r>
                        <w:rPr>
                          <w:bCs/>
                          <w:szCs w:val="24"/>
                          <w:lang w:eastAsia="lt-LT"/>
                        </w:rPr>
                        <w:t>1</w:t>
                      </w:r>
                    </w:sdtContent>
                  </w:sdt>
                  <w:r>
                    <w:rPr>
                      <w:bCs/>
                      <w:szCs w:val="24"/>
                      <w:lang w:eastAsia="lt-LT"/>
                    </w:rPr>
                    <w:t>. Šis įstatymas, išskyrus šio straipsnio 2 dalį, šio įstatymo 1 straipsnio 10 ir 12 dalis ir 2 straipsnį, įsigalioja 2023 m. sausio 1 d.</w:t>
                  </w:r>
                </w:p>
              </w:sdtContent>
            </w:sdt>
            <w:sdt>
              <w:sdtPr>
                <w:alias w:val="5 str. 2 d."/>
                <w:tag w:val="part_bca4d2df4c4d4151b1cc34195758e74d"/>
                <w:lock w:val="sdtLocked"/>
                <w:richText/>
              </w:sdtPr>
              <w:sdtContent>
                <w:p w14:paraId="347132D0" w14:textId="4486F42F">
                  <w:pPr>
                    <w:ind w:firstLine="851"/>
                    <w:jc w:val="both"/>
                    <w:rPr>
                      <w:bCs/>
                      <w:szCs w:val="24"/>
                      <w:lang w:eastAsia="lt-LT"/>
                    </w:rPr>
                  </w:pPr>
                  <w:sdt>
                    <w:sdtPr>
                      <w:alias w:val="Numeris"/>
                      <w:tag w:val="nr_bca4d2df4c4d4151b1cc34195758e74d"/>
                      <w:lock w:val="sdtLocked"/>
                      <w:richText/>
                    </w:sdtPr>
                    <w:sdtContent>
                      <w:r>
                        <w:rPr>
                          <w:bCs/>
                          <w:szCs w:val="24"/>
                          <w:lang w:eastAsia="lt-LT"/>
                        </w:rPr>
                        <w:t>2</w:t>
                      </w:r>
                    </w:sdtContent>
                  </w:sdt>
                  <w:r>
                    <w:rPr>
                      <w:bCs/>
                      <w:szCs w:val="24"/>
                      <w:lang w:eastAsia="lt-LT"/>
                    </w:rPr>
                    <w:t xml:space="preserve">. Lietuvos Respublikos Vyriausybė ir Lietuvos Respublikos sveikatos apsaugos ministras iki 2022 m. gruodžio 31 d. priima šio įstatymo įgyvendinamuosius teisės aktus. </w:t>
                  </w:r>
                </w:p>
              </w:sdtContent>
            </w:sdt>
            <w:sdt>
              <w:sdtPr>
                <w:alias w:val="5 str. 3 d."/>
                <w:tag w:val="part_9334c07c9ada45a88bb151877e8e6179"/>
                <w:lock w:val="sdtLocked"/>
                <w:richText/>
              </w:sdtPr>
              <w:sdtContent>
                <w:p w14:paraId="621EC1E2" w14:textId="3C36EB2B">
                  <w:pPr>
                    <w:ind w:firstLine="844"/>
                    <w:jc w:val="both"/>
                    <w:rPr>
                      <w:szCs w:val="24"/>
                      <w:lang w:eastAsia="lt-LT"/>
                    </w:rPr>
                  </w:pPr>
                  <w:sdt>
                    <w:sdtPr>
                      <w:alias w:val="Numeris"/>
                      <w:tag w:val="nr_9334c07c9ada45a88bb151877e8e6179"/>
                      <w:lock w:val="sdtLocked"/>
                      <w:richText/>
                    </w:sdtPr>
                    <w:sdtContent>
                      <w:r>
                        <w:rPr>
                          <w:bCs/>
                          <w:szCs w:val="24"/>
                          <w:lang w:eastAsia="lt-LT"/>
                        </w:rPr>
                        <w:t>3</w:t>
                      </w:r>
                    </w:sdtContent>
                  </w:sdt>
                  <w:r>
                    <w:rPr>
                      <w:bCs/>
                      <w:szCs w:val="24"/>
                      <w:lang w:eastAsia="lt-LT"/>
                    </w:rPr>
                    <w:t xml:space="preserve">. Šio įstatymo 3 straipsnyje išdėstyto Farmacijos įstatymo 57 straipsnio 5–12 dalys </w:t>
                  </w:r>
                  <w:r>
                    <w:rPr>
                      <w:szCs w:val="24"/>
                      <w:lang w:eastAsia="lt-LT"/>
                    </w:rPr>
                    <w:t xml:space="preserve">taikomos  rengiant 2023 m. liepos 1 d. įsigaliosiančius ir vėlesnius kompensuojamųjų vaistinių preparatų kainynus ir jų pakeitimus ir 2023 m. kompensuojamųjų medicinos pagalbos priemonių kainynus ir jų pakeitimus. </w:t>
                  </w:r>
                </w:p>
              </w:sdtContent>
            </w:sdt>
            <w:sdt>
              <w:sdtPr>
                <w:alias w:val="5 str. 4 d."/>
                <w:tag w:val="part_efde0ea7623d49ff94f0a4599b57f737"/>
                <w:lock w:val="sdtLocked"/>
                <w:richText/>
              </w:sdtPr>
              <w:sdtContent>
                <w:p w14:paraId="5100EF2A" w14:textId="7C7C3D6A">
                  <w:pPr>
                    <w:tabs>
                      <w:tab w:val="left" w:pos="6237"/>
                    </w:tabs>
                    <w:ind w:firstLine="844"/>
                    <w:jc w:val="both"/>
                    <w:rPr>
                      <w:lang w:eastAsia="lt-LT"/>
                    </w:rPr>
                  </w:pPr>
                  <w:sdt>
                    <w:sdtPr>
                      <w:alias w:val="Numeris"/>
                      <w:tag w:val="nr_efde0ea7623d49ff94f0a4599b57f737"/>
                      <w:lock w:val="sdtLocked"/>
                      <w:richText/>
                    </w:sdtPr>
                    <w:sdtContent>
                      <w:r>
                        <w:rPr>
                          <w:iCs/>
                          <w:szCs w:val="24"/>
                          <w:lang w:eastAsia="lt-LT"/>
                        </w:rPr>
                        <w:t>4</w:t>
                      </w:r>
                    </w:sdtContent>
                  </w:sdt>
                  <w:r>
                    <w:rPr>
                      <w:iCs/>
                      <w:szCs w:val="24"/>
                      <w:lang w:eastAsia="lt-LT"/>
                    </w:rPr>
                    <w:t xml:space="preserve">. </w:t>
                  </w:r>
                  <w:r>
                    <w:rPr>
                      <w:szCs w:val="24"/>
                      <w:lang w:eastAsia="lt-LT"/>
                    </w:rPr>
                    <w:t>Rengiant 2022 metų kompensuojamųjų medicinos pagalbos priemonių kainyno pakeitimus, 2023 metų kompensuojamųjų vaistinių preparatų kainyną, įsigaliosiantį 2023 m. sausio 1 d., ir jo pakeitimus, taikomi iki šio įstatymo įsigaliojimo galioję reikalavimai.</w:t>
                  </w:r>
                </w:p>
              </w:sdtContent>
            </w:sdt>
            <w:sdt>
              <w:sdtPr>
                <w:alias w:val="5 str. 5 d."/>
                <w:tag w:val="part_5aeb0fd1bb634c229fa32fc538374195"/>
                <w:lock w:val="sdtLocked"/>
                <w:richText/>
              </w:sdtPr>
              <w:sdtContent>
                <w:p w14:paraId="5FA054A8" w14:textId="454CFF46">
                  <w:pPr>
                    <w:ind w:firstLine="868"/>
                    <w:jc w:val="both"/>
                    <w:rPr>
                      <w:szCs w:val="24"/>
                      <w:lang w:eastAsia="lt-LT"/>
                    </w:rPr>
                  </w:pPr>
                  <w:sdt>
                    <w:sdtPr>
                      <w:alias w:val="Numeris"/>
                      <w:tag w:val="nr_5aeb0fd1bb634c229fa32fc538374195"/>
                      <w:lock w:val="sdtLocked"/>
                      <w:richText/>
                    </w:sdtPr>
                    <w:sdtContent>
                      <w:r>
                        <w:rPr>
                          <w:color w:val="000000"/>
                          <w:szCs w:val="24"/>
                          <w:lang w:eastAsia="lt-LT"/>
                        </w:rPr>
                        <w:t>5</w:t>
                      </w:r>
                    </w:sdtContent>
                  </w:sdt>
                  <w:r>
                    <w:rPr>
                      <w:color w:val="000000"/>
                      <w:szCs w:val="24"/>
                      <w:lang w:eastAsia="lt-LT"/>
                    </w:rPr>
                    <w:t>. Lietuvos Respublikos sveikatos apsaugos ministerija, siekdama užtikrinti vaistinių preparatų prieinamumą pacientams ir atsižvelgdama į Privalomojo sveikatos draudimo fondo biudžeto galimybes ir esamas makroekonomines sąlygas, kiekvienų metų, pradedant nuo 2024 m., paskutinį ketvirtį įvertina  šio įstatymo 3</w:t>
                  </w:r>
                  <w:r>
                    <w:rPr>
                      <w:szCs w:val="24"/>
                      <w:lang w:eastAsia="lt-LT"/>
                    </w:rPr>
                    <w:t xml:space="preserve"> straipsnyje išdėstyto Farmacijos įstatymo 57 straipsnio 6 dalies 4 punkto ir 11 dalies 2 punkto </w:t>
                  </w:r>
                  <w:r>
                    <w:rPr>
                      <w:color w:val="000000"/>
                      <w:szCs w:val="24"/>
                      <w:lang w:eastAsia="lt-LT"/>
                    </w:rPr>
                    <w:t xml:space="preserve">nuostatų tolesnio taikymo tikslingumą. Sveikatos apsaugos </w:t>
                  </w:r>
                  <w:r>
                    <w:rPr>
                      <w:szCs w:val="24"/>
                      <w:lang w:eastAsia="lt-LT"/>
                    </w:rPr>
                    <w:t>ministerija</w:t>
                  </w:r>
                  <w:r>
                    <w:rPr>
                      <w:color w:val="000000"/>
                      <w:szCs w:val="24"/>
                      <w:lang w:eastAsia="lt-LT"/>
                    </w:rPr>
                    <w:t xml:space="preserve"> per 90 dienų nuo tokio patikrinimo pradžios paskelbia vertinimo rezultatus.</w:t>
                  </w:r>
                </w:p>
                <w:p w14:paraId="51FC2047"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lang w:eastAsia="lt-LT"/>
                    </w:rPr>
                  </w:pPr>
                </w:p>
              </w:sdtContent>
            </w:sdt>
          </w:sdtContent>
        </w:sdt>
        <w:sdt>
          <w:sdtPr>
            <w:alias w:val="signatura"/>
            <w:tag w:val="part_c40e71660e0d428db00ba3bc1cc74557"/>
            <w:lock w:val="sdtLocked"/>
            <w:richText/>
          </w:sdtPr>
          <w:sdtContent>
            <w:p w14:paraId="652FFDB7" w14:textId="5EAC757E">
              <w:pPr>
                <w:ind w:firstLine="720"/>
                <w:jc w:val="both"/>
                <w:outlineLvl w:val="2"/>
                <w:rPr>
                  <w:i/>
                  <w:iCs/>
                  <w:szCs w:val="24"/>
                  <w:lang w:eastAsia="lt-LT"/>
                </w:rPr>
              </w:pPr>
              <w:r>
                <w:rPr>
                  <w:i/>
                  <w:iCs/>
                  <w:szCs w:val="24"/>
                  <w:lang w:eastAsia="lt-LT"/>
                </w:rPr>
                <w:t>Skelbiu šį Lietuvos Respublikos Seimo priimtą įstatymą.</w:t>
              </w:r>
            </w:p>
            <w:p w14:paraId="7D252FD7" w14:textId="77777777">
              <w:pPr>
                <w:outlineLvl w:val="2"/>
                <w:rPr>
                  <w:szCs w:val="24"/>
                  <w:lang w:eastAsia="lt-LT"/>
                </w:rPr>
              </w:pPr>
            </w:p>
            <w:p w14:paraId="16A94D8F" w14:textId="77777777">
              <w:pPr>
                <w:outlineLvl w:val="2"/>
                <w:rPr>
                  <w:szCs w:val="24"/>
                  <w:lang w:eastAsia="lt-LT"/>
                </w:rPr>
              </w:pPr>
              <w:r>
                <w:rPr>
                  <w:szCs w:val="24"/>
                  <w:lang w:eastAsia="lt-LT"/>
                </w:rPr>
                <w:t>Respublikos Prezidentas</w:t>
              </w:r>
            </w:p>
            <w:p w14:paraId="78112390" w14:textId="77777777">
              <w:pPr>
                <w:outlineLvl w:val="2"/>
                <w:rPr>
                  <w:szCs w:val="24"/>
                  <w:lang w:eastAsia="lt-LT"/>
                </w:rPr>
              </w:pPr>
            </w:p>
            <w:p w14:paraId="448E497E" w14:textId="77777777">
              <w:pPr>
                <w:outlineLvl w:val="2"/>
                <w:rPr>
                  <w:szCs w:val="24"/>
                  <w:lang w:eastAsia="lt-LT"/>
                </w:rPr>
              </w:pPr>
            </w:p>
            <w:p w14:paraId="36232D2E" w14:textId="77777777">
              <w:pPr>
                <w:jc w:val="both"/>
                <w:rPr>
                  <w:szCs w:val="24"/>
                  <w:lang w:eastAsia="lt-LT"/>
                </w:rPr>
              </w:pPr>
            </w:p>
          </w:sdtContent>
        </w:sdt>
      </w:sdtContent>
    </w:sdt>
    <w:sectPr>
      <w:pgSz w:w="11906" w:h="16838"/>
      <w:pgMar w:top="1135"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7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C668F4B"/>
  <w15:docId w15:val="{77927BE0-7303-4DFE-A5EB-C0BAF30FEDF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2963021">
      <w:bodyDiv w:val="1"/>
      <w:marLeft w:val="0"/>
      <w:marRight w:val="0"/>
      <w:marTop w:val="0"/>
      <w:marBottom w:val="0"/>
      <w:divBdr>
        <w:top w:val="none" w:sz="0" w:space="0" w:color="auto"/>
        <w:left w:val="none" w:sz="0" w:space="0" w:color="auto"/>
        <w:bottom w:val="none" w:sz="0" w:space="0" w:color="auto"/>
        <w:right w:val="none" w:sz="0" w:space="0" w:color="auto"/>
      </w:divBdr>
    </w:div>
    <w:div w:id="208808428">
      <w:bodyDiv w:val="1"/>
      <w:marLeft w:val="0"/>
      <w:marRight w:val="0"/>
      <w:marTop w:val="0"/>
      <w:marBottom w:val="0"/>
      <w:divBdr>
        <w:top w:val="none" w:sz="0" w:space="0" w:color="auto"/>
        <w:left w:val="none" w:sz="0" w:space="0" w:color="auto"/>
        <w:bottom w:val="none" w:sz="0" w:space="0" w:color="auto"/>
        <w:right w:val="none" w:sz="0" w:space="0" w:color="auto"/>
      </w:divBdr>
    </w:div>
    <w:div w:id="278493445">
      <w:bodyDiv w:val="1"/>
      <w:marLeft w:val="0"/>
      <w:marRight w:val="0"/>
      <w:marTop w:val="0"/>
      <w:marBottom w:val="0"/>
      <w:divBdr>
        <w:top w:val="none" w:sz="0" w:space="0" w:color="auto"/>
        <w:left w:val="none" w:sz="0" w:space="0" w:color="auto"/>
        <w:bottom w:val="none" w:sz="0" w:space="0" w:color="auto"/>
        <w:right w:val="none" w:sz="0" w:space="0" w:color="auto"/>
      </w:divBdr>
    </w:div>
    <w:div w:id="417405044">
      <w:bodyDiv w:val="1"/>
      <w:marLeft w:val="0"/>
      <w:marRight w:val="0"/>
      <w:marTop w:val="0"/>
      <w:marBottom w:val="0"/>
      <w:divBdr>
        <w:top w:val="none" w:sz="0" w:space="0" w:color="auto"/>
        <w:left w:val="none" w:sz="0" w:space="0" w:color="auto"/>
        <w:bottom w:val="none" w:sz="0" w:space="0" w:color="auto"/>
        <w:right w:val="none" w:sz="0" w:space="0" w:color="auto"/>
      </w:divBdr>
    </w:div>
    <w:div w:id="557283398">
      <w:bodyDiv w:val="1"/>
      <w:marLeft w:val="0"/>
      <w:marRight w:val="0"/>
      <w:marTop w:val="0"/>
      <w:marBottom w:val="0"/>
      <w:divBdr>
        <w:top w:val="none" w:sz="0" w:space="0" w:color="auto"/>
        <w:left w:val="none" w:sz="0" w:space="0" w:color="auto"/>
        <w:bottom w:val="none" w:sz="0" w:space="0" w:color="auto"/>
        <w:right w:val="none" w:sz="0" w:space="0" w:color="auto"/>
      </w:divBdr>
    </w:div>
    <w:div w:id="651494980">
      <w:bodyDiv w:val="1"/>
      <w:marLeft w:val="0"/>
      <w:marRight w:val="0"/>
      <w:marTop w:val="0"/>
      <w:marBottom w:val="0"/>
      <w:divBdr>
        <w:top w:val="none" w:sz="0" w:space="0" w:color="auto"/>
        <w:left w:val="none" w:sz="0" w:space="0" w:color="auto"/>
        <w:bottom w:val="none" w:sz="0" w:space="0" w:color="auto"/>
        <w:right w:val="none" w:sz="0" w:space="0" w:color="auto"/>
      </w:divBdr>
    </w:div>
    <w:div w:id="1103768608">
      <w:bodyDiv w:val="1"/>
      <w:marLeft w:val="0"/>
      <w:marRight w:val="0"/>
      <w:marTop w:val="0"/>
      <w:marBottom w:val="0"/>
      <w:divBdr>
        <w:top w:val="none" w:sz="0" w:space="0" w:color="auto"/>
        <w:left w:val="none" w:sz="0" w:space="0" w:color="auto"/>
        <w:bottom w:val="none" w:sz="0" w:space="0" w:color="auto"/>
        <w:right w:val="none" w:sz="0" w:space="0" w:color="auto"/>
      </w:divBdr>
    </w:div>
    <w:div w:id="1374650145">
      <w:bodyDiv w:val="1"/>
      <w:marLeft w:val="0"/>
      <w:marRight w:val="0"/>
      <w:marTop w:val="0"/>
      <w:marBottom w:val="0"/>
      <w:divBdr>
        <w:top w:val="none" w:sz="0" w:space="0" w:color="auto"/>
        <w:left w:val="none" w:sz="0" w:space="0" w:color="auto"/>
        <w:bottom w:val="none" w:sz="0" w:space="0" w:color="auto"/>
        <w:right w:val="none" w:sz="0" w:space="0" w:color="auto"/>
      </w:divBdr>
    </w:div>
    <w:div w:id="1414355560">
      <w:bodyDiv w:val="1"/>
      <w:marLeft w:val="0"/>
      <w:marRight w:val="0"/>
      <w:marTop w:val="0"/>
      <w:marBottom w:val="0"/>
      <w:divBdr>
        <w:top w:val="none" w:sz="0" w:space="0" w:color="auto"/>
        <w:left w:val="none" w:sz="0" w:space="0" w:color="auto"/>
        <w:bottom w:val="none" w:sz="0" w:space="0" w:color="auto"/>
        <w:right w:val="none" w:sz="0" w:space="0" w:color="auto"/>
      </w:divBdr>
    </w:div>
    <w:div w:id="1433817220">
      <w:marLeft w:val="0"/>
      <w:marRight w:val="0"/>
      <w:marTop w:val="0"/>
      <w:marBottom w:val="0"/>
      <w:divBdr>
        <w:top w:val="none" w:sz="0" w:space="0" w:color="auto"/>
        <w:left w:val="none" w:sz="0" w:space="0" w:color="auto"/>
        <w:bottom w:val="none" w:sz="0" w:space="0" w:color="auto"/>
        <w:right w:val="none" w:sz="0" w:space="0" w:color="auto"/>
      </w:divBdr>
    </w:div>
    <w:div w:id="1433817221">
      <w:marLeft w:val="0"/>
      <w:marRight w:val="0"/>
      <w:marTop w:val="0"/>
      <w:marBottom w:val="0"/>
      <w:divBdr>
        <w:top w:val="none" w:sz="0" w:space="0" w:color="auto"/>
        <w:left w:val="none" w:sz="0" w:space="0" w:color="auto"/>
        <w:bottom w:val="none" w:sz="0" w:space="0" w:color="auto"/>
        <w:right w:val="none" w:sz="0" w:space="0" w:color="auto"/>
      </w:divBdr>
    </w:div>
    <w:div w:id="1509058056">
      <w:bodyDiv w:val="1"/>
      <w:marLeft w:val="0"/>
      <w:marRight w:val="0"/>
      <w:marTop w:val="0"/>
      <w:marBottom w:val="0"/>
      <w:divBdr>
        <w:top w:val="none" w:sz="0" w:space="0" w:color="auto"/>
        <w:left w:val="none" w:sz="0" w:space="0" w:color="auto"/>
        <w:bottom w:val="none" w:sz="0" w:space="0" w:color="auto"/>
        <w:right w:val="none" w:sz="0" w:space="0" w:color="auto"/>
      </w:divBdr>
    </w:div>
    <w:div w:id="1789810051">
      <w:bodyDiv w:val="1"/>
      <w:marLeft w:val="0"/>
      <w:marRight w:val="0"/>
      <w:marTop w:val="0"/>
      <w:marBottom w:val="0"/>
      <w:divBdr>
        <w:top w:val="none" w:sz="0" w:space="0" w:color="auto"/>
        <w:left w:val="none" w:sz="0" w:space="0" w:color="auto"/>
        <w:bottom w:val="none" w:sz="0" w:space="0" w:color="auto"/>
        <w:right w:val="none" w:sz="0" w:space="0" w:color="auto"/>
      </w:divBdr>
    </w:div>
    <w:div w:id="1803497966">
      <w:bodyDiv w:val="1"/>
      <w:marLeft w:val="0"/>
      <w:marRight w:val="0"/>
      <w:marTop w:val="0"/>
      <w:marBottom w:val="0"/>
      <w:divBdr>
        <w:top w:val="none" w:sz="0" w:space="0" w:color="auto"/>
        <w:left w:val="none" w:sz="0" w:space="0" w:color="auto"/>
        <w:bottom w:val="none" w:sz="0" w:space="0" w:color="auto"/>
        <w:right w:val="none" w:sz="0" w:space="0" w:color="auto"/>
      </w:divBdr>
    </w:div>
    <w:div w:id="1891068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50d67e316a6414c87caad5c6f0dbbd7" PartId="fa9bfd8b24384e9bbad87690e850e389">
    <Part Type="straipsnis" Nr="1" Abbr="1 str." Title="2 straipsnio pakeitimas" DocPartId="e736d835b6204979bce1eba66bbc9750" PartId="c2ca8e9c015d48e78106c50798b849e4">
      <Part Type="strDalis" Nr="1" Abbr="1 str. 1 d." DocPartId="4946144484be4c018864260bc78464f5" PartId="0b39862b570a49a585e48dea26f47bcc">
        <Part Type="citata" DocPartId="b2bfa3e5a94042ffada6a7b0c8ed1aa1" PartId="09e32a0be0ec4631ab6560f461450eaa">
          <Part Type="strDalis" Nr="3-1" Abbr="3-1 d." DocPartId="5aef7ae649f242a5bbc5046e3a234c0e" PartId="e44ac2385d5a4d4a98eff2016b13fd6d"/>
        </Part>
      </Part>
      <Part Type="strDalis" Nr="2" Abbr="1 str. 2 d." DocPartId="bf3b82e5776f46bb9ac237dd44ee41a5" PartId="b39a6b5b6a1549fb9166e38ad655bfbf">
        <Part Type="citata" DocPartId="d4bfe44d4cc942318121bee26adf332b" PartId="2659377e0e7642d1a1020cc391da19de">
          <Part Type="strDalis" Nr="8-1" Abbr="8-1 d." DocPartId="e9f272a2686548bc84ba99e2168cddd0" PartId="d56bdb3a9c854fd8b4a0cabfa6f870cc"/>
        </Part>
      </Part>
      <Part Type="strDalis" Nr="3" Abbr="1 str. 3 d." DocPartId="0bcfdfb15e474d308a656880a2dfee37" PartId="d97eac5b5e7d4d14b374538be3f7c47a"/>
      <Part Type="strDalis" Nr="4" Abbr="1 str. 4 d." DocPartId="0ff135891dcf454db2fed299796c8fea" PartId="cb0f192896484d1c88f1f9054a710457">
        <Part Type="citata" DocPartId="ca33e8d51b974d8496d8788bd5176b57" PartId="3fe042b68ab942b5938cf6e5bc873936">
          <Part Type="strDalis" Nr="25-2" Abbr="25-2 d." DocPartId="172cccba2d3e4579b703e3b5bbd76240" PartId="53e8bb1815e34fe6811ab8e27451a808"/>
        </Part>
      </Part>
      <Part Type="strDalis" Nr="5" Abbr="1 str. 5 d." DocPartId="7cbc1d8fd9e646abb3e5a03392cea291" PartId="1844c92069b34109b0b707219f31eeed">
        <Part Type="citata" DocPartId="079b72a259134a62a13dd0acc341f5bd" PartId="50ad23e4b139456bb8acb849431baefb">
          <Part Type="strDalis" Nr="25-1" Abbr="25-1 d." DocPartId="cc4860510dac4fdfa4464bdca3a464bf" PartId="9c619461f45c4fd0970e5cb0ba02cfc4"/>
        </Part>
      </Part>
      <Part Type="strDalis" Nr="6" Abbr="1 str. 6 d." DocPartId="94799f0093974f699a7587965bd1d193" PartId="94624d858593494fa56fb6db9f585661">
        <Part Type="citata" DocPartId="69682f2c05f448849c02d17c272108b4" PartId="ff968ce607c6439f874e6e3c23a16689">
          <Part Type="strDalis" Nr="30-4" Abbr="30-4 d." DocPartId="f83508ae65b2403ba946e116a710a124" PartId="1f78e3451600484298fa75f0103062bf"/>
        </Part>
      </Part>
      <Part Type="strDalis" Nr="7" Abbr="1 str. 7 d." DocPartId="ffc534113bdd42d0b919059a53360165" PartId="2b1d643000db49f4a8aa86c1904114b8">
        <Part Type="citata" DocPartId="453ccb3ee10340e99a06cedf719e6038" PartId="98e0680badc14f1f88f299b9e96a269c">
          <Part Type="strDalis" Nr="30-5" Abbr="30-5 d." DocPartId="3a4222d1afd8481da64676507398305f" PartId="81c83bc5ed3346f396112ead194eca46"/>
        </Part>
      </Part>
      <Part Type="strDalis" Nr="8" Abbr="1 str. 8 d." DocPartId="9e510f7dab3d474d86188b0dd890d2d4" PartId="eb85329441d44b82b03586cbe7906dcc">
        <Part Type="citata" DocPartId="fe3441401f5e42e2be5b43ca99f42c41" PartId="a12cf4c81870427490cf17026bdf3035">
          <Part Type="strDalis" Nr="41-1" Abbr="41-1 d." DocPartId="0415fbf4c6cc4911bdb794152c671780" PartId="2492949275264f8daa581d0076d9a61c"/>
        </Part>
      </Part>
      <Part Type="strDalis" Nr="9" Abbr="1 str. 9 d." DocPartId="add69b34c26145528518414316dbf3e3" PartId="70f8950849cc49e3a2f0ab69945a661c">
        <Part Type="citata" DocPartId="62bf213f94da43d6bee6d3c0e6726d55" PartId="1c6e7754969142b391c27c417302c09f">
          <Part Type="strDalis" Nr="54-4" Abbr="54-4 d." DocPartId="9ef60e70df964550a6145276019bd58a" PartId="c92c6e7d272d4961bbd4c5490fc34546"/>
        </Part>
      </Part>
      <Part Type="strDalis" Nr="10" Abbr="1 str. 10 d." DocPartId="338fa1ec9d37424688b2cb2786c42663" PartId="eca14fd90b94434e9d4ce9812b3d23ef">
        <Part Type="citata" DocPartId="1094cd39f0584befb9c2a40662918faa" PartId="16777263e3444a51a2cf10caea876078">
          <Part Type="strDalis" Nr="68-1" Abbr="68-1 d." DocPartId="4b48bffb0f864a62a052dd08106ff24a" PartId="9f652541f5594e6fa0620e2617bc71f5"/>
        </Part>
      </Part>
      <Part Type="strDalis" Nr="11" Abbr="1 str. 11 d." DocPartId="5e86916a610045a18b371cf59a3bd2fb" PartId="f2cd911359f34a8595a52487fc728cd3">
        <Part Type="citata" DocPartId="1f37fc50b15d49649b3a51fe5c7b2cdb" PartId="ddc9becddde74e2a8243bf916b28a6bd">
          <Part Type="strDalis" Nr="81-1" Abbr="81-1 d." DocPartId="2fcf03fc19c241c3a939bc630b815c39" PartId="a2f98485ab1743c7a3ebda0dc568fa05"/>
        </Part>
      </Part>
      <Part Type="strDalis" Nr="12" Abbr="1 str. 12 d." DocPartId="5fe3b8d32668458d985fcc099e9b5198" PartId="bb8f4cb4773342a5adac9f921fb15a69">
        <Part Type="citata" DocPartId="5e9a951fdf8547539e05a03c1da494d3" PartId="8eadb14acfb646b0b19f4d2ee752129f">
          <Part Type="strDalis" Nr="83" Abbr="83 d." DocPartId="d0660209e781449ab71c6af50cdbc01b" PartId="2bd61874090244d180e6e5bdc988763c"/>
        </Part>
      </Part>
    </Part>
    <Part Type="straipsnis" Nr="2" Abbr="2 str." Title="8 straipsnio pakeitimas" DocPartId="4dd7302345d84d19af7fd5a74f645e7f" PartId="efb5cf9285ae4e0084bbd7a4a1f9031e">
      <Part Type="strDalis" Nr="1" Abbr="2 str. 1 d." DocPartId="f2cd1f780d154266b4512433c6d63396" PartId="563547dfe3f74084a6cd2283b67ca620">
        <Part Type="citata" DocPartId="b2ace70a0ac74b0f9270e28a876e28e3" PartId="e7d466fc9a19425899d2de896a9d5b76">
          <Part Type="strDalis" Nr="5" Abbr="5 d." DocPartId="f06e2a70e2554257bb3a20b830ac9277" PartId="831cd0b28a554d99aa21a42593a7a412"/>
        </Part>
      </Part>
      <Part Type="strDalis" Nr="2" Abbr="2 str. 2 d." DocPartId="4ba39e9f55244b2cbbeb8046be7c83a2" PartId="f3112cd0fc604aaaa82380d16d456b1b">
        <Part Type="citata" DocPartId="bff46831263f459c916eae6b58d10536" PartId="cc7d90db2d7b430ebb6a39a0433ba39e">
          <Part Type="strDalis" Nr="6" Abbr="6 d." DocPartId="72657162b9d345df9d0bbd4ff3f6e3a0" PartId="cb4af76067154574a5c3c575075ffe60"/>
        </Part>
      </Part>
    </Part>
    <Part Type="straipsnis" Nr="3" Abbr="3 str." Title="57 straipsnio pakeitimas" DocPartId="26fa7763503145ac809644f055a6e4df" PartId="f86d6967185447c897126b57d7d15b48">
      <Part Type="strDalis" Nr="1" Abbr="3 str. 1 d." DocPartId="6a0151d19a4f4e0c8ba598cbf6e24e1e" PartId="31cd95086ced4c32b0dc0e7a910a1169">
        <Part Type="citata" DocPartId="cb360d1236ff4f43ba8601d0d9ed7604" PartId="438162d4f74d42aa894b1b2f46e50d84">
          <Part Type="straipsnis" Nr="57" Abbr="57 str." Title="Kompensuojamųjų vaistinių preparatų ir medicinos pagalbos priemonių kainodaros bendrieji reikalavimai" DocPartId="9ecf5cbc5d154e4591dadec1a726c155" PartId="69c435f07ae746c89121dbab8050e9f0">
            <Part Type="strDalis" Nr="1" Abbr="57 str. 1 d." DocPartId="dcb6f6ac7bfc49ed9f38cd2ab91476a4" PartId="cb0c93896acd4a16b88c19bd16d87293"/>
            <Part Type="strDalis" Nr="2" Abbr="57 str. 2 d." DocPartId="80baa11fe0b64ce6b8e8ace7b158f6d6" PartId="2d756014614840d6b87bbd6314de0dc0"/>
            <Part Type="strDalis" Nr="3" Abbr="57 str. 3 d." DocPartId="c36a5205fc1f420ca26b371ce25d52a5" PartId="d92af7cb8d1b477797431f7c4a5f7b52"/>
            <Part Type="strDalis" Nr="4" Abbr="57 str. 4 d." DocPartId="51b7739f666d498f843380f8bcfefa87" PartId="fca5e8e9b71e4fe1bfbed5eae168edcd"/>
            <Part Type="strDalis" Nr="1" Abbr="57 str. 1 d." DocPartId="4e797cb718f24c1abd329918d1e26282" PartId="de9130c5ad324f1da0c6e417819b6257"/>
            <Part Type="strDalis" Nr="2" Abbr="57 str. 2 d." DocPartId="3b958dae32f44781bd246cc322720035" PartId="1032fd2efa6a4dca89063ff2b25e90e3"/>
            <Part Type="strDalis" Nr="3" Abbr="57 str. 3 d." DocPartId="238a000dca404828877dc4d2ecdb4172" PartId="f0b2f55e6dc94a23b104859a74ad8ecf"/>
            <Part Type="strDalis" Nr="4" Abbr="57 str. 4 d." DocPartId="80b2f52927da4ed79e94b30dfa55f5b9" PartId="661a6a760abe4f608114467d8938bcbd"/>
            <Part Type="strDalis" Nr="5" Abbr="57 str. 5 d." DocPartId="09abb5c4ae134c37b0fa84b92bae72d9" PartId="35202e91cb6f488b8440d984f9a1bb84"/>
            <Part Type="strDalis" Nr="6" Abbr="57 str. 6 d." DocPartId="99244546fac54fc0a53e37743d109fb8" PartId="f79abf9f6a454cf59a986fc71243498c">
              <Part Type="strPunktas" Nr="1" Abbr="57 str. 6 d. 1 p." DocPartId="6612a6e1946248b59d2685ad0de86af3" PartId="d39b80dc21fc4cb7912d3f7b1889f687"/>
              <Part Type="strPunktas" Nr="2" Abbr="57 str. 6 d. 2 p." DocPartId="33437db3ff224cbe842ef53038ffb42e" PartId="c062ef1ff69a46e0a571c509b8324a22"/>
              <Part Type="strPunktas" Nr="3" Abbr="57 str. 6 d. 3 p." DocPartId="80e98dc3485641cf83c13457ea05f686" PartId="d009d575036f423580f58be9c3951980"/>
              <Part Type="strPunktas" Nr="4" Abbr="57 str. 6 d. 4 p." DocPartId="0842b54081144237b032b4ee7ad4915c" PartId="f9ec9fe4e6ea4d29966b54470cab701c"/>
              <Part Type="strPunktas" Nr="5" Abbr="57 str. 6 d. 5 p." DocPartId="cc25963e2af547e5a68e98b02ac6f6b7" PartId="274c614ae926422cb1c369ed55987ecf">
                <Part Type="strPapunktis" Nr="a" Abbr="57 str. 6 d. 5 p. a pp." DocPartId="75804c29521847b2ae6fab58ff3183e0" PartId="c166cd8526294e589f50fd11f8b260a2"/>
                <Part Type="strPapunktis" Nr="b" Abbr="57 str. 6 d. 5 p. b pp." DocPartId="69c992e065444b669f443e0454098395" PartId="481f16b1e7fa41f6a362bc9c7cdf2e02"/>
              </Part>
            </Part>
            <Part Type="strDalis" Nr="7" Abbr="57 str. 7 d." DocPartId="550f987dfdf24d398a63b9e4bf6217cb" PartId="cbaaa258b4a04208a8c982f5cde0679f">
              <Part Type="strPunktas" Nr="1" Abbr="57 str. 7 d. 1 p." DocPartId="b4874bad97234192a913b54bafb98ec0" PartId="8da9567e44c449358a64847de8b7dd71"/>
              <Part Type="strPunktas" Nr="2" Abbr="57 str. 7 d. 2 p." DocPartId="cd72f8b76a6446018b78b8fb182540e6" PartId="92d2cdacf7aa4b6fb62346bd2505ef92"/>
              <Part Type="strPunktas" Nr="3" Abbr="57 str. 7 d. 3 p." DocPartId="7ff2c0a76aee405db2be613d346b87d5" PartId="dbd63dcb28f14a32b74b13e5b2dee2a9"/>
              <Part Type="strPunktas" Nr="4" Abbr="57 str. 7 d. 4 p." DocPartId="0ef860008dbb4f5386b5bff1899efa1c" PartId="61169c033d404658b529036394763b9f"/>
            </Part>
            <Part Type="strDalis" Nr="8" Abbr="57 str. 8 d." DocPartId="60e5c61d3b2c499f8d6ded418632d340" PartId="a09f1274ccb846b0bda38ef1e40fe3f4">
              <Part Type="strPunktas" Nr="1" Abbr="57 str. 8 d. 1 p." DocPartId="bc09f54a05444f65bb777e7f8a2f4f7b" PartId="bb2f15e6e8c54b3b8088f73dfdecec3b"/>
              <Part Type="strPunktas" Nr="2" Abbr="57 str. 8 d. 2 p." DocPartId="bca4493fdc80472aabe40ea43975dff1" PartId="5d1b85eefaa94a7b94710eb57e6496c2"/>
              <Part Type="strPunktas" Nr="3" Abbr="57 str. 8 d. 3 p." DocPartId="0aa5d95ae3514676be3d876a23c9380b" PartId="4259b0096d0f46dba4fcc3810d4d222b">
                <Part Type="strPapunktis" Nr="a" Abbr="57 str. 8 d. 3 p. a pp." DocPartId="e9c239ba8f2a41d88d21935d193332d8" PartId="f1493c40fb29484780e1feb1ef352c51"/>
                <Part Type="strPapunktis" Nr="b" Abbr="57 str. 8 d. 3 p. b pp." DocPartId="3c3b5b1570b74dddb3a149bbe81a7ef3" PartId="80403b2294c240d0b1b13f9746e24e43"/>
                <Part Type="strPapunktis" Nr="c" Abbr="57 str. 8 d. 3 p. c pp." DocPartId="b69fc15cadad4950a162a575ff2ddcf7" PartId="7dd824889ff7481b974175388dad7101"/>
                <Part Type="strPapunktis" Nr="d" Abbr="57 str. 8 d. 3 p. d pp." DocPartId="9b349f19f2624e169b2a1895aff07874" PartId="8fcce28af7a04bf6b60f9b34b50db1ec"/>
              </Part>
            </Part>
            <Part Type="strDalis" Nr="9" Abbr="57 str. 9 d." DocPartId="50c4a06d46204258a4a67f23fe871414" PartId="55a7e78d9b404bc0be9326dfaa1aed23"/>
            <Part Type="strDalis" Nr="10" Abbr="57 str. 10 d." DocPartId="50d527767ac445308c77e66f7bb34b9d" PartId="cb4cc4bb107747d7a36cd1acd44e8d47"/>
            <Part Type="strDalis" Nr="11" Abbr="57 str. 11 d." DocPartId="599ffa74245a47cdb7d8791bee596d87" PartId="f227434a909c437c8cf5ec24ec13094f">
              <Part Type="strPunktas" Nr="1" Abbr="57 str. 11 d. 1 p." DocPartId="40845e6f2c63491ea8565efd9b77460f" PartId="46f6f38353e14f9e8bc00e7b4a1fed22"/>
              <Part Type="strPunktas" Nr="2" Abbr="57 str. 11 d. 2 p." DocPartId="71ee0e4f048d4d75b1da904746ef7692" PartId="7adcad97bdb14415992a90b6b5c9a3ce"/>
            </Part>
            <Part Type="strDalis" Nr="12" Abbr="57 str. 12 d." DocPartId="7bfc9b18ce074c48aef017f531eeb8f5" PartId="4041071c9d224befb7393f4b3b665979">
              <Part Type="strPunktas" Nr="1" Abbr="57 str. 12 d. 1 p." DocPartId="8b68074808a74820b12ce349b290c676" PartId="ab23ac34e90d49e9908d8815031cd7a9"/>
              <Part Type="strPunktas" Nr="2" Abbr="57 str. 12 d. 2 p." DocPartId="c378608669ce43538a3587bddf565df0" PartId="d5d579a2df724d848619449ccbe14527">
                <Part Type="strPapunktis" Nr="a" Abbr="57 str. 12 d. 2 p. a pp." DocPartId="29d6e24c77ab4f1b85f33fc85dd477d2" PartId="0e26bc44dd3f4622884d4f23b2a13b8f"/>
                <Part Type="strPapunktis" Nr="b" Abbr="57 str. 12 d. 2 p. b pp." DocPartId="66e62132cb234f52b91a29e6385c824c" PartId="e6c88c4a4b0844e1ac7d86f5590dec29"/>
              </Part>
            </Part>
            <Part Type="strDalis" Nr="13" Abbr="57 str. 13 d." DocPartId="6a7edce594944d8eaddba214bef57ad5" PartId="5dff263a49c94dc2993bd45ca6f801b0"/>
          </Part>
        </Part>
      </Part>
    </Part>
    <Part Type="straipsnis" Nr="4" Abbr="4 str." Title="59 straipsnio pakeitimas" DocPartId="3d788a308c3141829a4025d3d4ef9753" PartId="dcdede41584e4f0886f1bf5092bafae1">
      <Part Type="strDalis" Nr="1" Abbr="4 str. 1 d." DocPartId="daa388020000491e923de93411fd6142" PartId="6e5a2996da0841ca82e4e80ed5a70a99">
        <Part Type="citata" DocPartId="83bd13cbef864d76859bd0b00890a00f" PartId="5f6048609d664fbfb3aea832e524a1e6">
          <Part Type="strDalis" Nr="2" Abbr="2 d." DocPartId="ac3bdf0956924d9ea6cc5a446879d3f4" PartId="03ecdc7f0c7e45be900889a8e949bb37">
            <Part Type="strPunktas" Nr="1" Abbr="2 d. 1 p." DocPartId="c16d0fcc7fdd41908123efb41b2e8810" PartId="171baf061d6b40b1a53540bba07aaa45"/>
            <Part Type="strPunktas" Nr="2" Abbr="2 d. 2 p." DocPartId="72e9eb8e50894e849271d0ed917e7ec8" PartId="5b5afadbc4ae4caea1da0104f0fe8a97"/>
          </Part>
        </Part>
      </Part>
    </Part>
    <Part Type="straipsnis" Nr="5" Abbr="5 str." Title="Įstatymo įsigaliojimas ir įgyvendinimas" DocPartId="c75d425153194483bc9cc0de4887874a" PartId="eee994f83f134a69a620983f52134253">
      <Part Type="strDalis" Nr="1" Abbr="5 str. 1 d." DocPartId="02b29e37a15643d28ebe168cac58c0d3" PartId="66bbc80e50d040689079169b1e988c6b"/>
      <Part Type="strDalis" Nr="2" Abbr="5 str. 2 d." DocPartId="6cdae6640681463e81bdc9f7d2b24c89" PartId="bca4d2df4c4d4151b1cc34195758e74d"/>
      <Part Type="strDalis" Nr="3" Abbr="5 str. 3 d." DocPartId="37d940d1caf04e60b4526f993436269a" PartId="9334c07c9ada45a88bb151877e8e6179"/>
      <Part Type="strDalis" Nr="4" Abbr="5 str. 4 d." DocPartId="6f70d9083bc541189d96c5527a46815c" PartId="efde0ea7623d49ff94f0a4599b57f737"/>
      <Part Type="strDalis" Nr="5" Abbr="5 str. 5 d." DocPartId="c9878ee0642341f1abd001bb6ca4a34f" PartId="5aeb0fd1bb634c229fa32fc538374195"/>
    </Part>
    <Part Type="signatura" DocPartId="3baecf6e85604b07b77ec24380419db0" PartId="c40e71660e0d428db00ba3bc1cc74557"/>
  </Part>
</Parts>
</file>

<file path=customXml/itemProps1.xml><?xml version="1.0" encoding="utf-8"?>
<ds:datastoreItem xmlns:ds="http://schemas.openxmlformats.org/officeDocument/2006/customXml" ds:itemID="{B1E55AC1-6D82-4B9E-B9F7-140BBC1C37BE}">
  <ds:schemaRefs>
    <ds:schemaRef ds:uri="http://schemas.openxmlformats.org/officeDocument/2006/bibliography"/>
  </ds:schemaRefs>
</ds:datastoreItem>
</file>

<file path=customXml/itemProps2.xml><?xml version="1.0" encoding="utf-8"?>
<ds:datastoreItem xmlns:ds="http://schemas.openxmlformats.org/officeDocument/2006/customXml" ds:itemID="{4A67AA37-5EF2-42CA-AC00-41E166E038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3066</Words>
  <Characters>21892</Characters>
  <Application>Microsoft Office Word</Application>
  <DocSecurity>4</DocSecurity>
  <Lines>336</Lines>
  <Paragraphs>107</Paragraphs>
  <ScaleCrop>false</ScaleCrop>
  <HeadingPairs>
    <vt:vector size="2" baseType="variant">
      <vt:variant>
        <vt:lpstr>Pavadinimas</vt:lpstr>
      </vt:variant>
      <vt:variant>
        <vt:i4>1</vt:i4>
      </vt:variant>
    </vt:vector>
  </HeadingPairs>
  <TitlesOfParts>
    <vt:vector size="1" baseType="lpstr">
      <vt:lpstr>Sveikatos apsaugos ministras tvirtina bazines ir didžiausias mažmenines kompensuojamųjų vaistinių preparatų ir kompensuojamųjų medicinos pagalbos priemonių kainas</vt:lpstr>
    </vt:vector>
  </TitlesOfParts>
  <Company>Farmacijos departamentas prie SAM</Company>
  <LinksUpToDate>false</LinksUpToDate>
  <CharactersWithSpaces>24851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2022-04-22T05:48:00Z</dcterms:created>
  <dc:creator>vmeldziukaite</dc:creator>
  <lastModifiedBy>adlibuser</lastModifiedBy>
  <lastPrinted>2020-04-17T10:19:00Z</lastPrinted>
  <dcterms:modified xsi:type="dcterms:W3CDTF">2022-04-22T05:48:00Z</dcterms:modified>
  <revision>2</revision>
  <dc:title>Sveikatos apsaugos ministras tvirtina bazines ir didžiausias mažmenines kompensuojamųjų vaistinių preparatų ir kompensuojamųjų medicinos pagalbos priemonių kainas</dc:title>
</coreProperties>
</file>