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pacing w:line="360" w:lineRule="auto"/>
        <w:ind w:firstLine="567"/>
        <w:jc w:val="both"/>
        <w:rPr>
          <w:sz w:val="26"/>
          <w:lang w:val="en-GB"/>
        </w:rPr>
      </w:pPr>
    </w:p>
    <w:p>
      <w:pPr>
        <w:keepNext/>
        <w:spacing w:line="276" w:lineRule="auto"/>
        <w:jc w:val="right"/>
        <w:rPr>
          <w:b/>
        </w:rPr>
      </w:pPr>
      <w:r>
        <w:rPr>
          <w:b/>
        </w:rPr>
        <w:t>Projektas</w:t>
      </w:r>
    </w:p>
    <w:p>
      <w:pPr>
        <w:spacing w:line="276" w:lineRule="auto"/>
        <w:jc w:val="both"/>
        <w:rPr>
          <w:szCs w:val="24"/>
        </w:rPr>
      </w:pPr>
    </w:p>
    <w:p>
      <w:pPr>
        <w:keepNext/>
        <w:spacing w:line="276" w:lineRule="auto"/>
        <w:jc w:val="center"/>
        <w:rPr>
          <w:b/>
          <w:caps/>
        </w:rPr>
      </w:pPr>
      <w:r>
        <w:rPr>
          <w:b/>
          <w:caps/>
        </w:rPr>
        <w:t>PRIENŲ RAJONO savivaldybės TARYBA</w:t>
      </w:r>
    </w:p>
    <w:p>
      <w:pPr>
        <w:spacing w:line="276" w:lineRule="auto"/>
        <w:jc w:val="center"/>
        <w:rPr>
          <w:szCs w:val="24"/>
        </w:rPr>
      </w:pPr>
    </w:p>
    <w:p>
      <w:pPr>
        <w:keepNext/>
        <w:spacing w:line="276" w:lineRule="auto"/>
        <w:jc w:val="center"/>
        <w:rPr>
          <w:b/>
          <w:szCs w:val="24"/>
        </w:rPr>
      </w:pPr>
      <w:r>
        <w:rPr>
          <w:b/>
          <w:szCs w:val="24"/>
        </w:rPr>
        <w:t>SPRENDIMAS</w:t>
      </w:r>
    </w:p>
    <w:p>
      <w:pPr>
        <w:spacing w:line="276" w:lineRule="auto"/>
        <w:jc w:val="center"/>
        <w:rPr>
          <w:b/>
          <w:bCs/>
          <w:szCs w:val="24"/>
        </w:rPr>
      </w:pPr>
      <w:r>
        <w:rPr>
          <w:b/>
          <w:szCs w:val="24"/>
        </w:rPr>
        <w:t>DĖL PRIENŲ GLOBOS NAMŲ TEIKIAMŲ SOCIALINIŲ PASLAUGŲ KAINŲ PATVIRTINIMO</w:t>
      </w:r>
    </w:p>
    <w:p>
      <w:pPr>
        <w:spacing w:line="276" w:lineRule="auto"/>
        <w:jc w:val="center"/>
        <w:rPr>
          <w:b/>
          <w:bCs/>
          <w:szCs w:val="24"/>
        </w:rPr>
      </w:pPr>
    </w:p>
    <w:p>
      <w:pPr>
        <w:spacing w:line="276" w:lineRule="auto"/>
        <w:jc w:val="center"/>
        <w:rPr>
          <w:szCs w:val="24"/>
        </w:rPr>
      </w:pPr>
      <w:r>
        <w:rPr>
          <w:szCs w:val="24"/>
        </w:rPr>
        <w:t xml:space="preserve">2021 m. rugpjūčio        d. Nr. T1-</w:t>
      </w:r>
    </w:p>
    <w:p>
      <w:pPr>
        <w:spacing w:line="276" w:lineRule="auto"/>
        <w:jc w:val="center"/>
        <w:rPr>
          <w:szCs w:val="24"/>
        </w:rPr>
      </w:pPr>
      <w:r>
        <w:rPr>
          <w:szCs w:val="24"/>
        </w:rPr>
        <w:t>Prienai</w:t>
      </w:r>
    </w:p>
    <w:p>
      <w:pPr>
        <w:spacing w:line="276" w:lineRule="auto"/>
        <w:ind w:firstLine="851"/>
        <w:jc w:val="both"/>
        <w:rPr>
          <w:szCs w:val="24"/>
        </w:rPr>
      </w:pPr>
    </w:p>
    <w:p>
      <w:pPr>
        <w:spacing w:line="276" w:lineRule="auto"/>
        <w:ind w:firstLine="851"/>
        <w:jc w:val="both"/>
        <w:rPr>
          <w:szCs w:val="24"/>
        </w:rPr>
      </w:pPr>
      <w:r>
        <w:rPr>
          <w:szCs w:val="24"/>
        </w:rPr>
        <w:t xml:space="preserve">Vadovaudamasi Lietuvos Respublikos vietos savivaldos įstatymo 16 straipsnio 2 dalies 37 punktu, Lietuvos Respublikos Vyriausybės 2006 m. spalio 10 d. nutarimu Nr. 978 „Dėl Socialinių paslaugų finansavimo ir lėšų apskaičiavimo metodikos patvirtinimo“ patvirtinta Socialinių paslaugų finansavimo ir lėšų apskaičiavimo metodika, Lietuvos Respublikos socialinės apsaugos ir darbo ministro 2006 m. lapkričio 30 d. įsakymu Nr. A1-317 „Dėl Socialinę globą teikiančių darbuotojų darbo laiko sąnaudų normatyvų patvirtinimo“ patvirtintais Socialinę globą teikiančių darbuotojų darbo laiko sąnaudų normatyvais ir atsižvelgdama į Prienų globos namų 2021-08-05 raštą Nr. 01-271, Prienų rajono savivaldybės taryba </w:t>
      </w:r>
      <w:r>
        <w:rPr>
          <w:spacing w:val="100"/>
          <w:szCs w:val="24"/>
        </w:rPr>
        <w:t>nusprendži</w:t>
      </w:r>
      <w:r>
        <w:rPr>
          <w:szCs w:val="24"/>
        </w:rPr>
        <w:t>a:</w:t>
      </w:r>
    </w:p>
    <w:p>
      <w:pPr>
        <w:spacing w:line="276" w:lineRule="auto"/>
        <w:ind w:firstLine="851"/>
        <w:jc w:val="both"/>
        <w:rPr>
          <w:szCs w:val="24"/>
        </w:rPr>
      </w:pPr>
      <w:r>
        <w:rPr>
          <w:szCs w:val="24"/>
        </w:rPr>
        <w:t>1</w:t>
      </w:r>
      <w:r>
        <w:rPr>
          <w:szCs w:val="24"/>
        </w:rPr>
        <w:t xml:space="preserve">. Patvirtinti Prienų globos namų teikiamų socialinių paslaugų kainą: </w:t>
      </w:r>
    </w:p>
    <w:p>
      <w:pPr>
        <w:spacing w:line="276" w:lineRule="auto"/>
        <w:ind w:firstLine="851"/>
        <w:jc w:val="both"/>
        <w:rPr>
          <w:szCs w:val="24"/>
        </w:rPr>
      </w:pPr>
      <w:r>
        <w:rPr>
          <w:szCs w:val="24"/>
        </w:rPr>
        <w:t>1.1</w:t>
      </w:r>
      <w:r>
        <w:rPr>
          <w:szCs w:val="24"/>
        </w:rPr>
        <w:t>. suaugusiam asmeniui ar senyvo amžiaus asmeniui su sunkia negalia – 1000 Eur per mėn.;</w:t>
      </w:r>
    </w:p>
    <w:p>
      <w:pPr>
        <w:spacing w:line="276" w:lineRule="auto"/>
        <w:ind w:firstLine="851"/>
        <w:jc w:val="both"/>
        <w:rPr>
          <w:szCs w:val="24"/>
        </w:rPr>
      </w:pPr>
      <w:r>
        <w:rPr>
          <w:szCs w:val="24"/>
        </w:rPr>
        <w:t>1.2</w:t>
      </w:r>
      <w:r>
        <w:rPr>
          <w:szCs w:val="24"/>
        </w:rPr>
        <w:t>. suaugusiam asmeniui su negalia ar senyvo amžiaus asmeniui – 900 Eur per mėn.</w:t>
      </w:r>
    </w:p>
    <w:p>
      <w:pPr>
        <w:spacing w:line="276" w:lineRule="auto"/>
        <w:ind w:firstLine="851"/>
        <w:jc w:val="both"/>
        <w:rPr>
          <w:szCs w:val="24"/>
        </w:rPr>
      </w:pPr>
      <w:r>
        <w:rPr>
          <w:szCs w:val="24"/>
        </w:rPr>
        <w:t>2</w:t>
      </w:r>
      <w:r>
        <w:rPr>
          <w:szCs w:val="24"/>
        </w:rPr>
        <w:t xml:space="preserve">. Pripažinti netekusiu galios Prienų rajono savivaldybės tarybos 2020 m. lapkričio 26 d. sprendimo Nr. T3-291 „Dėl Prienų globos namų teikiamų paslaugų  kainų patvirtinimo“ 1 punktą.</w:t>
      </w:r>
    </w:p>
    <w:p>
      <w:pPr>
        <w:spacing w:line="276" w:lineRule="auto"/>
        <w:ind w:firstLine="851"/>
        <w:jc w:val="both"/>
        <w:rPr>
          <w:szCs w:val="24"/>
        </w:rPr>
      </w:pPr>
      <w:r>
        <w:rPr>
          <w:szCs w:val="24"/>
        </w:rPr>
        <w:t>3</w:t>
      </w:r>
      <w:r>
        <w:rPr>
          <w:szCs w:val="24"/>
        </w:rPr>
        <w:t>. Nustatyti, kad šis sprendimas įsigalioja 2021 m. spalio 1 d.</w:t>
        <w:tab/>
      </w:r>
    </w:p>
    <w:p>
      <w:pPr>
        <w:spacing w:line="276" w:lineRule="auto"/>
        <w:ind w:firstLine="851"/>
        <w:jc w:val="both"/>
        <w:rPr>
          <w:szCs w:val="24"/>
          <w:lang w:val="en-GB"/>
        </w:rPr>
      </w:pPr>
      <w:r>
        <w:rPr>
          <w:szCs w:val="24"/>
          <w:lang w:val="en-GB"/>
        </w:rPr>
        <w:t xml:space="preserve">Šis sprendimas </w:t>
      </w:r>
      <w:r>
        <w:rPr>
          <w:bCs/>
          <w:szCs w:val="24"/>
          <w:lang w:val="en-GB"/>
        </w:rPr>
        <w:t>per vieną mėnesį nuo jo paskelbimo ar įteikimo dienos gali būti skundžiamas Lietuvos Respublikos administracinių bylų teisenos įstatymo nustatyta tvarka Lietuvos Respublikos administracinių ginčų komisijos Kauno apygardos skyriui (</w:t>
      </w:r>
      <w:r>
        <w:rPr>
          <w:szCs w:val="24"/>
          <w:lang w:val="en-GB"/>
        </w:rPr>
        <w:t>Laisvės al. 36, Kaunas</w:t>
      </w:r>
      <w:r>
        <w:rPr>
          <w:bCs/>
          <w:szCs w:val="24"/>
          <w:lang w:val="en-GB"/>
        </w:rPr>
        <w:t>) arba Regionų apygardos administraciniam teismui bet kuriuose teismo rūmuose (Šiaulių rūmai, Dvaro g. 80, Šiauliai; Panevėžio rūmai,</w:t>
      </w:r>
      <w:r>
        <w:rPr>
          <w:szCs w:val="24"/>
          <w:lang w:val="en-GB"/>
        </w:rPr>
        <w:t xml:space="preserve"> </w:t>
      </w:r>
      <w:r>
        <w:rPr>
          <w:bCs/>
          <w:szCs w:val="24"/>
          <w:lang w:val="en-GB"/>
        </w:rPr>
        <w:t>Respublikos g. 62, Panevėžys; Klaipėdos rūmai,</w:t>
      </w:r>
      <w:r>
        <w:rPr>
          <w:szCs w:val="24"/>
          <w:lang w:val="en-GB"/>
        </w:rPr>
        <w:t xml:space="preserve"> </w:t>
      </w:r>
      <w:r>
        <w:rPr>
          <w:bCs/>
          <w:szCs w:val="24"/>
          <w:lang w:val="en-GB"/>
        </w:rPr>
        <w:t>Galinio Pylimo g. 9, Klaipėda; Kauno rūmai,</w:t>
      </w:r>
      <w:r>
        <w:rPr>
          <w:szCs w:val="24"/>
          <w:lang w:val="en-GB"/>
        </w:rPr>
        <w:t xml:space="preserve"> </w:t>
      </w:r>
      <w:r>
        <w:rPr>
          <w:bCs/>
          <w:szCs w:val="24"/>
          <w:lang w:val="en-GB"/>
        </w:rPr>
        <w:t>A. Mickevičiaus g. 8A, Kaunas).</w:t>
      </w:r>
    </w:p>
    <w:p>
      <w:pPr>
        <w:spacing w:line="276" w:lineRule="auto"/>
        <w:ind w:firstLine="851"/>
        <w:jc w:val="both"/>
        <w:rPr>
          <w:sz w:val="26"/>
          <w:lang w:val="en-GB"/>
        </w:rPr>
      </w:pPr>
    </w:p>
    <w:p>
      <w:pPr>
        <w:spacing w:line="276" w:lineRule="auto"/>
        <w:ind w:firstLine="851"/>
        <w:jc w:val="both"/>
        <w:rPr>
          <w:sz w:val="26"/>
          <w:lang w:val="en-GB"/>
        </w:rPr>
      </w:pPr>
    </w:p>
    <w:p>
      <w:pPr>
        <w:spacing w:line="276" w:lineRule="auto"/>
        <w:jc w:val="both"/>
        <w:rPr>
          <w:szCs w:val="24"/>
        </w:rPr>
      </w:pPr>
      <w:r>
        <w:rPr>
          <w:szCs w:val="24"/>
        </w:rPr>
        <w:t>Savivaldybės meras</w:t>
        <w:tab/>
        <w:tab/>
        <w:tab/>
        <w:tab/>
        <w:tab/>
        <w:t xml:space="preserve">    </w:t>
        <w:tab/>
      </w: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720"/>
        <w:jc w:val="both"/>
        <w:rPr>
          <w:szCs w:val="24"/>
          <w:lang w:val="en-GB"/>
        </w:rPr>
      </w:pPr>
      <w:r>
        <w:rPr>
          <w:szCs w:val="24"/>
          <w:lang w:val="en-GB"/>
        </w:rPr>
        <w:separator/>
      </w:r>
    </w:p>
  </w:endnote>
  <w:endnote w:type="continuationSeparator" w:id="0">
    <w:p>
      <w:pPr>
        <w:ind w:firstLine="720"/>
        <w:jc w:val="both"/>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line="360" w:lineRule="auto"/>
      <w:ind w:firstLine="720"/>
      <w:jc w:val="both"/>
      <w:rPr>
        <w:szCs w:val="24"/>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line="360" w:lineRule="auto"/>
      <w:ind w:firstLine="720"/>
      <w:jc w:val="both"/>
      <w:rPr>
        <w:szCs w:val="24"/>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line="360" w:lineRule="auto"/>
      <w:ind w:firstLine="720"/>
      <w:jc w:val="both"/>
      <w:rPr>
        <w:szCs w:val="24"/>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720"/>
        <w:jc w:val="both"/>
        <w:rPr>
          <w:szCs w:val="24"/>
          <w:lang w:val="en-GB"/>
        </w:rPr>
      </w:pPr>
      <w:r>
        <w:rPr>
          <w:szCs w:val="24"/>
          <w:lang w:val="en-GB"/>
        </w:rPr>
        <w:separator/>
      </w:r>
    </w:p>
  </w:footnote>
  <w:footnote w:type="continuationSeparator" w:id="0">
    <w:p>
      <w:pPr>
        <w:ind w:firstLine="720"/>
        <w:jc w:val="both"/>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360" w:lineRule="auto"/>
      <w:ind w:firstLine="567"/>
      <w:jc w:val="both"/>
      <w:rPr>
        <w:sz w:val="26"/>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360" w:lineRule="auto"/>
      <w:ind w:firstLine="567"/>
      <w:jc w:val="center"/>
      <w:rPr>
        <w:sz w:val="26"/>
        <w:lang w:val="en-GB"/>
      </w:rPr>
    </w:pPr>
    <w:r>
      <w:rPr>
        <w:sz w:val="26"/>
        <w:lang w:val="en-GB"/>
      </w:rPr>
      <w:t>2</w:t>
    </w:r>
  </w:p>
  <w:p>
    <w:pPr>
      <w:tabs>
        <w:tab w:val="center" w:pos="4153"/>
        <w:tab w:val="right" w:pos="8306"/>
      </w:tabs>
      <w:spacing w:line="360" w:lineRule="auto"/>
      <w:ind w:firstLine="567"/>
      <w:jc w:val="both"/>
      <w:rPr>
        <w:sz w:val="26"/>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360" w:lineRule="auto"/>
      <w:ind w:firstLine="567"/>
      <w:jc w:val="both"/>
      <w:rPr>
        <w:sz w:val="26"/>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53375651">
      <w:bodyDiv w:val="1"/>
      <w:marLeft w:val="0"/>
      <w:marRight w:val="0"/>
      <w:marTop w:val="0"/>
      <w:marBottom w:val="0"/>
      <w:divBdr>
        <w:top w:val="none" w:sz="0" w:space="0" w:color="auto"/>
        <w:left w:val="none" w:sz="0" w:space="0" w:color="auto"/>
        <w:bottom w:val="none" w:sz="0" w:space="0" w:color="auto"/>
        <w:right w:val="none" w:sz="0" w:space="0" w:color="auto"/>
      </w:divBdr>
    </w:div>
    <w:div w:id="12429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1679</Characters>
  <Application>Microsoft Office Word</Application>
  <DocSecurity>4</DocSecurity>
  <Lines>35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PRIENŲ RAJONO SAVIVALDYBĖS TARYBA</vt:lpstr>
      <vt:lpstr>PRIENŲ RAJONO SAVIVALDYBĖS TARYBA</vt:lpstr>
    </vt:vector>
  </TitlesOfParts>
  <Company/>
  <LinksUpToDate>false</LinksUpToDate>
  <CharactersWithSpaces>1921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2021-08-19T07:30:00Z</dcterms:created>
  <dc:creator>_</dc:creator>
  <lastModifiedBy>adlibuser</lastModifiedBy>
  <lastPrinted>2020-02-11T13:29:00Z</lastPrinted>
  <dcterms:modified xsi:type="dcterms:W3CDTF">2021-08-19T07:30:00Z</dcterms:modified>
  <revision>2</revision>
  <dc:title>PRIENŲ RAJONO SAVIVALDYBĖS TARYBA</dc:title>
</coreProperties>
</file>