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spacing w:line="360" w:lineRule="auto"/>
        <w:jc w:val="right"/>
        <w:outlineLvl w:val="1"/>
        <w:rPr>
          <w:bCs/>
        </w:rPr>
      </w:pPr>
    </w:p>
    <w:p>
      <w:pPr>
        <w:rPr>
          <w:sz w:val="20"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rPr>
          <w:sz w:val="20"/>
        </w:rPr>
      </w:pPr>
    </w:p>
    <w:p>
      <w:pPr>
        <w:keepNext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caps/>
        </w:rPr>
      </w:pPr>
      <w:r>
        <w:rPr>
          <w:b/>
          <w:caps/>
        </w:rPr>
        <w:t>DĖL prienų rajono savivaldybės turto perdavimo Prienų krašto muziejui</w:t>
      </w:r>
    </w:p>
    <w:p>
      <w:pPr>
        <w:spacing w:line="360" w:lineRule="auto"/>
        <w:jc w:val="center"/>
        <w:rPr>
          <w:b/>
          <w:caps/>
        </w:rPr>
      </w:pPr>
    </w:p>
    <w:p>
      <w:pPr>
        <w:spacing w:line="360" w:lineRule="auto"/>
        <w:jc w:val="center"/>
        <w:rPr>
          <w:bCs/>
        </w:rPr>
      </w:pPr>
      <w:r>
        <w:rPr>
          <w:bCs/>
          <w:caps/>
        </w:rPr>
        <w:t xml:space="preserve">2016 </w:t>
      </w:r>
      <w:r>
        <w:rPr>
          <w:bCs/>
        </w:rPr>
        <w:t>m. birželio 22</w:t>
      </w:r>
      <w:r>
        <w:rPr>
          <w:bCs/>
          <w:caps/>
        </w:rPr>
        <w:t xml:space="preserve"> </w:t>
      </w:r>
      <w:r>
        <w:rPr>
          <w:bCs/>
        </w:rPr>
        <w:t>d</w:t>
      </w:r>
      <w:r>
        <w:rPr>
          <w:bCs/>
          <w:caps/>
        </w:rPr>
        <w:t>. N</w:t>
      </w:r>
      <w:r>
        <w:rPr>
          <w:bCs/>
        </w:rPr>
        <w:t>r</w:t>
      </w:r>
      <w:r>
        <w:rPr>
          <w:bCs/>
          <w:caps/>
        </w:rPr>
        <w:t xml:space="preserve">. (1.3)-T1-172 </w:t>
      </w:r>
    </w:p>
    <w:p>
      <w:pPr>
        <w:keepNext/>
        <w:jc w:val="center"/>
        <w:outlineLvl w:val="5"/>
        <w:rPr>
          <w:caps/>
        </w:rPr>
      </w:pPr>
      <w:r>
        <w:t>Prienai</w:t>
      </w:r>
    </w:p>
    <w:p>
      <w:pPr>
        <w:rPr>
          <w:sz w:val="20"/>
        </w:rPr>
      </w:pPr>
    </w:p>
    <w:p>
      <w:pPr>
        <w:spacing w:line="360" w:lineRule="auto"/>
        <w:ind w:firstLine="1134"/>
        <w:jc w:val="both"/>
      </w:pPr>
    </w:p>
    <w:p>
      <w:pPr>
        <w:spacing w:line="360" w:lineRule="auto"/>
        <w:ind w:firstLine="1134"/>
        <w:jc w:val="both"/>
        <w:rPr>
          <w:spacing w:val="120"/>
        </w:rPr>
      </w:pPr>
      <w:r>
        <w:rPr>
          <w:szCs w:val="24"/>
        </w:rPr>
        <w:t xml:space="preserve">Vadovaudamasi Lietuvos Respublikos vietos savivaldos įstatymo 16 straipsnio 2 dalies 26 punktu, Lietuvos Respublikos valstybės ir savivaldybių turto valdymo, naudojimo ir disponavimo juo įstatymo 12 straipsnio 1, 2 dalimis ir atsižvelgdama į Prienų krašto muziejaus                    2016-06-16 raštą Nr. (1.10)-V5-__</w:t>
      </w:r>
      <w:r>
        <w:t xml:space="preserve">, Prienų rajono savivaldybės taryba </w:t>
      </w:r>
      <w:r>
        <w:rPr>
          <w:spacing w:val="120"/>
        </w:rPr>
        <w:t>nusprendžia:</w:t>
      </w:r>
    </w:p>
    <w:p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Perduoti Prienų krašto muziejui patikėjimo teise valdyti, naudoti ir disponuoti Prienų rajono savivaldybei nuosavybės teise priklausantį nekilnojamąjį turtą, esantį Kauno g. 19, Skriaudžių k., Veiverių sen., Prienų r. sav.: </w:t>
      </w:r>
    </w:p>
    <w:p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>
        <w:rPr>
          <w:bCs/>
          <w:szCs w:val="24"/>
        </w:rPr>
        <w:t>1.1</w:t>
      </w:r>
      <w:r>
        <w:rPr>
          <w:bCs/>
          <w:szCs w:val="24"/>
        </w:rPr>
        <w:t xml:space="preserve">. pastatą – muziejų </w:t>
      </w:r>
      <w:r>
        <w:rPr>
          <w:szCs w:val="24"/>
        </w:rPr>
        <w:t>(nekilnojamojo turto kadastro duomenų byloje pastatas pažymėtas plane 1C1m, pastato unikalus Nr. 6999-4002-9011, bendras plotas 58,24 kv. m, registro įrašo Nr. 20/184010);</w:t>
      </w:r>
    </w:p>
    <w:p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>
        <w:rPr>
          <w:bCs/>
          <w:szCs w:val="24"/>
        </w:rPr>
        <w:t>1.2</w:t>
      </w:r>
      <w:r>
        <w:rPr>
          <w:bCs/>
          <w:szCs w:val="24"/>
        </w:rPr>
        <w:t xml:space="preserve">. pastatą – muziejų </w:t>
      </w:r>
      <w:r>
        <w:rPr>
          <w:szCs w:val="24"/>
        </w:rPr>
        <w:t>(nekilnojamojo turto kadastro duomenų byloje pastatas pažymėtas plane 2C1m, pastato unikalus Nr. 6999-4002-9022, bendras plotas 90,11 kv. m, registro įrašo Nr. 20/184010);</w:t>
      </w:r>
    </w:p>
    <w:p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>
        <w:rPr>
          <w:bCs/>
          <w:szCs w:val="24"/>
        </w:rPr>
        <w:t>1.3</w:t>
      </w:r>
      <w:r>
        <w:rPr>
          <w:bCs/>
          <w:szCs w:val="24"/>
        </w:rPr>
        <w:t xml:space="preserve">. pastatą – muziejų </w:t>
      </w:r>
      <w:r>
        <w:rPr>
          <w:szCs w:val="24"/>
        </w:rPr>
        <w:t>(nekilnojamojo turto kadastro duomenų byloje pastatas pažymėtas plane 3C1m, pastato unikalus Nr. 6999-4002-9033, bendras plotas 25,82 kv. m, registro įrašo Nr. 20/184010);</w:t>
      </w:r>
    </w:p>
    <w:p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>
        <w:rPr>
          <w:bCs/>
          <w:szCs w:val="24"/>
        </w:rPr>
        <w:t>1.4</w:t>
      </w:r>
      <w:r>
        <w:rPr>
          <w:bCs/>
          <w:szCs w:val="24"/>
        </w:rPr>
        <w:t xml:space="preserve">. pastatą – muziejų </w:t>
      </w:r>
      <w:r>
        <w:rPr>
          <w:szCs w:val="24"/>
        </w:rPr>
        <w:t>(nekilnojamojo turto kadastro duomenų byloje pastatas pažymėtas plane 4C1m, pastato unikalus Nr. 6999-4002-9044, bendras plotas 9,36 kv. m, registro įrašo Nr. 20/184010);</w:t>
      </w:r>
    </w:p>
    <w:p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>
        <w:rPr>
          <w:bCs/>
          <w:szCs w:val="24"/>
        </w:rPr>
        <w:t>1.5</w:t>
      </w:r>
      <w:r>
        <w:rPr>
          <w:bCs/>
          <w:szCs w:val="24"/>
        </w:rPr>
        <w:t xml:space="preserve">. kitus inžinerinius statinius – kiemo statinius </w:t>
      </w:r>
      <w:r>
        <w:rPr>
          <w:szCs w:val="24"/>
        </w:rPr>
        <w:t>(unikalus Nr. 6999-4002-9055, registro įrašo Nr. 20/184010).</w:t>
      </w:r>
    </w:p>
    <w:p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Įgalioti Prienų rajono savivaldybės administracijos direktorių pasirašyti šio sprendimo 1 punkte nurodyto turto perdavimo ir priėmimo aktus.</w:t>
      </w:r>
    </w:p>
    <w:p>
      <w:pPr>
        <w:spacing w:line="360" w:lineRule="auto"/>
        <w:ind w:firstLine="1134"/>
        <w:jc w:val="both"/>
        <w:rPr>
          <w:bCs/>
          <w:szCs w:val="24"/>
        </w:rPr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  <w:tab/>
        <w:tab/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851" w:left="180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72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1606</Characters>
  <Application>Microsoft Office Word</Application>
  <DocSecurity>4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TRUMPALAIKĖS VAIKO GLOBOS IR PRIEŽIŪROS VŠĮ PRIENŲ LIGONINĖJE PROJEKTO PATVIRTINIMO</vt:lpstr>
    </vt:vector>
  </TitlesOfParts>
  <Company>Savivaldybė</Company>
  <LinksUpToDate>false</LinksUpToDate>
  <CharactersWithSpaces>1824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2016-06-23T07:51:00Z</dcterms:created>
  <dc:creator>Birutė</dc:creator>
  <lastModifiedBy>CLUSadmin</lastModifiedBy>
  <lastPrinted>2016-04-20T10:12:00Z</lastPrinted>
  <dcterms:modified xsi:type="dcterms:W3CDTF">2016-06-23T07:51:00Z</dcterms:modified>
  <revision>2</revision>
  <dc:title>DĖL TRUMPALAIKĖS VAIKO GLOBOS IR PRIEŽIŪROS VŠĮ PRIENŲ LIGONINĖJE PROJEKTO PATVIRTINIMO</dc:title>
</coreProperties>
</file>