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de9b11e770484c9a93f85425766e23"/>
        <w:lock w:val="sdtLocked"/>
        <w:richText/>
      </w:sdtPr>
      <w:sdtContent>
        <w:p w14:paraId="3D522EF6" w14:textId="77777777">
          <w:pPr>
            <w:suppressAutoHyphens/>
            <w:jc w:val="right"/>
            <w:rPr>
              <w:b/>
              <w:szCs w:val="24"/>
            </w:rPr>
          </w:pPr>
        </w:p>
        <w:p w14:paraId="14E05824" w14:textId="77777777">
          <w:pPr>
            <w:suppressAutoHyphens/>
            <w:jc w:val="right"/>
            <w:rPr>
              <w:b/>
              <w:szCs w:val="24"/>
            </w:rPr>
          </w:pPr>
          <w:r>
            <w:rPr>
              <w:b/>
              <w:szCs w:val="24"/>
            </w:rPr>
            <w:t>Projektas</w:t>
          </w:r>
        </w:p>
        <w:p w14:paraId="06C3D600" w14:textId="4C2B5F1B">
          <w:pPr>
            <w:keepNext/>
            <w:widowControl w:val="0"/>
            <w:tabs>
              <w:tab w:val="left" w:pos="0"/>
            </w:tabs>
            <w:suppressAutoHyphens/>
            <w:jc w:val="center"/>
            <w:rPr>
              <w:b/>
              <w:szCs w:val="24"/>
              <w:lang w:eastAsia="ar-SA"/>
            </w:rPr>
          </w:pPr>
        </w:p>
        <w:p w14:paraId="06C3D601" w14:textId="77777777">
          <w:pPr>
            <w:keepNext/>
            <w:widowControl w:val="0"/>
            <w:tabs>
              <w:tab w:val="left" w:pos="0"/>
            </w:tabs>
            <w:suppressAutoHyphens/>
            <w:jc w:val="center"/>
            <w:rPr>
              <w:b/>
              <w:szCs w:val="24"/>
              <w:lang w:eastAsia="ar-SA"/>
            </w:rPr>
          </w:pPr>
          <w:r>
            <w:rPr>
              <w:b/>
              <w:szCs w:val="24"/>
              <w:lang w:eastAsia="ar-SA"/>
            </w:rPr>
            <w:t>ŠIAULIŲ MIESTO SAVIVALDYBĖS TARYBA</w:t>
          </w:r>
        </w:p>
        <w:p w14:paraId="5EDF3DB2" w14:textId="77777777">
          <w:pPr>
            <w:widowControl w:val="0"/>
            <w:suppressAutoHyphens/>
            <w:jc w:val="center"/>
            <w:rPr>
              <w:rFonts w:eastAsia="Lucida Sans Unicode"/>
              <w:b/>
              <w:szCs w:val="24"/>
              <w:shd w:val="clear" w:color="auto" w:fill="FFFFFF"/>
              <w:lang w:eastAsia="ar-SA"/>
            </w:rPr>
          </w:pPr>
        </w:p>
        <w:p w14:paraId="0BF4DD2E" w14:textId="2558E894">
          <w:pPr>
            <w:widowControl w:val="0"/>
            <w:suppressAutoHyphens/>
            <w:jc w:val="center"/>
            <w:rPr>
              <w:rFonts w:eastAsia="Lucida Sans Unicode"/>
              <w:b/>
              <w:szCs w:val="24"/>
              <w:shd w:val="clear" w:color="auto" w:fill="FFFFFF"/>
              <w:lang w:eastAsia="ar-SA"/>
            </w:rPr>
          </w:pPr>
          <w:r>
            <w:rPr>
              <w:rFonts w:eastAsia="Lucida Sans Unicode"/>
              <w:b/>
              <w:szCs w:val="24"/>
              <w:shd w:val="clear" w:color="auto" w:fill="FFFFFF"/>
              <w:lang w:eastAsia="ar-SA"/>
            </w:rPr>
            <w:t>SPRENDIMAS</w:t>
          </w:r>
        </w:p>
        <w:p w14:paraId="4BD5EB9A" w14:textId="354EBDE4">
          <w:pPr>
            <w:widowControl w:val="0"/>
            <w:suppressAutoHyphens/>
            <w:jc w:val="center"/>
            <w:rPr>
              <w:b/>
              <w:bCs/>
              <w:caps/>
              <w:szCs w:val="24"/>
              <w:lang w:eastAsia="ar-SA"/>
            </w:rPr>
          </w:pPr>
          <w:r>
            <w:rPr>
              <w:b/>
              <w:bCs/>
              <w:caps/>
              <w:szCs w:val="24"/>
              <w:lang w:eastAsia="ar-SA"/>
            </w:rPr>
            <w:t>DĖL ŠiAULIŲ MIESTO SAVIVALDYBĖS TARYBOS 2022 M. BALANDŽIO 7 D. SPRENDIMO nR. t-103 „DĖL bendruomenės iniciatyvų, skirtų gyvenamajai aplinkai gerinti, projektų idėjų atrankos ir finansavimo tvarkos aprašo</w:t>
          </w:r>
        </w:p>
        <w:p w14:paraId="68BC4E22" w14:textId="77777777">
          <w:pPr>
            <w:widowControl w:val="0"/>
            <w:suppressAutoHyphens/>
            <w:jc w:val="center"/>
            <w:rPr>
              <w:b/>
              <w:bCs/>
              <w:szCs w:val="24"/>
              <w:lang w:eastAsia="ar-SA"/>
            </w:rPr>
          </w:pPr>
          <w:r>
            <w:rPr>
              <w:b/>
              <w:bCs/>
              <w:caps/>
              <w:szCs w:val="24"/>
              <w:lang w:eastAsia="ar-SA"/>
            </w:rPr>
            <w:t>PATVIRTINIMO“ PAKEITIMO</w:t>
          </w:r>
        </w:p>
        <w:p w14:paraId="27D56D0F" w14:textId="77777777">
          <w:pPr>
            <w:suppressAutoHyphens/>
            <w:jc w:val="both"/>
            <w:rPr>
              <w:rFonts w:eastAsia="Arial Unicode MS"/>
              <w:szCs w:val="24"/>
              <w:lang w:eastAsia="ar-SA"/>
            </w:rPr>
          </w:pPr>
        </w:p>
        <w:p w14:paraId="3A7A1068" w14:textId="77777777">
          <w:pPr>
            <w:suppressAutoHyphens/>
            <w:jc w:val="both"/>
            <w:rPr>
              <w:rFonts w:eastAsia="Arial Unicode MS"/>
              <w:szCs w:val="24"/>
              <w:lang w:eastAsia="ar-SA"/>
            </w:rPr>
          </w:pPr>
        </w:p>
        <w:p w14:paraId="318427B8" w14:textId="62C79329">
          <w:pPr>
            <w:widowControl w:val="0"/>
            <w:tabs>
              <w:tab w:val="center" w:pos="4986"/>
              <w:tab w:val="left" w:pos="6913"/>
            </w:tabs>
            <w:suppressAutoHyphens/>
            <w:ind w:firstLine="3410"/>
            <w:rPr>
              <w:rFonts w:eastAsia="Lucida Sans Unicode"/>
              <w:szCs w:val="24"/>
              <w:shd w:val="clear" w:color="auto" w:fill="FFFFFF"/>
              <w:lang w:eastAsia="ar-SA"/>
            </w:rPr>
          </w:pPr>
          <w:r>
            <w:rPr>
              <w:rFonts w:eastAsia="Lucida Sans Unicode"/>
              <w:szCs w:val="24"/>
              <w:shd w:val="clear" w:color="auto" w:fill="FFFFFF"/>
              <w:lang w:eastAsia="ar-SA"/>
            </w:rPr>
            <w:t xml:space="preserve">2024 m.                        d. Nr. </w:t>
          </w:r>
        </w:p>
        <w:p w14:paraId="35F48A46" w14:textId="77777777">
          <w:pPr>
            <w:widowControl w:val="0"/>
            <w:suppressAutoHyphens/>
            <w:jc w:val="center"/>
            <w:rPr>
              <w:rFonts w:eastAsia="Lucida Sans Unicode"/>
              <w:szCs w:val="24"/>
              <w:shd w:val="clear" w:color="auto" w:fill="FFFFFF"/>
              <w:lang w:eastAsia="ar-SA"/>
            </w:rPr>
          </w:pPr>
          <w:r>
            <w:rPr>
              <w:rFonts w:eastAsia="Lucida Sans Unicode"/>
              <w:szCs w:val="24"/>
              <w:shd w:val="clear" w:color="auto" w:fill="FFFFFF"/>
              <w:lang w:eastAsia="ar-SA"/>
            </w:rPr>
            <w:t>Šiauliai</w:t>
          </w:r>
        </w:p>
        <w:p w14:paraId="716C7484" w14:textId="23D1E4E3">
          <w:pPr>
            <w:suppressAutoHyphens/>
            <w:ind w:firstLine="1440"/>
            <w:jc w:val="both"/>
            <w:rPr>
              <w:rFonts w:eastAsia="Arial Unicode MS"/>
              <w:szCs w:val="24"/>
              <w:lang w:eastAsia="ar-SA"/>
            </w:rPr>
          </w:pPr>
          <w:r>
            <w:rPr>
              <w:rFonts w:eastAsia="Arial Unicode MS"/>
              <w:szCs w:val="24"/>
              <w:lang w:eastAsia="ar-SA"/>
            </w:rPr>
            <w:t>Vadovaudamasi Lietuvos Respublikos vietos savivaldos įstatymo 16 straipsnio 1 dalimi,</w:t>
          </w:r>
          <w:r>
            <w:rPr>
              <w:rFonts w:eastAsia="Arial Unicode MS"/>
              <w:color w:val="000000"/>
              <w:szCs w:val="24"/>
              <w:lang w:eastAsia="ar-SA"/>
            </w:rPr>
            <w:t>atsižvelgdama į Bendruomenės iniciatyvų, skirtų gyvenamajai aplinkai gerinti darbo grupės 2024 m. gruodžio 4 d. protokolą Nr. VT-112,</w:t>
          </w:r>
          <w:r>
            <w:rPr>
              <w:rFonts w:eastAsia="Arial Unicode MS"/>
              <w:szCs w:val="24"/>
              <w:lang w:eastAsia="ar-SA"/>
            </w:rPr>
            <w:t xml:space="preserve"> Šiaulių miesto savivaldybės taryba</w:t>
          </w:r>
          <w:r>
            <w:rPr>
              <w:rFonts w:eastAsia="Arial Unicode MS"/>
              <w:spacing w:val="40"/>
              <w:szCs w:val="24"/>
              <w:lang w:eastAsia="ar-SA"/>
            </w:rPr>
            <w:t xml:space="preserve"> nusprendžia</w:t>
          </w:r>
          <w:r>
            <w:rPr>
              <w:rFonts w:eastAsia="Arial Unicode MS"/>
              <w:szCs w:val="24"/>
              <w:lang w:eastAsia="ar-SA"/>
            </w:rPr>
            <w:t>:</w:t>
          </w:r>
        </w:p>
        <w:sdt>
          <w:sdtPr>
            <w:alias w:val="preambule"/>
            <w:tag w:val="part_41179641f9b04bdfab8ffc5c45fb839a"/>
            <w:lock w:val="sdtLocked"/>
            <w:richText/>
          </w:sdtPr>
          <w:sdtContent>
            <w:p w14:paraId="4E399D0E" w14:textId="72A43840">
              <w:pPr>
                <w:tabs>
                  <w:tab w:val="left" w:pos="851"/>
                  <w:tab w:val="left" w:pos="993"/>
                </w:tabs>
                <w:ind w:firstLine="913"/>
                <w:jc w:val="both"/>
                <w:rPr>
                  <w:color w:val="000000"/>
                </w:rPr>
              </w:pPr>
              <w:r>
                <w:rPr>
                  <w:rFonts w:eastAsia="Arial Unicode MS"/>
                  <w:szCs w:val="24"/>
                  <w:lang w:eastAsia="ar-SA"/>
                </w:rPr>
                <w:t xml:space="preserve">Pakeisti </w:t>
              </w:r>
              <w:r>
                <w:rPr>
                  <w:color w:val="000000"/>
                </w:rPr>
                <w:t xml:space="preserve">Šiaulių miesto bendruomenės iniciatyvų, skirtų gyvenamajai aplinkai gerinti, projektų idėjų atrankos ir finansavimo tvarkos aprašą, </w:t>
              </w:r>
              <w:r>
                <w:rPr>
                  <w:rFonts w:eastAsia="Arial Unicode MS"/>
                  <w:szCs w:val="24"/>
                  <w:lang w:eastAsia="ar-SA"/>
                </w:rPr>
                <w:t>patvirtintą Šiaulių miesto savivaldybės tarybos 2022 m. balandžio 7 d. sprendimo Nr. T-103 „Dėl Bendruomenės iniciatyvų, skirtų gyvenamajai aplinkai gerinti, projektų idėjų atrankos ir finansavimo tvarkos aprašo patvirtinimo“ 1 punktu</w:t>
              </w:r>
              <w:r>
                <w:rPr>
                  <w:color w:val="000000"/>
                </w:rPr>
                <w:t>:</w:t>
              </w:r>
            </w:p>
          </w:sdtContent>
        </w:sdt>
        <w:sdt>
          <w:sdtPr>
            <w:alias w:val="1 p."/>
            <w:tag w:val="part_8e9aa5b4b33a4ddf87b947a7b937c862"/>
            <w:lock w:val="sdtLocked"/>
            <w:richText/>
          </w:sdtPr>
          <w:sdtContent>
            <w:p w14:paraId="4E1ED54D" w14:textId="72702C78">
              <w:pPr>
                <w:tabs>
                  <w:tab w:val="left" w:pos="851"/>
                  <w:tab w:val="left" w:pos="993"/>
                </w:tabs>
                <w:ind w:firstLine="851"/>
                <w:jc w:val="both"/>
                <w:rPr>
                  <w:rFonts w:eastAsia="Arial Unicode MS"/>
                  <w:szCs w:val="24"/>
                  <w:lang w:eastAsia="ar-SA"/>
                </w:rPr>
              </w:pPr>
              <w:sdt>
                <w:sdtPr>
                  <w:alias w:val="Numeris"/>
                  <w:tag w:val="nr_8e9aa5b4b33a4ddf87b947a7b937c862"/>
                  <w:lock w:val="sdtLocked"/>
                  <w:richText/>
                </w:sdtPr>
                <w:sdtContent>
                  <w:r>
                    <w:rPr>
                      <w:rFonts w:eastAsia="Arial Unicode MS"/>
                      <w:szCs w:val="24"/>
                      <w:lang w:eastAsia="ar-SA"/>
                    </w:rPr>
                    <w:t>1</w:t>
                  </w:r>
                </w:sdtContent>
              </w:sdt>
              <w:r>
                <w:rPr>
                  <w:rFonts w:eastAsia="Arial Unicode MS"/>
                  <w:szCs w:val="24"/>
                  <w:lang w:eastAsia="ar-SA"/>
                </w:rPr>
                <w:t>. Pakeisti 55 punktą ir jį išdėstyti taip:</w:t>
              </w:r>
            </w:p>
            <w:sdt>
              <w:sdtPr>
                <w:alias w:val="citata"/>
                <w:tag w:val="part_c276fb48631f416ea3a793ed7fb390d9"/>
                <w:lock w:val="sdtLocked"/>
                <w:richText/>
              </w:sdtPr>
              <w:sdtContent>
                <w:sdt>
                  <w:sdtPr>
                    <w:alias w:val="55 p."/>
                    <w:tag w:val="part_28049b0f32d046ce9bc15025613f69a9"/>
                    <w:lock w:val="sdtLocked"/>
                    <w:richText/>
                  </w:sdtPr>
                  <w:sdtContent>
                    <w:p w14:paraId="251C84EC" w14:textId="5466EA9C">
                      <w:pPr>
                        <w:tabs>
                          <w:tab w:val="left" w:pos="851"/>
                          <w:tab w:val="left" w:pos="993"/>
                        </w:tabs>
                        <w:ind w:firstLine="913"/>
                        <w:jc w:val="both"/>
                        <w:rPr>
                          <w:lang w:eastAsia="lt-LT"/>
                        </w:rPr>
                      </w:pPr>
                      <w:r>
                        <w:rPr>
                          <w:rFonts w:eastAsia="Arial Unicode MS"/>
                        </w:rPr>
                        <w:t>„</w:t>
                      </w:r>
                      <w:sdt>
                        <w:sdtPr>
                          <w:alias w:val="Numeris"/>
                          <w:tag w:val="nr_28049b0f32d046ce9bc15025613f69a9"/>
                          <w:lock w:val="sdtLocked"/>
                          <w:richText/>
                        </w:sdtPr>
                        <w:sdtContent>
                          <w:r>
                            <w:rPr>
                              <w:rFonts w:eastAsia="Arial Unicode MS"/>
                            </w:rPr>
                            <w:t>55</w:t>
                          </w:r>
                        </w:sdtContent>
                      </w:sdt>
                      <w:r>
                        <w:rPr>
                          <w:rFonts w:eastAsia="Arial Unicode MS"/>
                        </w:rPr>
                        <w:t>.</w:t>
                      </w:r>
                      <w:r>
                        <w:rPr>
                          <w:bCs/>
                          <w:lang w:eastAsia="lt-LT"/>
                        </w:rPr>
                        <w:t xml:space="preserve"> Projektai įgyvendinami visos apimties. </w:t>
                      </w:r>
                      <w:r>
                        <w:rPr>
                          <w:lang w:eastAsia="lt-LT"/>
                        </w:rPr>
                        <w:t>Jeigu projektui įgyvendinti nepakanka lėšų, projekto koordinatorius turi teisę kreiptis į Šiaulių miesto savivaldybės Strateginio planavimo darbo grupę dėl papildomų lėšų skyrimo, kurios negali viršyti daugiau kaip 15 procentų projekto vertės.“</w:t>
                      </w:r>
                    </w:p>
                  </w:sdtContent>
                </w:sdt>
              </w:sdtContent>
            </w:sdt>
          </w:sdtContent>
        </w:sdt>
        <w:sdt>
          <w:sdtPr>
            <w:alias w:val="2 p."/>
            <w:tag w:val="part_c2c588448a8941d1bd1cd11e30dc028f"/>
            <w:lock w:val="sdtLocked"/>
            <w:richText/>
          </w:sdtPr>
          <w:sdtContent>
            <w:p w14:paraId="7F7B2F3C" w14:textId="554149A1">
              <w:pPr>
                <w:tabs>
                  <w:tab w:val="left" w:pos="851"/>
                  <w:tab w:val="left" w:pos="993"/>
                </w:tabs>
                <w:ind w:firstLine="851"/>
                <w:jc w:val="both"/>
                <w:rPr>
                  <w:rFonts w:eastAsia="Arial Unicode MS"/>
                  <w:szCs w:val="24"/>
                  <w:lang w:eastAsia="ar-SA"/>
                </w:rPr>
              </w:pPr>
              <w:sdt>
                <w:sdtPr>
                  <w:alias w:val="Numeris"/>
                  <w:tag w:val="nr_c2c588448a8941d1bd1cd11e30dc028f"/>
                  <w:lock w:val="sdtLocked"/>
                  <w:richText/>
                </w:sdtPr>
                <w:sdtContent>
                  <w:r>
                    <w:rPr>
                      <w:lang w:eastAsia="lt-LT"/>
                    </w:rPr>
                    <w:t>2</w:t>
                  </w:r>
                </w:sdtContent>
              </w:sdt>
              <w:r>
                <w:rPr>
                  <w:lang w:eastAsia="lt-LT"/>
                </w:rPr>
                <w:t xml:space="preserve">. </w:t>
              </w:r>
              <w:r>
                <w:rPr>
                  <w:rFonts w:eastAsia="Arial Unicode MS"/>
                  <w:szCs w:val="24"/>
                  <w:lang w:eastAsia="ar-SA"/>
                </w:rPr>
                <w:t>Papildyti 4.8</w:t>
              </w:r>
              <w:r>
                <w:rPr>
                  <w:rFonts w:eastAsia="Arial Unicode MS"/>
                  <w:color w:val="FF0000"/>
                  <w:szCs w:val="24"/>
                  <w:lang w:eastAsia="ar-SA"/>
                </w:rPr>
                <w:t xml:space="preserve"> </w:t>
              </w:r>
              <w:r>
                <w:rPr>
                  <w:rFonts w:eastAsia="Arial Unicode MS"/>
                  <w:szCs w:val="24"/>
                  <w:lang w:eastAsia="ar-SA"/>
                </w:rPr>
                <w:t>papunkčiu :</w:t>
              </w:r>
            </w:p>
            <w:sdt>
              <w:sdtPr>
                <w:alias w:val="citata"/>
                <w:tag w:val="part_f2b68823dd94483cac522b5f940c88cb"/>
                <w:lock w:val="sdtLocked"/>
                <w:richText/>
              </w:sdtPr>
              <w:sdtContent>
                <w:sdt>
                  <w:sdtPr>
                    <w:alias w:val="4.8 pp."/>
                    <w:tag w:val="part_9d055be835da498b99bf253fb1053260"/>
                    <w:lock w:val="sdtLocked"/>
                    <w:richText/>
                  </w:sdtPr>
                  <w:sdtContent>
                    <w:p w14:paraId="37BD4244" w14:textId="16DA4ABF">
                      <w:pPr>
                        <w:tabs>
                          <w:tab w:val="left" w:pos="851"/>
                          <w:tab w:val="left" w:pos="993"/>
                        </w:tabs>
                        <w:ind w:firstLine="851"/>
                        <w:jc w:val="both"/>
                        <w:rPr>
                          <w:bCs/>
                          <w:lang w:eastAsia="lt-LT"/>
                        </w:rPr>
                      </w:pPr>
                      <w:r>
                        <w:rPr>
                          <w:rFonts w:eastAsia="Arial Unicode MS"/>
                          <w:szCs w:val="24"/>
                          <w:lang w:eastAsia="ar-SA"/>
                        </w:rPr>
                        <w:t>„</w:t>
                      </w:r>
                      <w:sdt>
                        <w:sdtPr>
                          <w:alias w:val="Numeris"/>
                          <w:tag w:val="nr_9d055be835da498b99bf253fb1053260"/>
                          <w:lock w:val="sdtLocked"/>
                          <w:richText/>
                        </w:sdtPr>
                        <w:sdtContent>
                          <w:r>
                            <w:rPr>
                              <w:rFonts w:eastAsia="Arial Unicode MS"/>
                              <w:szCs w:val="24"/>
                              <w:lang w:eastAsia="ar-SA"/>
                            </w:rPr>
                            <w:t>4.8</w:t>
                          </w:r>
                        </w:sdtContent>
                      </w:sdt>
                      <w:r>
                        <w:rPr>
                          <w:rFonts w:eastAsia="Arial Unicode MS"/>
                          <w:szCs w:val="24"/>
                          <w:lang w:eastAsia="ar-SA"/>
                        </w:rPr>
                        <w:t>.</w:t>
                      </w:r>
                      <w:r>
                        <w:rPr>
                          <w:bCs/>
                          <w:lang w:eastAsia="lt-LT"/>
                        </w:rPr>
                        <w:t xml:space="preserve"> Projekto įgyvendinimo teritorija – Lietuvos Respublikos vyriausiosios rinkimų komisijos patvirtintos rinkimų apylinkės.“</w:t>
                      </w:r>
                    </w:p>
                  </w:sdtContent>
                </w:sdt>
              </w:sdtContent>
            </w:sdt>
          </w:sdtContent>
        </w:sdt>
        <w:sdt>
          <w:sdtPr>
            <w:alias w:val="3 p."/>
            <w:tag w:val="part_b2ff53c85d05431c8ffa5f2a6c88e0cf"/>
            <w:lock w:val="sdtLocked"/>
            <w:richText/>
          </w:sdtPr>
          <w:sdtContent>
            <w:p w14:paraId="75E56F3F" w14:textId="4C5D600B">
              <w:pPr>
                <w:tabs>
                  <w:tab w:val="left" w:pos="851"/>
                  <w:tab w:val="left" w:pos="993"/>
                </w:tabs>
                <w:ind w:firstLine="851"/>
                <w:jc w:val="both"/>
                <w:rPr>
                  <w:bCs/>
                  <w:lang w:eastAsia="lt-LT"/>
                </w:rPr>
              </w:pPr>
              <w:sdt>
                <w:sdtPr>
                  <w:alias w:val="Numeris"/>
                  <w:tag w:val="nr_b2ff53c85d05431c8ffa5f2a6c88e0cf"/>
                  <w:lock w:val="sdtLocked"/>
                  <w:richText/>
                </w:sdtPr>
                <w:sdtContent>
                  <w:r>
                    <w:rPr>
                      <w:bCs/>
                      <w:lang w:eastAsia="lt-LT"/>
                    </w:rPr>
                    <w:t>3</w:t>
                  </w:r>
                </w:sdtContent>
              </w:sdt>
              <w:r>
                <w:rPr>
                  <w:bCs/>
                  <w:lang w:eastAsia="lt-LT"/>
                </w:rPr>
                <w:t>. Papildyti 16.5 papunkčiu:</w:t>
              </w:r>
            </w:p>
            <w:sdt>
              <w:sdtPr>
                <w:alias w:val="citata"/>
                <w:tag w:val="part_6dd239427c6642d88ae0e99fd6fcbb1d"/>
                <w:lock w:val="sdtLocked"/>
                <w:richText/>
              </w:sdtPr>
              <w:sdtContent>
                <w:sdt>
                  <w:sdtPr>
                    <w:alias w:val="16.5 pp."/>
                    <w:tag w:val="part_797daae92c7a4cb9aa55db90e07dab04"/>
                    <w:lock w:val="sdtLocked"/>
                    <w:richText/>
                  </w:sdtPr>
                  <w:sdtContent>
                    <w:p w14:paraId="72A3EBE3" w14:textId="5EB1A0E1">
                      <w:pPr>
                        <w:tabs>
                          <w:tab w:val="left" w:pos="851"/>
                          <w:tab w:val="left" w:pos="993"/>
                        </w:tabs>
                        <w:ind w:firstLine="851"/>
                        <w:jc w:val="both"/>
                        <w:rPr>
                          <w:bCs/>
                          <w:lang w:eastAsia="lt-LT"/>
                        </w:rPr>
                      </w:pPr>
                      <w:r>
                        <w:rPr>
                          <w:rFonts w:eastAsia="Arial Unicode MS"/>
                          <w:szCs w:val="24"/>
                          <w:lang w:eastAsia="ar-SA"/>
                        </w:rPr>
                        <w:t>„</w:t>
                      </w:r>
                      <w:sdt>
                        <w:sdtPr>
                          <w:alias w:val="Numeris"/>
                          <w:tag w:val="nr_797daae92c7a4cb9aa55db90e07dab04"/>
                          <w:lock w:val="sdtLocked"/>
                          <w:richText/>
                        </w:sdtPr>
                        <w:sdtContent>
                          <w:r>
                            <w:rPr>
                              <w:rFonts w:eastAsia="Arial Unicode MS"/>
                              <w:szCs w:val="24"/>
                              <w:lang w:eastAsia="ar-SA"/>
                            </w:rPr>
                            <w:t>16.5</w:t>
                          </w:r>
                        </w:sdtContent>
                      </w:sdt>
                      <w:r>
                        <w:rPr>
                          <w:rFonts w:eastAsia="Arial Unicode MS"/>
                          <w:szCs w:val="24"/>
                          <w:lang w:eastAsia="ar-SA"/>
                        </w:rPr>
                        <w:t>.</w:t>
                      </w:r>
                      <w:r>
                        <w:rPr>
                          <w:bCs/>
                          <w:lang w:eastAsia="lt-LT"/>
                        </w:rPr>
                        <w:t xml:space="preserve"> negali būti teikiami Pasiūlymai, kurių įgyvendinimo vieta yra teritorijoje, kurioje per pastaruosius vienus metus nugalėtoju buvo pripažintas mažos apimties projektas ir (arba) per pastaruosius dvejus metus nugalėtoju buvo pripažintas didelės apimties projektas.“</w:t>
                      </w:r>
                    </w:p>
                    <w:p w14:paraId="159D64B8" w14:textId="77777777">
                      <w:pPr>
                        <w:suppressAutoHyphens/>
                        <w:jc w:val="both"/>
                        <w:rPr>
                          <w:rFonts w:eastAsia="Arial Unicode MS"/>
                          <w:szCs w:val="24"/>
                          <w:lang w:eastAsia="ar-SA"/>
                        </w:rPr>
                      </w:pPr>
                    </w:p>
                    <w:p w14:paraId="12B998E0" w14:textId="77777777">
                      <w:pPr>
                        <w:suppressAutoHyphens/>
                        <w:jc w:val="center"/>
                        <w:rPr>
                          <w:b/>
                          <w:szCs w:val="24"/>
                        </w:rPr>
                      </w:pPr>
                    </w:p>
                    <w:p w14:paraId="7D34E423" w14:textId="1408AF3B">
                      <w:pPr>
                        <w:suppressAutoHyphens/>
                        <w:ind w:firstLine="720"/>
                        <w:jc w:val="both"/>
                        <w:rPr>
                          <w:szCs w:val="24"/>
                        </w:rPr>
                      </w:pPr>
                    </w:p>
                    <w:p w14:paraId="522DA70E" w14:textId="77777777">
                      <w:pPr>
                        <w:widowControl w:val="0"/>
                        <w:suppressAutoHyphens/>
                        <w:ind w:right="45"/>
                        <w:jc w:val="both"/>
                        <w:rPr>
                          <w:rFonts w:eastAsia="Lucida Sans Unicode"/>
                          <w:color w:val="000000"/>
                          <w:shd w:val="clear" w:color="auto" w:fill="FFFFFF"/>
                          <w:lang w:eastAsia="ar-SA"/>
                        </w:rPr>
                      </w:pPr>
                    </w:p>
                    <w:p w14:paraId="3C6EB77A" w14:textId="77777777">
                      <w:pPr>
                        <w:widowControl w:val="0"/>
                        <w:suppressAutoHyphens/>
                        <w:ind w:right="45"/>
                        <w:jc w:val="both"/>
                        <w:rPr>
                          <w:rFonts w:eastAsia="Lucida Sans Unicode"/>
                          <w:color w:val="000000"/>
                          <w:shd w:val="clear" w:color="auto" w:fill="FFFFFF"/>
                          <w:lang w:eastAsia="ar-SA"/>
                        </w:rPr>
                      </w:pPr>
                    </w:p>
                    <w:p w14:paraId="4BE491AC" w14:textId="77777777">
                      <w:pPr>
                        <w:suppressAutoHyphens/>
                        <w:jc w:val="both"/>
                        <w:rPr>
                          <w:rFonts w:cs="Calibri"/>
                          <w:szCs w:val="24"/>
                          <w:lang w:eastAsia="ar-SA"/>
                        </w:rPr>
                      </w:pPr>
                    </w:p>
                    <w:p w14:paraId="1AB54E86" w14:textId="77777777">
                      <w:pPr>
                        <w:tabs>
                          <w:tab w:val="left" w:pos="0"/>
                        </w:tabs>
                        <w:suppressAutoHyphens/>
                        <w:jc w:val="both"/>
                        <w:rPr>
                          <w:szCs w:val="24"/>
                          <w:lang w:eastAsia="ar-SA"/>
                        </w:rPr>
                      </w:pPr>
                    </w:p>
                    <w:p w14:paraId="06C3D602" w14:textId="77777777">
                      <w:pPr>
                        <w:suppressAutoHyphens/>
                        <w:jc w:val="center"/>
                        <w:rPr>
                          <w:b/>
                          <w:szCs w:val="24"/>
                        </w:rPr>
                      </w:pPr>
                    </w:p>
                    <w:p w14:paraId="06C3D61B" w14:textId="77777777">
                      <w:pPr>
                        <w:suppressAutoHyphens/>
                        <w:rPr>
                          <w:szCs w:val="24"/>
                        </w:rPr>
                      </w:pPr>
                    </w:p>
                  </w:sdtContent>
                </w:sdt>
              </w:sdtContent>
            </w:sdt>
          </w:sdtContent>
        </w:sdt>
        <w:sdt>
          <w:sdtPr>
            <w:alias w:val="signatura"/>
            <w:tag w:val="part_b17bb01efefd4422ac3d01bebdce4a87"/>
            <w:lock w:val="sdtLocked"/>
            <w:richText/>
          </w:sdtPr>
          <w:sdtContent>
            <w:p w14:paraId="06C3D61D" w14:textId="69A77096">
              <w:pPr>
                <w:suppressAutoHyphens/>
                <w:jc w:val="both"/>
                <w:rPr>
                  <w:szCs w:val="24"/>
                </w:rPr>
              </w:pPr>
              <w:r>
                <w:rPr>
                  <w:szCs w:val="24"/>
                </w:rPr>
                <w:t>Savivaldybės meras</w:t>
                <w:tab/>
                <w:t xml:space="preserve">                                  </w:t>
                <w:tab/>
                <w:t xml:space="preserve">   </w:t>
                <w:tab/>
                <w:tab/>
                <w:tab/>
                <w:tab/>
                <w:t xml:space="preserve">             Artūras Visockas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0"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001995" w14:textId="77777777">
      <w:pPr>
        <w:suppressAutoHyphens/>
      </w:pPr>
      <w:r>
        <w:separator/>
      </w:r>
    </w:p>
  </w:endnote>
  <w:endnote w:type="continuationSeparator" w:id="0">
    <w:p w14:paraId="03E4089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00029" w14:textId="77777777">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03F4"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B5AB"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1B7754" w14:textId="77777777">
      <w:pPr>
        <w:suppressAutoHyphens/>
      </w:pPr>
      <w:r>
        <w:separator/>
      </w:r>
    </w:p>
  </w:footnote>
  <w:footnote w:type="continuationSeparator" w:id="0">
    <w:p w14:paraId="0A1DE8D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9CC4E" w14:textId="77777777">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3D61F" w14:textId="77777777">
    <w:pPr>
      <w:tabs>
        <w:tab w:val="center" w:pos="4819"/>
        <w:tab w:val="right" w:pos="9638"/>
      </w:tabs>
      <w:suppressAutoHyphens/>
      <w:jc w:val="center"/>
    </w:pPr>
    <w:r>
      <w:fldChar w:fldCharType="begin"/>
    </w:r>
    <w:r>
      <w:instrText>PAGE</w:instrText>
    </w:r>
    <w:r>
      <w:fldChar w:fldCharType="separate"/>
    </w:r>
    <w:r>
      <w:t>2</w:t>
    </w:r>
    <w:r>
      <w:fldChar w:fldCharType="end"/>
    </w:r>
  </w:p>
  <w:p w14:paraId="06C3D620" w14:textId="77777777">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3D621" w14:textId="7DA21652">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6C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3D600"/>
  <w15:docId w15:val="{034DDCE1-2BEA-479A-A8F1-202C5FB975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18957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71c03e3a5245ab807583abc3981cf7" PartId="88de9b11e770484c9a93f85425766e23">
    <Part Type="preambule" DocPartId="83d521a88876401682cd5d176cd1237c" PartId="41179641f9b04bdfab8ffc5c45fb839a"/>
    <Part Type="punktas" Nr="1" Abbr="1 p." DocPartId="4fae410bdc3a4b2baca0089c9ad9e980" PartId="8e9aa5b4b33a4ddf87b947a7b937c862">
      <Part Type="citata" DocPartId="e1197d7a45de4000af4a22fcdb279b6b" PartId="c276fb48631f416ea3a793ed7fb390d9">
        <Part Type="punktas" Nr="55" Abbr="55 p." DocPartId="5f13b1a3f51243abb187ae50390934c3" PartId="28049b0f32d046ce9bc15025613f69a9"/>
      </Part>
    </Part>
    <Part Type="punktas" Nr="2" Abbr="2 p." DocPartId="2060753b17dc43debf6465e24145d41a" PartId="c2c588448a8941d1bd1cd11e30dc028f">
      <Part Type="citata" DocPartId="4e6e1a229bba4d2a83590a14421fc5d5" PartId="f2b68823dd94483cac522b5f940c88cb">
        <Part Type="papunktis" Nr="4.8" Abbr="4.8 pp." DocPartId="de1608406229452888ba07204e948538" PartId="9d055be835da498b99bf253fb1053260"/>
      </Part>
    </Part>
    <Part Type="punktas" Nr="3" Abbr="3 p." DocPartId="4b2751cb694343c1803c7ae6c0ba6822" PartId="b2ff53c85d05431c8ffa5f2a6c88e0cf">
      <Part Type="citata" DocPartId="b5d6a16f2fe34a93a92af0ab32472e75" PartId="6dd239427c6642d88ae0e99fd6fcbb1d">
        <Part Type="papunktis" Nr="16.5" Abbr="16.5 pp." DocPartId="b8c1443f5534413cb302b0d281f08f57" PartId="797daae92c7a4cb9aa55db90e07dab04"/>
      </Part>
    </Part>
    <Part Type="signatura" DocPartId="1c8ec85f72214ef986945a1b1a6ab77c" PartId="b17bb01efefd4422ac3d01bebdce4a87"/>
  </Part>
</Parts>
</file>

<file path=customXml/itemProps1.xml><?xml version="1.0" encoding="utf-8"?>
<ds:datastoreItem xmlns:ds="http://schemas.openxmlformats.org/officeDocument/2006/customXml" ds:itemID="{8EC213D7-D87F-4BAF-87AA-04A64736C601}">
  <ds:schemaRefs>
    <ds:schemaRef ds:uri="http://schemas.openxmlformats.org/officeDocument/2006/bibliography"/>
  </ds:schemaRefs>
</ds:datastoreItem>
</file>

<file path=customXml/itemProps2.xml><?xml version="1.0" encoding="utf-8"?>
<ds:datastoreItem xmlns:ds="http://schemas.openxmlformats.org/officeDocument/2006/customXml" ds:itemID="{9C6F8EE8-AC80-48A7-93B3-9FE0A7678F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231</Words>
  <Characters>1639</Characters>
  <Application>Microsoft Office Word</Application>
  <DocSecurity>4</DocSecurity>
  <Lines>44</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2024-12-10T11:23:00Z</dcterms:created>
  <dc:creator>Kristina Liaugaudiene</dc:creator>
  <dc:language>lt-LT</dc:language>
  <lastModifiedBy>adlibuser</lastModifiedBy>
  <lastPrinted>2023-05-25T10:59:00Z</lastPrinted>
  <dcterms:modified xsi:type="dcterms:W3CDTF">2024-12-10T11:23:00Z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