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lentele"/>
        <w:tag w:val="part_d04c18b786a341309bb77736d73a3026"/>
        <w:lock w:val="sdtLocked"/>
        <w:richText/>
      </w:sdtPr>
      <w:sdtContent>
        <w:tbl>
          <w:tblPr>
            <w:tblW w:w="9804" w:type="dxa"/>
            <w:tblInd w:w="55" w:type="dxa"/>
            <w:tblLayout w:type="fixed"/>
            <w:tblCellMar>
              <w:top w:w="55" w:type="dxa"/>
              <w:left w:w="55" w:type="dxa"/>
              <w:bottom w:w="55" w:type="dxa"/>
              <w:right w:w="55" w:type="dxa"/>
            </w:tblCellMar>
            <w:tblLook w:val="0000" w:firstRow="0" w:lastRow="0" w:firstColumn="0" w:lastColumn="0" w:noHBand="0" w:noVBand="0"/>
          </w:tblPr>
          <w:tblGrid>
            <w:gridCol w:w="5245"/>
            <w:gridCol w:w="20"/>
            <w:gridCol w:w="1841"/>
            <w:gridCol w:w="565"/>
            <w:gridCol w:w="1967"/>
            <w:gridCol w:w="166"/>
          </w:tblGrid>
          <w:tr>
            <w:trPr>
              <w:gridAfter w:val="1"/>
              <w:wAfter w:w="166" w:type="dxa"/>
            </w:trPr>
            <w:tc>
              <w:tcPr>
                <w:tcW w:w="9638" w:type="dxa"/>
                <w:gridSpan w:val="5"/>
                <w:tcBorders>
                  <w:bottom w:val="single" w:sz="4" w:space="0" w:color="000000"/>
                </w:tcBorders>
              </w:tcPr>
              <w:p>
                <w:pPr>
                  <w:widowControl w:val="0"/>
                  <w:suppressLineNumbers/>
                  <w:tabs>
                    <w:tab w:val="center" w:pos="4800"/>
                    <w:tab w:val="right" w:pos="9601"/>
                  </w:tabs>
                  <w:suppressAutoHyphens/>
                  <w:rPr>
                    <w:rFonts w:eastAsia="Andale Sans UI" w:cs="Tahoma"/>
                    <w:szCs w:val="24"/>
                    <w:lang w:bidi="en-US"/>
                  </w:rPr>
                </w:pPr>
              </w:p>
              <w:p>
                <w:pPr>
                  <w:widowControl w:val="0"/>
                  <w:suppressLineNumbers/>
                  <w:suppressAutoHyphens/>
                  <w:jc w:val="center"/>
                  <w:rPr>
                    <w:rFonts w:eastAsia="Andale Sans UI" w:cs="Tahoma"/>
                    <w:b/>
                    <w:bCs/>
                    <w:spacing w:val="20"/>
                    <w:sz w:val="28"/>
                    <w:szCs w:val="28"/>
                    <w:lang w:bidi="en-US"/>
                  </w:rPr>
                </w:pPr>
                <w:r>
                  <w:rPr>
                    <w:rFonts w:eastAsia="Andale Sans UI" w:cs="Tahoma"/>
                    <w:b/>
                    <w:spacing w:val="20"/>
                    <w:sz w:val="26"/>
                    <w:szCs w:val="26"/>
                    <w:lang w:val="en-US"/>
                  </w:rPr>
                  <w:drawing>
                    <wp:inline distT="0" distB="0" distL="0" distR="0" wp14:anchorId="26A576AF" wp14:editId="34C6EA99">
                      <wp:extent cx="523875" cy="628650"/>
                      <wp:effectExtent l="19050" t="0" r="9525"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srcRect/>
                              <a:stretch>
                                <a:fillRect/>
                              </a:stretch>
                            </pic:blipFill>
                            <pic:spPr bwMode="auto">
                              <a:xfrm>
                                <a:off x="0" y="0"/>
                                <a:ext cx="523875" cy="628650"/>
                              </a:xfrm>
                              <a:prstGeom prst="rect">
                                <a:avLst/>
                              </a:prstGeom>
                              <a:solidFill>
                                <a:srgbClr val="FFFFFF">
                                  <a:alpha val="0"/>
                                </a:srgbClr>
                              </a:solidFill>
                              <a:ln w="9525">
                                <a:noFill/>
                                <a:miter lim="800000"/>
                                <a:headEnd/>
                                <a:tailEnd/>
                              </a:ln>
                            </pic:spPr>
                          </pic:pic>
                        </a:graphicData>
                      </a:graphic>
                    </wp:inline>
                  </w:drawing>
                </w:r>
              </w:p>
              <w:p>
                <w:pPr>
                  <w:rPr>
                    <w:sz w:val="10"/>
                    <w:szCs w:val="10"/>
                  </w:rPr>
                </w:pPr>
              </w:p>
              <w:p>
                <w:pPr>
                  <w:widowControl w:val="0"/>
                  <w:suppressLineNumbers/>
                  <w:suppressAutoHyphens/>
                  <w:jc w:val="center"/>
                  <w:rPr>
                    <w:rFonts w:eastAsia="Andale Sans UI" w:cs="Tahoma"/>
                    <w:b/>
                    <w:bCs/>
                    <w:spacing w:val="20"/>
                    <w:sz w:val="28"/>
                    <w:szCs w:val="28"/>
                    <w:lang w:bidi="en-US"/>
                  </w:rPr>
                </w:pPr>
                <w:r>
                  <w:rPr>
                    <w:rFonts w:eastAsia="Andale Sans UI" w:cs="Tahoma"/>
                    <w:b/>
                    <w:bCs/>
                    <w:spacing w:val="20"/>
                    <w:sz w:val="28"/>
                    <w:szCs w:val="28"/>
                    <w:lang w:bidi="en-US"/>
                  </w:rPr>
                  <w:t>LIETUVOS RESPUBLIKOS APLINKOS MINISTERIJA</w:t>
                </w:r>
              </w:p>
              <w:p>
                <w:pPr>
                  <w:rPr>
                    <w:sz w:val="10"/>
                    <w:szCs w:val="10"/>
                  </w:rPr>
                </w:pP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Biudžetinė įstaiga, A. Jakšto g. 4/9, LT-01105 Vilnius,</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tel. (8~5) 266 3661, faks. (8~5) 266 3663, el. p. info@am.lt, http://www.am.lt.</w:t>
                </w:r>
              </w:p>
              <w:p>
                <w:pPr>
                  <w:widowControl w:val="0"/>
                  <w:suppressLineNumbers/>
                  <w:suppressAutoHyphens/>
                  <w:jc w:val="center"/>
                  <w:rPr>
                    <w:rFonts w:ascii="Arial" w:eastAsia="Andale Sans UI" w:hAnsi="Arial" w:cs="Tahoma"/>
                    <w:b/>
                    <w:bCs/>
                    <w:spacing w:val="12"/>
                    <w:sz w:val="14"/>
                    <w:szCs w:val="14"/>
                    <w:lang w:bidi="en-US"/>
                  </w:rPr>
                </w:pPr>
                <w:r>
                  <w:rPr>
                    <w:rFonts w:ascii="Arial" w:eastAsia="Andale Sans UI" w:hAnsi="Arial" w:cs="Tahoma"/>
                    <w:b/>
                    <w:bCs/>
                    <w:spacing w:val="12"/>
                    <w:sz w:val="14"/>
                    <w:szCs w:val="14"/>
                    <w:lang w:bidi="en-US"/>
                  </w:rPr>
                  <w:t>Duomenys kaupiami ir saugomi Juridinių asmenų registre, kodas 188602370</w:t>
                </w:r>
              </w:p>
            </w:tc>
          </w:tr>
          <w:tr>
            <w:trPr>
              <w:gridAfter w:val="1"/>
              <w:wAfter w:w="166" w:type="dxa"/>
            </w:trPr>
            <w:tc>
              <w:tcPr>
                <w:tcW w:w="9638" w:type="dxa"/>
                <w:gridSpan w:val="5"/>
                <w:tcMar>
                  <w:top w:w="0" w:type="dxa"/>
                  <w:left w:w="0" w:type="dxa"/>
                  <w:bottom w:w="0" w:type="dxa"/>
                  <w:right w:w="0" w:type="dxa"/>
                </w:tcMar>
              </w:tcPr>
              <w:p>
                <w:pPr>
                  <w:widowControl w:val="0"/>
                  <w:suppressLineNumbers/>
                  <w:suppressAutoHyphens/>
                  <w:rPr>
                    <w:rFonts w:eastAsia="Andale Sans UI" w:cs="Tahoma"/>
                    <w:szCs w:val="24"/>
                    <w:lang w:bidi="en-US"/>
                  </w:rPr>
                </w:pPr>
              </w:p>
            </w:tc>
          </w:tr>
          <w:tr>
            <w:trPr>
              <w:cantSplit/>
              <w:trHeight w:val="340"/>
            </w:trPr>
            <w:tc>
              <w:tcPr>
                <w:tcW w:w="5245" w:type="dxa"/>
                <w:vMerge w:val="restart"/>
                <w:tcMar>
                  <w:top w:w="0" w:type="dxa"/>
                  <w:left w:w="0" w:type="dxa"/>
                  <w:bottom w:w="0" w:type="dxa"/>
                  <w:right w:w="0" w:type="dxa"/>
                </w:tcMar>
              </w:tcPr>
              <w:p>
                <w:pPr>
                  <w:widowControl w:val="0"/>
                  <w:suppressLineNumbers/>
                  <w:suppressAutoHyphens/>
                  <w:rPr>
                    <w:rFonts w:eastAsia="Andale Sans UI" w:cs="Tahoma"/>
                    <w:szCs w:val="24"/>
                    <w:lang w:bidi="en-US"/>
                  </w:rPr>
                </w:pPr>
                <w:r>
                  <w:rPr>
                    <w:rFonts w:eastAsia="Andale Sans UI" w:cs="Tahoma"/>
                    <w:szCs w:val="24"/>
                    <w:lang w:bidi="en-US"/>
                  </w:rPr>
                  <w:t>Energetikos ministerijai</w:t>
                </w:r>
              </w:p>
              <w:p>
                <w:pPr>
                  <w:widowControl w:val="0"/>
                  <w:suppressLineNumbers/>
                  <w:suppressAutoHyphens/>
                  <w:rPr>
                    <w:rFonts w:eastAsia="Andale Sans UI" w:cs="Tahoma"/>
                    <w:szCs w:val="24"/>
                    <w:lang w:bidi="en-US"/>
                  </w:rPr>
                </w:pPr>
                <w:r>
                  <w:rPr>
                    <w:rFonts w:eastAsia="Andale Sans UI" w:cs="Tahoma"/>
                    <w:szCs w:val="24"/>
                    <w:lang w:bidi="en-US"/>
                  </w:rPr>
                  <w:t>Ekonomikos ir inovacijų ministerijai</w:t>
                </w:r>
              </w:p>
              <w:p>
                <w:pPr>
                  <w:widowControl w:val="0"/>
                  <w:suppressLineNumbers/>
                  <w:suppressAutoHyphens/>
                  <w:rPr>
                    <w:rFonts w:eastAsia="Andale Sans UI" w:cs="Tahoma"/>
                    <w:szCs w:val="24"/>
                    <w:lang w:bidi="en-US"/>
                  </w:rPr>
                </w:pPr>
                <w:r>
                  <w:rPr>
                    <w:rFonts w:eastAsia="Andale Sans UI" w:cs="Tahoma"/>
                    <w:szCs w:val="24"/>
                    <w:lang w:bidi="en-US"/>
                  </w:rPr>
                  <w:t>Susisiekimo ministerijai</w:t>
                </w:r>
              </w:p>
              <w:p>
                <w:pPr>
                  <w:widowControl w:val="0"/>
                  <w:suppressAutoHyphens/>
                  <w:rPr>
                    <w:rFonts w:eastAsia="Andale Sans UI" w:cs="Tahoma"/>
                    <w:szCs w:val="24"/>
                    <w:lang w:bidi="en-US"/>
                  </w:rPr>
                </w:pPr>
                <w:r>
                  <w:rPr>
                    <w:rFonts w:eastAsia="Andale Sans UI" w:cs="Tahoma"/>
                    <w:szCs w:val="24"/>
                    <w:lang w:bidi="en-US"/>
                  </w:rPr>
                  <w:t>Teisingumo ministerijai</w:t>
                </w:r>
              </w:p>
              <w:p>
                <w:pPr>
                  <w:widowControl w:val="0"/>
                  <w:suppressLineNumbers/>
                  <w:suppressAutoHyphens/>
                  <w:spacing w:line="276" w:lineRule="auto"/>
                  <w:rPr>
                    <w:rFonts w:eastAsia="Andale Sans UI" w:cs="Tahoma"/>
                    <w:szCs w:val="24"/>
                    <w:lang w:bidi="en-US"/>
                  </w:rPr>
                </w:pPr>
                <w:r>
                  <w:rPr>
                    <w:rFonts w:eastAsia="Andale Sans UI" w:cs="Tahoma"/>
                    <w:szCs w:val="24"/>
                    <w:lang w:bidi="en-US"/>
                  </w:rPr>
                  <w:t>Žemės ūkio ministerijai</w:t>
                </w:r>
              </w:p>
              <w:p>
                <w:pPr>
                  <w:widowControl w:val="0"/>
                  <w:suppressLineNumbers/>
                  <w:suppressAutoHyphens/>
                  <w:spacing w:line="276" w:lineRule="auto"/>
                  <w:rPr>
                    <w:rFonts w:eastAsia="Andale Sans UI" w:cs="Tahoma"/>
                    <w:szCs w:val="24"/>
                    <w:lang w:bidi="en-US"/>
                  </w:rPr>
                </w:pPr>
              </w:p>
            </w:tc>
            <w:tc>
              <w:tcPr>
                <w:tcW w:w="20" w:type="dxa"/>
                <w:tcMar>
                  <w:top w:w="0" w:type="dxa"/>
                  <w:left w:w="0" w:type="dxa"/>
                  <w:bottom w:w="0" w:type="dxa"/>
                  <w:right w:w="0" w:type="dxa"/>
                </w:tcMar>
              </w:tcPr>
              <w:p>
                <w:pPr>
                  <w:widowControl w:val="0"/>
                  <w:suppressAutoHyphens/>
                  <w:spacing w:line="276" w:lineRule="auto"/>
                  <w:ind w:right="67"/>
                  <w:jc w:val="right"/>
                  <w:rPr>
                    <w:rFonts w:eastAsia="Andale Sans UI" w:cs="Tahoma"/>
                    <w:spacing w:val="10"/>
                    <w:szCs w:val="24"/>
                    <w:lang w:bidi="en-US"/>
                  </w:rPr>
                </w:pPr>
              </w:p>
            </w:tc>
            <w:tc>
              <w:tcPr>
                <w:tcW w:w="1841" w:type="dxa"/>
                <w:tcMar>
                  <w:top w:w="0" w:type="dxa"/>
                  <w:left w:w="0" w:type="dxa"/>
                  <w:bottom w:w="0" w:type="dxa"/>
                  <w:right w:w="0" w:type="dxa"/>
                </w:tcMar>
              </w:tcPr>
              <w:p>
                <w:pPr>
                  <w:widowControl w:val="0"/>
                  <w:suppressLineNumbers/>
                  <w:suppressAutoHyphens/>
                  <w:spacing w:line="276" w:lineRule="auto"/>
                  <w:ind w:left="146" w:right="67" w:firstLine="248"/>
                  <w:rPr>
                    <w:rFonts w:eastAsia="Andale Sans UI" w:cs="Tahoma"/>
                    <w:szCs w:val="24"/>
                    <w:lang w:bidi="en-US"/>
                  </w:rPr>
                </w:pPr>
                <w:r>
                  <w:rPr>
                    <w:rFonts w:eastAsia="Andale Sans UI" w:cs="Tahoma"/>
                    <w:szCs w:val="24"/>
                    <w:lang w:bidi="en-US"/>
                  </w:rPr>
                  <w:t>2021-03-</w:t>
                </w:r>
              </w:p>
            </w:tc>
            <w:tc>
              <w:tcPr>
                <w:tcW w:w="565" w:type="dxa"/>
              </w:tcPr>
              <w:p>
                <w:pPr>
                  <w:widowControl w:val="0"/>
                  <w:suppressAutoHyphens/>
                  <w:spacing w:line="276" w:lineRule="auto"/>
                  <w:ind w:right="67"/>
                  <w:jc w:val="right"/>
                  <w:rPr>
                    <w:rFonts w:eastAsia="Andale Sans UI" w:cs="Tahoma"/>
                    <w:spacing w:val="10"/>
                    <w:szCs w:val="24"/>
                    <w:lang w:bidi="en-US"/>
                  </w:rPr>
                </w:pPr>
                <w:r>
                  <w:rPr>
                    <w:rFonts w:eastAsia="Andale Sans UI" w:cs="Tahoma"/>
                    <w:spacing w:val="10"/>
                    <w:szCs w:val="24"/>
                    <w:lang w:bidi="en-US"/>
                  </w:rPr>
                  <w:t>Nr.</w:t>
                </w:r>
              </w:p>
            </w:tc>
            <w:tc>
              <w:tcPr>
                <w:tcW w:w="2133" w:type="dxa"/>
                <w:gridSpan w:val="2"/>
              </w:tcPr>
              <w:p>
                <w:pPr>
                  <w:widowControl w:val="0"/>
                  <w:suppressLineNumbers/>
                  <w:suppressAutoHyphens/>
                  <w:spacing w:line="276" w:lineRule="auto"/>
                  <w:ind w:right="67"/>
                  <w:rPr>
                    <w:rFonts w:eastAsia="Andale Sans UI" w:cs="Tahoma"/>
                    <w:szCs w:val="24"/>
                    <w:lang w:bidi="en-US"/>
                  </w:rPr>
                </w:pPr>
                <w:r>
                  <w:rPr>
                    <w:rFonts w:eastAsia="Andale Sans UI" w:cs="Tahoma"/>
                    <w:szCs w:val="24"/>
                    <w:lang w:bidi="en-US"/>
                  </w:rPr>
                  <w:t>(52)-D8(E)-</w:t>
                </w:r>
              </w:p>
            </w:tc>
          </w:tr>
          <w:tr>
            <w:trPr>
              <w:cantSplit/>
              <w:trHeight w:val="340"/>
            </w:trPr>
            <w:tc>
              <w:tcPr>
                <w:tcW w:w="5245" w:type="dxa"/>
                <w:vMerge/>
                <w:tcMar>
                  <w:top w:w="0" w:type="dxa"/>
                  <w:left w:w="0" w:type="dxa"/>
                  <w:bottom w:w="0" w:type="dxa"/>
                  <w:right w:w="0" w:type="dxa"/>
                </w:tcMar>
              </w:tcPr>
              <w:p>
                <w:pPr>
                  <w:widowControl w:val="0"/>
                  <w:suppressAutoHyphens/>
                  <w:spacing w:line="276" w:lineRule="auto"/>
                  <w:rPr>
                    <w:rFonts w:eastAsia="Andale Sans UI" w:cs="Tahoma"/>
                    <w:sz w:val="23"/>
                    <w:szCs w:val="23"/>
                    <w:lang w:bidi="en-US"/>
                  </w:rPr>
                </w:pPr>
              </w:p>
            </w:tc>
            <w:tc>
              <w:tcPr>
                <w:tcW w:w="20" w:type="dxa"/>
                <w:tcMar>
                  <w:top w:w="0" w:type="dxa"/>
                  <w:left w:w="0" w:type="dxa"/>
                  <w:bottom w:w="0" w:type="dxa"/>
                  <w:right w:w="0" w:type="dxa"/>
                </w:tcMar>
              </w:tcPr>
              <w:p>
                <w:pPr>
                  <w:widowControl w:val="0"/>
                  <w:tabs>
                    <w:tab w:val="left" w:pos="2869"/>
                  </w:tabs>
                  <w:suppressAutoHyphens/>
                  <w:spacing w:line="276" w:lineRule="auto"/>
                  <w:ind w:right="67"/>
                  <w:jc w:val="right"/>
                  <w:rPr>
                    <w:rFonts w:eastAsia="Andale Sans UI" w:cs="Tahoma"/>
                    <w:spacing w:val="10"/>
                    <w:sz w:val="23"/>
                    <w:szCs w:val="23"/>
                    <w:lang w:bidi="en-US"/>
                  </w:rPr>
                </w:pPr>
              </w:p>
            </w:tc>
            <w:tc>
              <w:tcPr>
                <w:tcW w:w="1841" w:type="dxa"/>
                <w:tcMar>
                  <w:top w:w="0" w:type="dxa"/>
                  <w:left w:w="0" w:type="dxa"/>
                  <w:bottom w:w="0" w:type="dxa"/>
                  <w:right w:w="0" w:type="dxa"/>
                </w:tcMar>
              </w:tcPr>
              <w:p>
                <w:pPr>
                  <w:widowControl w:val="0"/>
                  <w:suppressLineNumbers/>
                  <w:suppressAutoHyphens/>
                  <w:spacing w:line="276" w:lineRule="auto"/>
                  <w:ind w:right="67"/>
                  <w:rPr>
                    <w:rFonts w:eastAsia="Andale Sans UI" w:cs="Tahoma"/>
                    <w:sz w:val="23"/>
                    <w:szCs w:val="23"/>
                    <w:lang w:bidi="en-US"/>
                  </w:rPr>
                </w:pPr>
              </w:p>
            </w:tc>
            <w:tc>
              <w:tcPr>
                <w:tcW w:w="565" w:type="dxa"/>
              </w:tcPr>
              <w:p>
                <w:pPr>
                  <w:widowControl w:val="0"/>
                  <w:tabs>
                    <w:tab w:val="left" w:pos="2869"/>
                  </w:tabs>
                  <w:suppressAutoHyphens/>
                  <w:spacing w:line="276" w:lineRule="auto"/>
                  <w:ind w:right="67"/>
                  <w:jc w:val="right"/>
                  <w:rPr>
                    <w:rFonts w:eastAsia="Andale Sans UI" w:cs="Tahoma"/>
                    <w:spacing w:val="10"/>
                    <w:sz w:val="23"/>
                    <w:szCs w:val="23"/>
                    <w:lang w:bidi="en-US"/>
                  </w:rPr>
                </w:pPr>
              </w:p>
            </w:tc>
            <w:tc>
              <w:tcPr>
                <w:tcW w:w="2133" w:type="dxa"/>
                <w:gridSpan w:val="2"/>
              </w:tcPr>
              <w:p>
                <w:pPr>
                  <w:widowControl w:val="0"/>
                  <w:suppressLineNumbers/>
                  <w:suppressAutoHyphens/>
                  <w:spacing w:line="276" w:lineRule="auto"/>
                  <w:ind w:right="67"/>
                  <w:rPr>
                    <w:rFonts w:eastAsia="Andale Sans UI" w:cs="Tahoma"/>
                    <w:sz w:val="23"/>
                    <w:szCs w:val="23"/>
                    <w:lang w:bidi="en-US"/>
                  </w:rPr>
                </w:pPr>
              </w:p>
            </w:tc>
          </w:tr>
          <w:tr>
            <w:trPr>
              <w:gridAfter w:val="1"/>
              <w:wAfter w:w="166" w:type="dxa"/>
              <w:cantSplit/>
              <w:trHeight w:val="373"/>
            </w:trPr>
            <w:tc>
              <w:tcPr>
                <w:tcW w:w="5245" w:type="dxa"/>
                <w:vMerge/>
                <w:tcMar>
                  <w:top w:w="0" w:type="dxa"/>
                  <w:left w:w="0" w:type="dxa"/>
                  <w:bottom w:w="0" w:type="dxa"/>
                  <w:right w:w="0" w:type="dxa"/>
                </w:tcMar>
              </w:tcPr>
              <w:p>
                <w:pPr>
                  <w:widowControl w:val="0"/>
                  <w:suppressAutoHyphens/>
                  <w:spacing w:line="276" w:lineRule="auto"/>
                  <w:rPr>
                    <w:rFonts w:eastAsia="Andale Sans UI" w:cs="Tahoma"/>
                    <w:sz w:val="23"/>
                    <w:szCs w:val="23"/>
                    <w:lang w:bidi="en-US"/>
                  </w:rPr>
                </w:pPr>
              </w:p>
            </w:tc>
            <w:tc>
              <w:tcPr>
                <w:tcW w:w="4393" w:type="dxa"/>
                <w:gridSpan w:val="4"/>
                <w:tcMar>
                  <w:top w:w="0" w:type="dxa"/>
                  <w:left w:w="0" w:type="dxa"/>
                  <w:bottom w:w="0" w:type="dxa"/>
                  <w:right w:w="0" w:type="dxa"/>
                </w:tcMar>
              </w:tcPr>
              <w:p>
                <w:pPr>
                  <w:widowControl w:val="0"/>
                  <w:tabs>
                    <w:tab w:val="left" w:pos="2869"/>
                  </w:tabs>
                  <w:suppressAutoHyphens/>
                  <w:spacing w:line="276" w:lineRule="auto"/>
                  <w:ind w:right="67"/>
                  <w:rPr>
                    <w:rFonts w:eastAsia="Andale Sans UI" w:cs="Tahoma"/>
                    <w:spacing w:val="10"/>
                    <w:sz w:val="23"/>
                    <w:szCs w:val="23"/>
                    <w:lang w:bidi="en-US"/>
                  </w:rPr>
                </w:pPr>
              </w:p>
              <w:p>
                <w:pPr>
                  <w:widowControl w:val="0"/>
                  <w:tabs>
                    <w:tab w:val="left" w:pos="2869"/>
                  </w:tabs>
                  <w:suppressAutoHyphens/>
                  <w:spacing w:line="276" w:lineRule="auto"/>
                  <w:ind w:right="67"/>
                  <w:rPr>
                    <w:rFonts w:eastAsia="Andale Sans UI" w:cs="Tahoma"/>
                    <w:spacing w:val="10"/>
                    <w:sz w:val="23"/>
                    <w:szCs w:val="23"/>
                    <w:lang w:bidi="en-US"/>
                  </w:rPr>
                </w:pPr>
              </w:p>
            </w:tc>
          </w:tr>
          <w:tr>
            <w:trPr>
              <w:gridAfter w:val="1"/>
              <w:wAfter w:w="166" w:type="dxa"/>
              <w:trHeight w:val="54"/>
            </w:trPr>
            <w:tc>
              <w:tcPr>
                <w:tcW w:w="9638" w:type="dxa"/>
                <w:gridSpan w:val="5"/>
                <w:tcMar>
                  <w:top w:w="0" w:type="dxa"/>
                  <w:left w:w="0" w:type="dxa"/>
                  <w:bottom w:w="0" w:type="dxa"/>
                  <w:right w:w="0" w:type="dxa"/>
                </w:tcMar>
              </w:tcPr>
              <w:p>
                <w:pPr>
                  <w:widowControl w:val="0"/>
                  <w:suppressLineNumbers/>
                  <w:suppressAutoHyphens/>
                  <w:jc w:val="both"/>
                  <w:rPr>
                    <w:rFonts w:eastAsia="Andale Sans UI" w:cs="Tahoma"/>
                    <w:b/>
                    <w:bCs/>
                    <w:caps/>
                    <w:szCs w:val="24"/>
                    <w:lang w:bidi="en-US"/>
                  </w:rPr>
                </w:pPr>
                <w:r>
                  <w:rPr>
                    <w:rFonts w:eastAsia="Andale Sans UI" w:cs="Tahoma"/>
                    <w:b/>
                    <w:bCs/>
                    <w:caps/>
                    <w:szCs w:val="24"/>
                    <w:lang w:bidi="en-US"/>
                  </w:rPr>
                  <w:t>Dėl Gaminant ir naudojant biodegalus, skystuosius bioproduktus, biomasės kurą ir lyginamąjį iškastinį kurą išmetamų šiltnamio efektą sukeliančių dujų poveikio apskaičiavimo taisyklių pakeitimo projekto</w:t>
                </w:r>
              </w:p>
              <w:p>
                <w:pPr>
                  <w:widowControl w:val="0"/>
                  <w:suppressLineNumbers/>
                  <w:suppressAutoHyphens/>
                  <w:jc w:val="both"/>
                  <w:rPr>
                    <w:rFonts w:eastAsia="Andale Sans UI" w:cs="Tahoma"/>
                    <w:b/>
                    <w:bCs/>
                    <w:caps/>
                    <w:szCs w:val="24"/>
                    <w:lang w:bidi="en-US"/>
                  </w:rPr>
                </w:pPr>
              </w:p>
            </w:tc>
          </w:tr>
        </w:tbl>
        <w:p/>
      </w:sdtContent>
    </w:sdt>
    <w:sdt>
      <w:sdtPr>
        <w:alias w:val="pastraipa"/>
        <w:tag w:val="part_b13b780832644455a823e047a7bfb771"/>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r>
            <w:rPr>
              <w:rFonts w:eastAsia="Andale Sans UI" w:cs="Tahoma"/>
              <w:szCs w:val="24"/>
              <w:lang w:bidi="en-US"/>
            </w:rPr>
            <w:t>Vadovaudamiesi 2018 m. gruodžio 11 d. Europos Parlamento ir Tarybos direktyvos (ES) 2018/2001 dėl skatinimo naudoti atsinaujinančiųjų išteklių energiją nuostatas, susijusias biodegalų, skystųjų bioproduktų, biomasės kuro ir lyginamojo iškastinio kuro gamybos ir naudojamo metų išmetamo šiltnamio efektą sukeliančių dujų (toliau – ŠESD) kiekio apskaičiavimo reikalavimais, parengėme ir siunčiame derinti Lietuvos Respublikos aplinkos ministro 2011 m. sausio 3 d. įsakymo Nr. D1-2 „Dėl Gaminant ir naudojant biodegalus, skystuosius bioproduktus ir lyginamąjį iškastinį kurą išmetamų šiltnamio efektą sukeliančių dujų poveikio apskaičiavimo taisyklių patvirtinimo“ pakeitimo projektą (toliau – Projektas). Projektu įgyvendinant Europos Parlamento ir Tarybos direktyvos (ES) 2018/2001 31 str., V, VI, VIII priedų nuostatas, daromi šie esminiai pakeitimai:</w:t>
          </w:r>
        </w:p>
        <w:sdt>
          <w:sdtPr>
            <w:alias w:val="1 p."/>
            <w:tag w:val="part_ed0eb18e3a8a4ad0886aa05f61275a91"/>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ed0eb18e3a8a4ad0886aa05f61275a91"/>
                  <w:lock w:val="sdtLocked"/>
                  <w:richText/>
                </w:sdtPr>
                <w:sdtContent>
                  <w:r>
                    <w:rPr>
                      <w:rFonts w:eastAsia="Andale Sans UI" w:cs="Tahoma"/>
                      <w:szCs w:val="24"/>
                      <w:lang w:bidi="en-US"/>
                    </w:rPr>
                    <w:t>1</w:t>
                  </w:r>
                </w:sdtContent>
              </w:sdt>
              <w:r>
                <w:rPr>
                  <w:rFonts w:eastAsia="Andale Sans UI" w:cs="Tahoma"/>
                  <w:szCs w:val="24"/>
                  <w:lang w:bidi="en-US"/>
                </w:rPr>
                <w:t>. Įsakymas dėstomas nauja redakcija.</w:t>
              </w:r>
            </w:p>
          </w:sdtContent>
        </w:sdt>
        <w:sdt>
          <w:sdtPr>
            <w:alias w:val="2 p."/>
            <w:tag w:val="part_c0c2409ec005440c889b59e559f380c8"/>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c0c2409ec005440c889b59e559f380c8"/>
                  <w:lock w:val="sdtLocked"/>
                  <w:richText/>
                </w:sdtPr>
                <w:sdtContent>
                  <w:r>
                    <w:rPr>
                      <w:rFonts w:eastAsia="Andale Sans UI" w:cs="Tahoma"/>
                      <w:szCs w:val="24"/>
                      <w:lang w:bidi="en-US"/>
                    </w:rPr>
                    <w:t>2</w:t>
                  </w:r>
                </w:sdtContent>
              </w:sdt>
              <w:r>
                <w:rPr>
                  <w:rFonts w:eastAsia="Andale Sans UI" w:cs="Tahoma"/>
                  <w:szCs w:val="24"/>
                  <w:lang w:bidi="en-US"/>
                </w:rPr>
                <w:t>. Keičiamas įsakymo pavadinimas.</w:t>
              </w:r>
            </w:p>
          </w:sdtContent>
        </w:sdt>
        <w:sdt>
          <w:sdtPr>
            <w:alias w:val="3 p."/>
            <w:tag w:val="part_6e3aa1b493d94cc7932a2d7a53cb73b1"/>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6e3aa1b493d94cc7932a2d7a53cb73b1"/>
                  <w:lock w:val="sdtLocked"/>
                  <w:richText/>
                </w:sdtPr>
                <w:sdtContent>
                  <w:r>
                    <w:rPr>
                      <w:rFonts w:eastAsia="Andale Sans UI" w:cs="Tahoma"/>
                      <w:szCs w:val="24"/>
                      <w:lang w:bidi="en-US"/>
                    </w:rPr>
                    <w:t>3</w:t>
                  </w:r>
                </w:sdtContent>
              </w:sdt>
              <w:r>
                <w:rPr>
                  <w:rFonts w:eastAsia="Andale Sans UI" w:cs="Tahoma"/>
                  <w:szCs w:val="24"/>
                  <w:lang w:bidi="en-US"/>
                </w:rPr>
                <w:t>. Gaminant ir naudojant biodegalus, skystuosius bioproduktus ir lyginamąjį iškastinį kurą išmetamų šiltnamio efektą sukeliančių dujų poveikio apskaičiavimo taisyklėse (toliau – Taisyklės) atnaujinamos vartojamos sąvokos.</w:t>
              </w:r>
            </w:p>
          </w:sdtContent>
        </w:sdt>
        <w:sdt>
          <w:sdtPr>
            <w:alias w:val="4 p."/>
            <w:tag w:val="part_ce1bbe7464b24bd285f1b92993226f60"/>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ce1bbe7464b24bd285f1b92993226f60"/>
                  <w:lock w:val="sdtLocked"/>
                  <w:richText/>
                </w:sdtPr>
                <w:sdtContent>
                  <w:r>
                    <w:rPr>
                      <w:rFonts w:eastAsia="Andale Sans UI" w:cs="Tahoma"/>
                      <w:szCs w:val="24"/>
                      <w:lang w:bidi="en-US"/>
                    </w:rPr>
                    <w:t>4</w:t>
                  </w:r>
                </w:sdtContent>
              </w:sdt>
              <w:r>
                <w:rPr>
                  <w:rFonts w:eastAsia="Andale Sans UI" w:cs="Tahoma"/>
                  <w:szCs w:val="24"/>
                  <w:lang w:bidi="en-US"/>
                </w:rPr>
                <w:t>. Taisyklės papildomos nuostatomis dėl biomasės kuro gaminimo ir naudojimo metu išmetamo ŠESD kiekio apskaičiavimo metodikos.</w:t>
              </w:r>
            </w:p>
          </w:sdtContent>
        </w:sdt>
        <w:sdt>
          <w:sdtPr>
            <w:alias w:val="5 p."/>
            <w:tag w:val="part_06ed6901799c428e849269adecea35d0"/>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06ed6901799c428e849269adecea35d0"/>
                  <w:lock w:val="sdtLocked"/>
                  <w:richText/>
                </w:sdtPr>
                <w:sdtContent>
                  <w:r>
                    <w:rPr>
                      <w:rFonts w:eastAsia="Andale Sans UI" w:cs="Tahoma"/>
                      <w:szCs w:val="24"/>
                      <w:lang w:bidi="en-US"/>
                    </w:rPr>
                    <w:t>5</w:t>
                  </w:r>
                </w:sdtContent>
              </w:sdt>
              <w:r>
                <w:rPr>
                  <w:rFonts w:eastAsia="Andale Sans UI" w:cs="Tahoma"/>
                  <w:szCs w:val="24"/>
                  <w:lang w:bidi="en-US"/>
                </w:rPr>
                <w:t>. Atliekami kiti techniniai pakeitimai.</w:t>
              </w:r>
            </w:p>
            <w:p>
              <w:pPr>
                <w:widowControl w:val="0"/>
                <w:suppressLineNumbers/>
                <w:tabs>
                  <w:tab w:val="left" w:pos="709"/>
                </w:tabs>
                <w:suppressAutoHyphens/>
                <w:spacing w:line="276" w:lineRule="auto"/>
                <w:ind w:firstLine="709"/>
                <w:jc w:val="both"/>
                <w:rPr>
                  <w:rFonts w:eastAsia="Andale Sans UI" w:cs="Tahoma"/>
                  <w:szCs w:val="24"/>
                  <w:lang w:bidi="en-US"/>
                </w:rPr>
              </w:pPr>
              <w:r>
                <w:rPr>
                  <w:rFonts w:eastAsia="Andale Sans UI" w:cs="Tahoma"/>
                  <w:szCs w:val="24"/>
                  <w:lang w:bidi="en-US"/>
                </w:rPr>
                <w:t>2018 m. gruodžio 11 d. Europos Parlamento ir Tarybos direktyvos (ES) 2018/2001 ir projekto atitikties lentelė rengiama atsižvelgus į Europos Sąjungos teisės aktų ir Lietuvos Respublikos teisės aktų ir jų projektų atitikties lentelių pildymo rekomendacijų, patvirtintų Europos Teisės departamento prie Lietuvos Respublikos teisingumo ministerijos direktoriaus 2019 m. sausio 24 d. įsakymu Nr. KKK-4, 12.1 papunktį.</w:t>
              </w:r>
            </w:p>
            <w:p>
              <w:pPr>
                <w:widowControl w:val="0"/>
                <w:suppressLineNumbers/>
                <w:tabs>
                  <w:tab w:val="left" w:pos="709"/>
                </w:tabs>
                <w:suppressAutoHyphens/>
                <w:spacing w:line="276" w:lineRule="auto"/>
                <w:ind w:firstLine="709"/>
                <w:jc w:val="both"/>
                <w:rPr>
                  <w:rFonts w:eastAsia="Andale Sans UI" w:cs="Tahoma"/>
                  <w:szCs w:val="24"/>
                  <w:lang w:bidi="en-US"/>
                </w:rPr>
              </w:pPr>
              <w:r>
                <w:rPr>
                  <w:rFonts w:eastAsia="Andale Sans UI" w:cs="Tahoma"/>
                  <w:szCs w:val="24"/>
                  <w:lang w:bidi="en-US"/>
                </w:rPr>
                <w:t>Projektu neįgyvendinamos Vyriausybės programos nuostatos.</w:t>
              </w:r>
            </w:p>
            <w:p>
              <w:pPr>
                <w:widowControl w:val="0"/>
                <w:suppressLineNumbers/>
                <w:tabs>
                  <w:tab w:val="left" w:pos="709"/>
                </w:tabs>
                <w:suppressAutoHyphens/>
                <w:spacing w:line="276" w:lineRule="auto"/>
                <w:ind w:firstLine="709"/>
                <w:jc w:val="both"/>
                <w:rPr>
                  <w:rFonts w:eastAsia="Andale Sans UI" w:cs="Tahoma"/>
                  <w:szCs w:val="24"/>
                  <w:lang w:bidi="en-US"/>
                </w:rPr>
              </w:pPr>
              <w:r>
                <w:rPr>
                  <w:rFonts w:eastAsia="Andale Sans UI" w:cs="Tahoma"/>
                  <w:szCs w:val="24"/>
                  <w:lang w:bidi="en-US"/>
                </w:rPr>
                <w:t>Priėmus projektą, neigiamų pasekmių nenumatoma.</w:t>
              </w:r>
            </w:p>
            <w:p>
              <w:pPr>
                <w:widowControl w:val="0"/>
                <w:suppressLineNumbers/>
                <w:tabs>
                  <w:tab w:val="left" w:pos="709"/>
                </w:tabs>
                <w:suppressAutoHyphens/>
                <w:spacing w:line="276" w:lineRule="auto"/>
                <w:ind w:firstLine="709"/>
                <w:jc w:val="both"/>
                <w:rPr>
                  <w:rFonts w:eastAsia="Andale Sans UI" w:cs="Tahoma"/>
                  <w:szCs w:val="24"/>
                  <w:lang w:bidi="en-US"/>
                </w:rPr>
              </w:pPr>
              <w:r>
                <w:rPr>
                  <w:rFonts w:eastAsia="Andale Sans UI" w:cs="Tahoma"/>
                  <w:szCs w:val="24"/>
                  <w:lang w:bidi="en-US"/>
                </w:rPr>
                <w:t>Priimtas projektas neturės įtakos kriminogeninei situacijai ir korupcijai.</w:t>
              </w:r>
            </w:p>
            <w:p>
              <w:pPr>
                <w:widowControl w:val="0"/>
                <w:suppressLineNumbers/>
                <w:tabs>
                  <w:tab w:val="left" w:pos="709"/>
                </w:tabs>
                <w:suppressAutoHyphens/>
                <w:spacing w:line="276" w:lineRule="auto"/>
                <w:ind w:firstLine="709"/>
                <w:jc w:val="both"/>
                <w:rPr>
                  <w:rFonts w:eastAsia="Andale Sans UI" w:cs="Tahoma"/>
                  <w:szCs w:val="24"/>
                  <w:lang w:bidi="en-US"/>
                </w:rPr>
              </w:pPr>
              <w:r>
                <w:rPr>
                  <w:rFonts w:eastAsia="Andale Sans UI" w:cs="Tahoma"/>
                  <w:szCs w:val="24"/>
                  <w:lang w:bidi="en-US"/>
                </w:rPr>
                <w:t>Priimtas projektas neturės įtakos verslo sąlygoms ir jo plėtrai.</w:t>
              </w:r>
            </w:p>
            <w:p>
              <w:pPr>
                <w:widowControl w:val="0"/>
                <w:suppressLineNumbers/>
                <w:tabs>
                  <w:tab w:val="left" w:pos="709"/>
                </w:tabs>
                <w:suppressAutoHyphens/>
                <w:spacing w:line="276" w:lineRule="auto"/>
                <w:ind w:firstLine="709"/>
                <w:jc w:val="both"/>
                <w:rPr>
                  <w:rFonts w:eastAsia="Andale Sans UI" w:cs="Tahoma"/>
                  <w:szCs w:val="24"/>
                  <w:lang w:bidi="en-US"/>
                </w:rPr>
              </w:pPr>
              <w:r>
                <w:rPr>
                  <w:rFonts w:eastAsia="Andale Sans UI" w:cs="Tahoma"/>
                  <w:szCs w:val="24"/>
                  <w:lang w:bidi="en-US"/>
                </w:rPr>
                <w:t>Su visuomene konsultuojamasi Projektą paskelbus Lietuvos Respublikos Seimo teisės aktų informacinės sistemos (TAIS) Projektų registravimo posistemėje. Visuomenė pastabas ir pasiūlymus gali teikti TAIS nustatytais terminais.</w:t>
              </w:r>
            </w:p>
            <w:p>
              <w:pPr>
                <w:widowControl w:val="0"/>
                <w:suppressLineNumbers/>
                <w:tabs>
                  <w:tab w:val="left" w:pos="709"/>
                </w:tabs>
                <w:suppressAutoHyphens/>
                <w:spacing w:line="276" w:lineRule="auto"/>
                <w:ind w:firstLine="709"/>
                <w:jc w:val="both"/>
                <w:rPr>
                  <w:rFonts w:eastAsia="Andale Sans UI" w:cs="Tahoma"/>
                  <w:szCs w:val="24"/>
                  <w:lang w:bidi="en-US"/>
                </w:rPr>
              </w:pPr>
              <w:r>
                <w:rPr>
                  <w:rFonts w:eastAsia="Andale Sans UI" w:cs="Tahoma"/>
                  <w:szCs w:val="24"/>
                  <w:lang w:bidi="en-US"/>
                </w:rPr>
                <w:t xml:space="preserve">Prašome pastabas ir pasiūlymus pateikti </w:t>
              </w:r>
              <w:r>
                <w:rPr>
                  <w:rFonts w:eastAsia="Andale Sans UI" w:cs="Tahoma"/>
                  <w:b/>
                  <w:szCs w:val="24"/>
                  <w:lang w:bidi="en-US"/>
                </w:rPr>
                <w:t>10 darbo dienų</w:t>
              </w:r>
              <w:r>
                <w:rPr>
                  <w:rFonts w:eastAsia="Andale Sans UI" w:cs="Tahoma"/>
                  <w:szCs w:val="24"/>
                  <w:lang w:bidi="en-US"/>
                </w:rPr>
                <w:t xml:space="preserve"> nuo Projekto paskelbimo TAIS. Negavus argumentuotų pastabų ir pasiūlymų iki nurodyto laiko, bus laikoma, kad Įsakymo projektui pritarta.</w:t>
              </w:r>
            </w:p>
            <w:p>
              <w:pPr>
                <w:widowControl w:val="0"/>
                <w:suppressLineNumbers/>
                <w:tabs>
                  <w:tab w:val="left" w:pos="709"/>
                </w:tabs>
                <w:suppressAutoHyphens/>
                <w:spacing w:line="276" w:lineRule="auto"/>
                <w:ind w:firstLine="771"/>
                <w:jc w:val="both"/>
                <w:rPr>
                  <w:rFonts w:eastAsia="Andale Sans UI" w:cs="Tahoma"/>
                  <w:szCs w:val="24"/>
                  <w:lang w:bidi="en-US"/>
                </w:rPr>
              </w:pPr>
              <w:r>
                <w:rPr>
                  <w:rFonts w:eastAsia="Andale Sans UI" w:cs="Tahoma"/>
                  <w:szCs w:val="24"/>
                  <w:lang w:bidi="en-US"/>
                </w:rPr>
                <w:t>PRIDEDAMA:</w:t>
              </w:r>
            </w:p>
          </w:sdtContent>
        </w:sdt>
        <w:sdt>
          <w:sdtPr>
            <w:alias w:val="1 p."/>
            <w:tag w:val="part_fb0914dd5cdf4e9895a75dedc0d83275"/>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fb0914dd5cdf4e9895a75dedc0d83275"/>
                  <w:lock w:val="sdtLocked"/>
                  <w:richText/>
                </w:sdtPr>
                <w:sdtContent>
                  <w:r>
                    <w:rPr>
                      <w:rFonts w:eastAsia="Andale Sans UI" w:cs="Tahoma"/>
                      <w:szCs w:val="24"/>
                      <w:lang w:bidi="en-US"/>
                    </w:rPr>
                    <w:t>1</w:t>
                  </w:r>
                </w:sdtContent>
              </w:sdt>
              <w:r>
                <w:rPr>
                  <w:rFonts w:eastAsia="Andale Sans UI" w:cs="Tahoma"/>
                  <w:szCs w:val="24"/>
                  <w:lang w:bidi="en-US"/>
                </w:rPr>
                <w:t>. Įsakymo projektas, 55 lapai.</w:t>
              </w:r>
            </w:p>
          </w:sdtContent>
        </w:sdt>
        <w:sdt>
          <w:sdtPr>
            <w:alias w:val="2 p."/>
            <w:tag w:val="part_bf468fc368864f929c3adb3d1e130d58"/>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bf468fc368864f929c3adb3d1e130d58"/>
                  <w:lock w:val="sdtLocked"/>
                  <w:richText/>
                </w:sdtPr>
                <w:sdtContent>
                  <w:r>
                    <w:rPr>
                      <w:rFonts w:eastAsia="Andale Sans UI" w:cs="Tahoma"/>
                      <w:szCs w:val="24"/>
                      <w:lang w:bidi="en-US"/>
                    </w:rPr>
                    <w:t>2</w:t>
                  </w:r>
                </w:sdtContent>
              </w:sdt>
              <w:r>
                <w:rPr>
                  <w:rFonts w:eastAsia="Andale Sans UI" w:cs="Tahoma"/>
                  <w:szCs w:val="24"/>
                  <w:lang w:bidi="en-US"/>
                </w:rPr>
                <w:t xml:space="preserve">. Įsakymo projekto 2018 m. gruodžio 11 d. Europos Parlamento ir Tarybos direktyvos (ES) 2018/2001 atitikties lentelė, </w:t>
              </w:r>
              <w:r>
                <w:rPr>
                  <w:rFonts w:eastAsia="Andale Sans UI" w:cs="Tahoma"/>
                  <w:szCs w:val="24"/>
                  <w:lang w:val="en-GB" w:bidi="en-US"/>
                </w:rPr>
                <w:t>75</w:t>
              </w:r>
              <w:r>
                <w:rPr>
                  <w:rFonts w:eastAsia="Andale Sans UI" w:cs="Tahoma"/>
                  <w:szCs w:val="24"/>
                  <w:lang w:bidi="en-US"/>
                </w:rPr>
                <w:t xml:space="preserve"> lapai.</w:t>
              </w:r>
            </w:p>
          </w:sdtContent>
        </w:sdt>
        <w:sdt>
          <w:sdtPr>
            <w:alias w:val="3 p."/>
            <w:tag w:val="part_7594e8efe181406ba3beca0a26ac1ccf"/>
            <w:lock w:val="sdtLocked"/>
            <w:richText/>
          </w:sdtPr>
          <w:sdtContent>
            <w:p>
              <w:pPr>
                <w:widowControl w:val="0"/>
                <w:suppressLineNumbers/>
                <w:tabs>
                  <w:tab w:val="left" w:pos="709"/>
                </w:tabs>
                <w:suppressAutoHyphens/>
                <w:spacing w:line="276" w:lineRule="auto"/>
                <w:ind w:firstLine="709"/>
                <w:jc w:val="both"/>
                <w:rPr>
                  <w:rFonts w:eastAsia="Andale Sans UI" w:cs="Tahoma"/>
                  <w:szCs w:val="24"/>
                  <w:lang w:bidi="en-US"/>
                </w:rPr>
              </w:pPr>
              <w:sdt>
                <w:sdtPr>
                  <w:alias w:val="Numeris"/>
                  <w:tag w:val="nr_7594e8efe181406ba3beca0a26ac1ccf"/>
                  <w:lock w:val="sdtLocked"/>
                  <w:richText/>
                </w:sdtPr>
                <w:sdtContent>
                  <w:r>
                    <w:rPr>
                      <w:rFonts w:eastAsia="Andale Sans UI" w:cs="Tahoma"/>
                      <w:szCs w:val="24"/>
                      <w:lang w:bidi="en-US"/>
                    </w:rPr>
                    <w:t>3</w:t>
                  </w:r>
                </w:sdtContent>
              </w:sdt>
              <w:r>
                <w:rPr>
                  <w:rFonts w:eastAsia="Andale Sans UI" w:cs="Tahoma"/>
                  <w:szCs w:val="24"/>
                  <w:lang w:bidi="en-US"/>
                </w:rPr>
                <w:t>. Numatomo teisinio reguliavimo poveikio vertinimo pažyma, 1 lapas.</w:t>
              </w:r>
            </w:p>
            <w:p>
              <w:pPr>
                <w:widowControl w:val="0"/>
                <w:suppressLineNumbers/>
                <w:tabs>
                  <w:tab w:val="left" w:pos="709"/>
                </w:tabs>
                <w:suppressAutoHyphens/>
                <w:spacing w:line="276" w:lineRule="auto"/>
                <w:jc w:val="both"/>
                <w:rPr>
                  <w:rFonts w:eastAsia="Andale Sans UI" w:cs="Tahoma"/>
                  <w:szCs w:val="24"/>
                  <w:lang w:val="en-US" w:bidi="en-US"/>
                </w:rPr>
              </w:pPr>
            </w:p>
            <w:p>
              <w:pPr>
                <w:widowControl w:val="0"/>
                <w:suppressLineNumbers/>
                <w:tabs>
                  <w:tab w:val="left" w:pos="709"/>
                </w:tabs>
                <w:suppressAutoHyphens/>
                <w:spacing w:line="276" w:lineRule="auto"/>
                <w:jc w:val="both"/>
                <w:rPr>
                  <w:rFonts w:eastAsia="Andale Sans UI" w:cs="Tahoma"/>
                  <w:szCs w:val="24"/>
                  <w:lang w:val="en-US" w:bidi="en-US"/>
                </w:rPr>
              </w:pPr>
            </w:p>
          </w:sdtContent>
        </w:sdt>
        <w:sdt>
          <w:sdtPr>
            <w:alias w:val="signatura"/>
            <w:tag w:val="part_61b99c8efd4745e786e78996db4d44d2"/>
            <w:lock w:val="sdtLocked"/>
            <w:richText/>
          </w:sdtPr>
          <w:sdtContent>
            <w:p>
              <w:pPr>
                <w:widowControl w:val="0"/>
                <w:suppressLineNumbers/>
                <w:suppressAutoHyphens/>
                <w:jc w:val="both"/>
                <w:rPr>
                  <w:rFonts w:eastAsia="Andale Sans UI" w:cs="Tahoma"/>
                  <w:szCs w:val="24"/>
                  <w:lang w:eastAsia="lt-LT" w:bidi="en-US"/>
                </w:rPr>
              </w:pPr>
              <w:r>
                <w:rPr>
                  <w:rFonts w:eastAsia="Andale Sans UI" w:cs="Tahoma"/>
                  <w:szCs w:val="24"/>
                  <w:lang w:eastAsia="lt-LT" w:bidi="en-US"/>
                </w:rPr>
                <w:t xml:space="preserve">Aplinkos viceministrė                                                                                             Gintarė Krušnienė</w:t>
              </w:r>
            </w:p>
          </w:sdtContent>
        </w:sdt>
      </w:sdtContent>
    </w:sdt>
    <w:sectPr>
      <w:headerReference w:type="even" r:id="rId12"/>
      <w:headerReference w:type="default" r:id="rId13"/>
      <w:footerReference w:type="even" r:id="rId14"/>
      <w:footerReference w:type="default" r:id="rId15"/>
      <w:headerReference w:type="first" r:id="rId16"/>
      <w:footerReference w:type="first" r:id="rId17"/>
      <w:footnotePr>
        <w:pos w:val="beneathText"/>
        <w:numRestart w:val="eachPage"/>
      </w:footnotePr>
      <w:endnotePr>
        <w:numFmt w:val="decimal"/>
      </w:endnotePr>
      <w:pgSz w:w="11905" w:h="16837"/>
      <w:pgMar w:top="993" w:right="567" w:bottom="709" w:left="1701" w:header="567" w:footer="232" w:gutter="0"/>
      <w:cols w:space="1296"/>
      <w:titlePg/>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widowControl w:val="0"/>
        <w:suppressAutoHyphens/>
        <w:rPr>
          <w:rFonts w:eastAsia="Andale Sans UI" w:cs="Tahoma"/>
          <w:szCs w:val="24"/>
          <w:lang w:bidi="en-US"/>
        </w:rPr>
      </w:pPr>
      <w:r>
        <w:rPr>
          <w:rFonts w:eastAsia="Andale Sans UI" w:cs="Tahoma"/>
          <w:szCs w:val="24"/>
          <w:lang w:bidi="en-US"/>
        </w:rPr>
        <w:separator/>
      </w:r>
    </w:p>
  </w:endnote>
  <w:end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ndale Sans UI">
    <w:altName w:val="Century Gothic"/>
    <w:charset w:val="BA"/>
    <w:family w:val="swiss"/>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suppressAutoHyphens/>
      <w:rPr>
        <w:rFonts w:eastAsia="Andale Sans UI" w:cs="Tahoma"/>
        <w:szCs w:val="24"/>
        <w:lang w:eastAsia="lt-LT" w:bidi="en-US"/>
      </w:rPr>
    </w:pPr>
    <w:r>
      <w:rPr>
        <w:rFonts w:eastAsia="Andale Sans UI" w:cs="Tahoma"/>
        <w:szCs w:val="24"/>
        <w:lang w:eastAsia="lt-LT" w:bidi="en-US"/>
      </w:rPr>
      <w:t xml:space="preserve">T. Aukštinaitis, 8 610 79985, el. p. </w:t>
    </w:r>
    <w:r>
      <w:rPr>
        <w:rFonts w:eastAsia="Andale Sans UI" w:cs="Tahoma"/>
        <w:color w:val="0000FF"/>
        <w:szCs w:val="24"/>
        <w:u w:val="single"/>
        <w:lang w:eastAsia="lt-LT" w:bidi="en-US"/>
      </w:rPr>
      <w:t>tomas.aukstinaitis@am.lt</w:t>
    </w:r>
  </w:p>
  <w:p>
    <w:pPr>
      <w:widowControl w:val="0"/>
      <w:suppressLineNumbers/>
      <w:suppressAutoHyphens/>
      <w:rPr>
        <w:rFonts w:eastAsia="Andale Sans UI" w:cs="Tahoma"/>
        <w:szCs w:val="24"/>
        <w:lang w:eastAsia="lt-LT" w:bidi="en-US"/>
      </w:rPr>
    </w:pPr>
    <w:r>
      <w:rPr>
        <w:rFonts w:eastAsia="Andale Sans UI" w:cs="Tahoma"/>
        <w:szCs w:val="24"/>
        <w:lang w:eastAsia="lt-LT" w:bidi="en-US"/>
      </w:rPr>
      <w:t xml:space="preserve"> </w:t>
    </w:r>
  </w:p>
  <w:p>
    <w:pPr>
      <w:widowControl w:val="0"/>
      <w:suppressLineNumbers/>
      <w:tabs>
        <w:tab w:val="center" w:pos="4800"/>
        <w:tab w:val="right" w:pos="9601"/>
      </w:tabs>
      <w:suppressAutoHyphens/>
      <w:rPr>
        <w:rFonts w:eastAsia="Andale Sans UI" w:cs="Tahoma"/>
        <w:szCs w:val="24"/>
        <w:lang w:bidi="en-US"/>
      </w:rPr>
    </w:pPr>
  </w:p>
  <w:p>
    <w:pPr>
      <w:widowControl w:val="0"/>
      <w:suppressLineNumbers/>
      <w:tabs>
        <w:tab w:val="center" w:pos="4800"/>
        <w:tab w:val="right" w:pos="9601"/>
      </w:tabs>
      <w:suppressAutoHyphens/>
      <w:jc w:val="right"/>
      <w:rPr>
        <w:rFonts w:eastAsia="Andale Sans UI" w:cs="Tahoma"/>
        <w:szCs w:val="24"/>
        <w:lang w:bidi="en-US"/>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Look w:val="04A0" w:firstRow="1" w:lastRow="0" w:firstColumn="1" w:lastColumn="0" w:noHBand="0" w:noVBand="1"/>
    </w:tblPr>
    <w:tblGrid>
      <w:gridCol w:w="7621"/>
      <w:gridCol w:w="2232"/>
    </w:tblGrid>
    <w:tr>
      <w:tc>
        <w:tcPr>
          <w:tcW w:w="7621" w:type="dxa"/>
        </w:tcPr>
        <w:p>
          <w:pPr>
            <w:widowControl w:val="0"/>
            <w:suppressLineNumbers/>
            <w:suppressAutoHyphens/>
            <w:rPr>
              <w:rFonts w:eastAsia="Andale Sans UI" w:cs="Tahoma"/>
              <w:szCs w:val="24"/>
              <w:lang w:eastAsia="lt-LT" w:bidi="en-US"/>
            </w:rPr>
          </w:pPr>
        </w:p>
        <w:p>
          <w:pPr>
            <w:widowControl w:val="0"/>
            <w:suppressLineNumbers/>
            <w:suppressAutoHyphens/>
            <w:rPr>
              <w:rFonts w:eastAsia="Andale Sans UI" w:cs="Tahoma"/>
              <w:szCs w:val="24"/>
              <w:lang w:val="en-US" w:bidi="en-US"/>
            </w:rPr>
          </w:pPr>
        </w:p>
      </w:tc>
      <w:tc>
        <w:tcPr>
          <w:tcW w:w="2232" w:type="dxa"/>
        </w:tcPr>
        <w:p>
          <w:pPr>
            <w:widowControl w:val="0"/>
            <w:suppressLineNumbers/>
            <w:tabs>
              <w:tab w:val="center" w:pos="4800"/>
              <w:tab w:val="right" w:pos="9601"/>
            </w:tabs>
            <w:suppressAutoHyphens/>
            <w:jc w:val="right"/>
            <w:rPr>
              <w:rFonts w:eastAsia="Andale Sans UI" w:cs="Tahoma"/>
              <w:szCs w:val="24"/>
              <w:lang w:val="en-US" w:bidi="en-US"/>
            </w:rPr>
          </w:pPr>
          <w:r>
            <w:rPr>
              <w:rFonts w:eastAsia="Andale Sans UI" w:cs="Tahoma"/>
              <w:szCs w:val="24"/>
              <w:lang w:val="en-US"/>
            </w:rPr>
            <w:drawing>
              <wp:inline distT="0" distB="0" distL="0" distR="0" wp14:anchorId="6F127F65" wp14:editId="33AE424C">
                <wp:extent cx="469265" cy="774065"/>
                <wp:effectExtent l="0" t="0" r="6985" b="698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69265" cy="774065"/>
                        </a:xfrm>
                        <a:prstGeom prst="rect">
                          <a:avLst/>
                        </a:prstGeom>
                        <a:noFill/>
                      </pic:spPr>
                    </pic:pic>
                  </a:graphicData>
                </a:graphic>
              </wp:inline>
            </w:drawing>
          </w:r>
        </w:p>
      </w:tc>
    </w:tr>
  </w:tbl>
  <w:p>
    <w:pPr>
      <w:widowControl w:val="0"/>
      <w:suppressLineNumbers/>
      <w:tabs>
        <w:tab w:val="center" w:pos="4800"/>
        <w:tab w:val="right" w:pos="9601"/>
      </w:tabs>
      <w:suppressAutoHyphens/>
      <w:jc w:val="right"/>
      <w:rPr>
        <w:rFonts w:eastAsia="Andale Sans UI" w:cs="Tahoma"/>
        <w:szCs w:val="24"/>
        <w:lang w:val="en-US" w:bidi="en-US"/>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widowControl w:val="0"/>
        <w:suppressAutoHyphens/>
        <w:rPr>
          <w:rFonts w:eastAsia="Andale Sans UI" w:cs="Tahoma"/>
          <w:szCs w:val="24"/>
          <w:lang w:bidi="en-US"/>
        </w:rPr>
      </w:pPr>
      <w:r>
        <w:rPr>
          <w:rFonts w:eastAsia="Andale Sans UI" w:cs="Tahoma"/>
          <w:szCs w:val="24"/>
          <w:lang w:bidi="en-US"/>
        </w:rPr>
        <w:separator/>
      </w:r>
    </w:p>
  </w:footnote>
  <w:footnote w:type="continuationSeparator" w:id="0">
    <w:p>
      <w:pPr>
        <w:widowControl w:val="0"/>
        <w:suppressAutoHyphens/>
        <w:rPr>
          <w:rFonts w:eastAsia="Andale Sans UI" w:cs="Tahoma"/>
          <w:szCs w:val="24"/>
          <w:lang w:bidi="en-US"/>
        </w:rPr>
      </w:pPr>
      <w:r>
        <w:rPr>
          <w:rFonts w:eastAsia="Andale Sans UI" w:cs="Tahoma"/>
          <w:szCs w:val="24"/>
          <w:lang w:bidi="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widowControl w:val="0"/>
      <w:suppressLineNumbers/>
      <w:tabs>
        <w:tab w:val="center" w:pos="4800"/>
        <w:tab w:val="right" w:pos="9601"/>
      </w:tabs>
      <w:suppressAutoHyphens/>
      <w:rPr>
        <w:rFonts w:eastAsia="Andale Sans UI" w:cs="Tahoma"/>
        <w:szCs w:val="24"/>
        <w:lang w:bidi="en-US"/>
      </w:rPr>
    </w:pPr>
    <w:r>
      <w:rPr>
        <w:rFonts w:eastAsia="Andale Sans UI" w:cs="Tahoma"/>
        <w:szCs w:val="24"/>
        <w:lang w:bidi="en-US"/>
      </w:rPr>
      <w:fldChar w:fldCharType="begin"/>
    </w:r>
    <w:r>
      <w:rPr>
        <w:rFonts w:eastAsia="Andale Sans UI" w:cs="Tahoma"/>
        <w:szCs w:val="24"/>
        <w:lang w:bidi="en-US"/>
      </w:rPr>
      <w:instrText xml:space="preserve">PAGE  </w:instrText>
    </w:r>
    <w:r>
      <w:rPr>
        <w:rFonts w:eastAsia="Andale Sans UI" w:cs="Tahoma"/>
        <w:szCs w:val="24"/>
        <w:lang w:bidi="en-US"/>
      </w:rPr>
      <w:fldChar w:fldCharType="end"/>
    </w:r>
  </w:p>
  <w:p>
    <w:pPr>
      <w:widowControl w:val="0"/>
      <w:suppressLineNumbers/>
      <w:tabs>
        <w:tab w:val="center" w:pos="4800"/>
        <w:tab w:val="right" w:pos="9601"/>
      </w:tabs>
      <w:suppressAutoHyphens/>
      <w:rPr>
        <w:rFonts w:eastAsia="Andale Sans UI" w:cs="Tahoma"/>
        <w:szCs w:val="24"/>
        <w:lang w:bidi="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widowControl w:val="0"/>
      <w:suppressLineNumbers/>
      <w:tabs>
        <w:tab w:val="center" w:pos="4800"/>
        <w:tab w:val="right" w:pos="9601"/>
      </w:tabs>
      <w:suppressAutoHyphens/>
      <w:rPr>
        <w:rFonts w:eastAsia="Andale Sans UI" w:cs="Tahoma"/>
        <w:szCs w:val="24"/>
        <w:lang w:bidi="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98"/>
  <w:defaultTabStop w:val="1296"/>
  <w:hyphenationZone w:val="396"/>
  <w:doNotHyphenateCaps/>
  <w:characterSpacingControl w:val="doNotCompress"/>
  <w:hdrShapeDefaults>
    <o:shapedefaults v:ext="edit" spidmax="8193"/>
  </w:hdrShapeDefaults>
  <w:footnotePr>
    <w:pos w:val="beneathText"/>
    <w:numRestart w:val="eachPage"/>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6DF7"/>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325741529">
      <w:bodyDiv w:val="1"/>
      <w:marLeft w:val="0"/>
      <w:marRight w:val="0"/>
      <w:marTop w:val="0"/>
      <w:marBottom w:val="0"/>
      <w:divBdr>
        <w:top w:val="none" w:sz="0" w:space="0" w:color="auto"/>
        <w:left w:val="none" w:sz="0" w:space="0" w:color="auto"/>
        <w:bottom w:val="none" w:sz="0" w:space="0" w:color="auto"/>
        <w:right w:val="none" w:sz="0" w:space="0" w:color="auto"/>
      </w:divBdr>
      <w:divsChild>
        <w:div w:id="1354763942">
          <w:marLeft w:val="0"/>
          <w:marRight w:val="0"/>
          <w:marTop w:val="0"/>
          <w:marBottom w:val="0"/>
          <w:divBdr>
            <w:top w:val="none" w:sz="0" w:space="0" w:color="auto"/>
            <w:left w:val="none" w:sz="0" w:space="0" w:color="auto"/>
            <w:bottom w:val="none" w:sz="0" w:space="0" w:color="auto"/>
            <w:right w:val="none" w:sz="0" w:space="0" w:color="auto"/>
          </w:divBdr>
          <w:divsChild>
            <w:div w:id="123810198">
              <w:marLeft w:val="0"/>
              <w:marRight w:val="0"/>
              <w:marTop w:val="0"/>
              <w:marBottom w:val="0"/>
              <w:divBdr>
                <w:top w:val="none" w:sz="0" w:space="0" w:color="auto"/>
                <w:left w:val="none" w:sz="0" w:space="0" w:color="auto"/>
                <w:bottom w:val="none" w:sz="0" w:space="0" w:color="auto"/>
                <w:right w:val="none" w:sz="0" w:space="0" w:color="auto"/>
              </w:divBdr>
              <w:divsChild>
                <w:div w:id="541869711">
                  <w:marLeft w:val="0"/>
                  <w:marRight w:val="0"/>
                  <w:marTop w:val="0"/>
                  <w:marBottom w:val="0"/>
                  <w:divBdr>
                    <w:top w:val="none" w:sz="0" w:space="0" w:color="auto"/>
                    <w:left w:val="none" w:sz="0" w:space="0" w:color="auto"/>
                    <w:bottom w:val="none" w:sz="0" w:space="0" w:color="auto"/>
                    <w:right w:val="none" w:sz="0" w:space="0" w:color="auto"/>
                  </w:divBdr>
                  <w:divsChild>
                    <w:div w:id="449012126">
                      <w:marLeft w:val="0"/>
                      <w:marRight w:val="0"/>
                      <w:marTop w:val="0"/>
                      <w:marBottom w:val="0"/>
                      <w:divBdr>
                        <w:top w:val="none" w:sz="0" w:space="0" w:color="auto"/>
                        <w:left w:val="none" w:sz="0" w:space="0" w:color="auto"/>
                        <w:bottom w:val="none" w:sz="0" w:space="0" w:color="auto"/>
                        <w:right w:val="none" w:sz="0" w:space="0" w:color="auto"/>
                      </w:divBdr>
                      <w:divsChild>
                        <w:div w:id="242643326">
                          <w:marLeft w:val="0"/>
                          <w:marRight w:val="0"/>
                          <w:marTop w:val="0"/>
                          <w:marBottom w:val="0"/>
                          <w:divBdr>
                            <w:top w:val="none" w:sz="0" w:space="0" w:color="auto"/>
                            <w:left w:val="none" w:sz="0" w:space="0" w:color="auto"/>
                            <w:bottom w:val="none" w:sz="0" w:space="0" w:color="auto"/>
                            <w:right w:val="none" w:sz="0" w:space="0" w:color="auto"/>
                          </w:divBdr>
                          <w:divsChild>
                            <w:div w:id="1884439737">
                              <w:marLeft w:val="0"/>
                              <w:marRight w:val="0"/>
                              <w:marTop w:val="0"/>
                              <w:marBottom w:val="0"/>
                              <w:divBdr>
                                <w:top w:val="none" w:sz="0" w:space="0" w:color="auto"/>
                                <w:left w:val="none" w:sz="0" w:space="0" w:color="auto"/>
                                <w:bottom w:val="none" w:sz="0" w:space="0" w:color="auto"/>
                                <w:right w:val="none" w:sz="0" w:space="0" w:color="auto"/>
                              </w:divBdr>
                              <w:divsChild>
                                <w:div w:id="98375167">
                                  <w:marLeft w:val="0"/>
                                  <w:marRight w:val="0"/>
                                  <w:marTop w:val="0"/>
                                  <w:marBottom w:val="0"/>
                                  <w:divBdr>
                                    <w:top w:val="none" w:sz="0" w:space="0" w:color="auto"/>
                                    <w:left w:val="none" w:sz="0" w:space="0" w:color="auto"/>
                                    <w:bottom w:val="none" w:sz="0" w:space="0" w:color="auto"/>
                                    <w:right w:val="none" w:sz="0" w:space="0" w:color="auto"/>
                                  </w:divBdr>
                                  <w:divsChild>
                                    <w:div w:id="824662362">
                                      <w:marLeft w:val="0"/>
                                      <w:marRight w:val="0"/>
                                      <w:marTop w:val="0"/>
                                      <w:marBottom w:val="0"/>
                                      <w:divBdr>
                                        <w:top w:val="none" w:sz="0" w:space="0" w:color="auto"/>
                                        <w:left w:val="none" w:sz="0" w:space="0" w:color="auto"/>
                                        <w:bottom w:val="none" w:sz="0" w:space="0" w:color="auto"/>
                                        <w:right w:val="none" w:sz="0" w:space="0" w:color="auto"/>
                                      </w:divBdr>
                                      <w:divsChild>
                                        <w:div w:id="809830328">
                                          <w:marLeft w:val="0"/>
                                          <w:marRight w:val="0"/>
                                          <w:marTop w:val="0"/>
                                          <w:marBottom w:val="0"/>
                                          <w:divBdr>
                                            <w:top w:val="none" w:sz="0" w:space="0" w:color="auto"/>
                                            <w:left w:val="none" w:sz="0" w:space="0" w:color="auto"/>
                                            <w:bottom w:val="none" w:sz="0" w:space="0" w:color="auto"/>
                                            <w:right w:val="none" w:sz="0" w:space="0" w:color="auto"/>
                                          </w:divBdr>
                                          <w:divsChild>
                                            <w:div w:id="205542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03597178">
      <w:bodyDiv w:val="1"/>
      <w:marLeft w:val="0"/>
      <w:marRight w:val="0"/>
      <w:marTop w:val="0"/>
      <w:marBottom w:val="0"/>
      <w:divBdr>
        <w:top w:val="none" w:sz="0" w:space="0" w:color="auto"/>
        <w:left w:val="none" w:sz="0" w:space="0" w:color="auto"/>
        <w:bottom w:val="none" w:sz="0" w:space="0" w:color="auto"/>
        <w:right w:val="none" w:sz="0" w:space="0" w:color="auto"/>
      </w:divBdr>
    </w:div>
    <w:div w:id="841435279">
      <w:bodyDiv w:val="1"/>
      <w:marLeft w:val="0"/>
      <w:marRight w:val="0"/>
      <w:marTop w:val="0"/>
      <w:marBottom w:val="0"/>
      <w:divBdr>
        <w:top w:val="none" w:sz="0" w:space="0" w:color="auto"/>
        <w:left w:val="none" w:sz="0" w:space="0" w:color="auto"/>
        <w:bottom w:val="none" w:sz="0" w:space="0" w:color="auto"/>
        <w:right w:val="none" w:sz="0" w:space="0" w:color="auto"/>
      </w:divBdr>
    </w:div>
    <w:div w:id="19485842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image" Target="media/image1.png"/>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_rels/footer3.xml.rels><?xml version="1.0" encoding="UTF-8"?>

<Relationships xmlns="http://schemas.openxmlformats.org/package/2006/relationships">
  <Relationship Id="rId1"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lentele" DocPartId="4b6b9ffed7914aa18fa2a293fbd49033" PartId="d04c18b786a341309bb77736d73a3026"/>
  <Part Type="pastraipa" DocPartId="ff81a8db85da4db79d95c79897d8d819" PartId="b13b780832644455a823e047a7bfb771">
    <Part Type="punktas" Nr="1" Abbr="1 p." DocPartId="1c12bbad31ec49d8a256c79cc85c4c5f" PartId="ed0eb18e3a8a4ad0886aa05f61275a91"/>
    <Part Type="punktas" Nr="2" Abbr="2 p." DocPartId="085a702eb48941549ee93c7f3b945319" PartId="c0c2409ec005440c889b59e559f380c8"/>
    <Part Type="punktas" Nr="3" Abbr="3 p." DocPartId="bc07b5961438468e98998f8036544401" PartId="6e3aa1b493d94cc7932a2d7a53cb73b1"/>
    <Part Type="punktas" Nr="4" Abbr="4 p." DocPartId="89f5f979cc174df6804bb6944e14732d" PartId="ce1bbe7464b24bd285f1b92993226f60"/>
    <Part Type="punktas" Nr="5" Abbr="5 p." DocPartId="0e752e6511b1492b8f738b1fedcbb27a" PartId="06ed6901799c428e849269adecea35d0"/>
    <Part Type="punktas" Nr="1" Abbr="1 p." Notes="Numeris ne iš eilės. Trūksta dalių? [DocDalys]" DocPartId="b796c162ef304d5a8bd97a9489856ed7" PartId="fb0914dd5cdf4e9895a75dedc0d83275"/>
    <Part Type="punktas" Nr="2" Abbr="2 p." DocPartId="87de4840a19948eb9fe7edb52674e6e1" PartId="bf468fc368864f929c3adb3d1e130d58"/>
    <Part Type="punktas" Nr="3" Abbr="3 p." DocPartId="774ec5efeff24159880e72271eac6cba" PartId="7594e8efe181406ba3beca0a26ac1ccf"/>
    <Part Type="signatura" DocPartId="f24c11fdb4d040a98955660679faed41" PartId="61b99c8efd4745e786e78996db4d44d2"/>
  </Part>
</Parts>
</file>

<file path=customXml/itemProps1.xml><?xml version="1.0" encoding="utf-8"?>
<ds:datastoreItem xmlns:ds="http://schemas.openxmlformats.org/officeDocument/2006/customXml" ds:itemID="{3BDF8793-D90A-4525-8690-DB29626CFCB8}">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28B95862-A7E0-4875-B4ED-B1922ABFF57A}">
  <ds:schemaRefs>
    <ds:schemaRef ds:uri="http://schemas.microsoft.com/sharepoint/v3/contenttype/forms"/>
  </ds:schemaRefs>
</ds:datastoreItem>
</file>

<file path=customXml/itemProps3.xml><?xml version="1.0" encoding="utf-8"?>
<ds:datastoreItem xmlns:ds="http://schemas.openxmlformats.org/officeDocument/2006/customXml" ds:itemID="{B39416CC-DB79-462C-9FBD-EFD4716C1B5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CC82E65-C568-4959-B01B-C454D8CC7FD2}">
  <ds:schemaRefs>
    <ds:schemaRef ds:uri="http://schemas.openxmlformats.org/officeDocument/2006/bibliography"/>
  </ds:schemaRefs>
</ds:datastoreItem>
</file>

<file path=customXml/itemProps5.xml><?xml version="1.0" encoding="utf-8"?>
<ds:datastoreItem xmlns:ds="http://schemas.openxmlformats.org/officeDocument/2006/customXml" ds:itemID="{C445AA14-87C4-4122-9C12-ECD2A44F545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416</Words>
  <Characters>2984</Characters>
  <Application>Microsoft Office Word</Application>
  <DocSecurity>4</DocSecurity>
  <Lines>72</Lines>
  <Paragraphs>36</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3364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2021-03-22T14:45:00Z</dcterms:created>
  <dc:creator>l.ceicyte</dc:creator>
  <lastModifiedBy>adlibuser</lastModifiedBy>
  <lastPrinted>2019-05-24T09:45:00Z</lastPrinted>
  <dcterms:modified xsi:type="dcterms:W3CDTF">2021-03-22T14:45:00Z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ies>
</file>