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34fcbd8b36445fa84740e7dccc6e4ee"/>
        <w:lock w:val="sdtLocked"/>
        <w:richText/>
      </w:sdtPr>
      <w:sdtContent>
        <w:tbl>
          <w:tblPr>
            <w:tblW w:w="11878" w:type="dxa"/>
            <w:tblCellMar>
              <w:left w:w="10" w:type="dxa"/>
              <w:right w:w="10" w:type="dxa"/>
            </w:tblCellMar>
            <w:tblLook w:val="04A0" w:firstRow="1" w:lastRow="0" w:firstColumn="1" w:lastColumn="0" w:noHBand="0" w:noVBand="1"/>
          </w:tblPr>
          <w:tblGrid>
            <w:gridCol w:w="2141"/>
            <w:gridCol w:w="4663"/>
            <w:gridCol w:w="5074"/>
          </w:tblGrid>
          <w:tr>
            <w:tc>
              <w:tcPr>
                <w:tcW w:w="2141" w:type="dxa"/>
                <w:shd w:val="clear" w:color="auto" w:fill="auto"/>
                <w:tcMar>
                  <w:top w:w="0" w:type="dxa"/>
                  <w:left w:w="108" w:type="dxa"/>
                  <w:bottom w:w="0" w:type="dxa"/>
                  <w:right w:w="108" w:type="dxa"/>
                </w:tcMar>
              </w:tcPr>
              <w:p>
                <w:pPr>
                  <w:tabs>
                    <w:tab w:val="center" w:pos="4986"/>
                    <w:tab w:val="right" w:pos="9972"/>
                  </w:tabs>
                  <w:suppressAutoHyphens/>
                </w:pPr>
              </w:p>
              <w:p>
                <w:pPr>
                  <w:tabs>
                    <w:tab w:val="center" w:pos="4819"/>
                    <w:tab w:val="right" w:pos="9638"/>
                  </w:tabs>
                  <w:suppressAutoHyphens/>
                  <w:ind w:right="45"/>
                  <w:rPr>
                    <w:szCs w:val="24"/>
                  </w:rPr>
                </w:pPr>
              </w:p>
              <w:p>
                <w:pPr>
                  <w:tabs>
                    <w:tab w:val="center" w:pos="4153"/>
                    <w:tab w:val="right" w:pos="8306"/>
                  </w:tabs>
                  <w:suppressAutoHyphens/>
                  <w:rPr>
                    <w:szCs w:val="24"/>
                    <w:lang w:val="en-US"/>
                  </w:rPr>
                </w:pPr>
              </w:p>
              <w:p>
                <w:pPr>
                  <w:suppressAutoHyphens/>
                  <w:rPr>
                    <w:b/>
                    <w:szCs w:val="24"/>
                    <w:lang w:eastAsia="lt-LT"/>
                  </w:rPr>
                </w:pPr>
              </w:p>
            </w:tc>
            <w:tc>
              <w:tcPr>
                <w:tcW w:w="4663" w:type="dxa"/>
                <w:shd w:val="clear" w:color="auto" w:fill="auto"/>
                <w:tcMar>
                  <w:top w:w="0" w:type="dxa"/>
                  <w:left w:w="108" w:type="dxa"/>
                  <w:bottom w:w="0" w:type="dxa"/>
                  <w:right w:w="108" w:type="dxa"/>
                </w:tcMar>
              </w:tcPr>
              <w:p>
                <w:pPr>
                  <w:suppressAutoHyphens/>
                  <w:rPr>
                    <w:b/>
                    <w:szCs w:val="24"/>
                    <w:lang w:eastAsia="lt-LT"/>
                  </w:rPr>
                </w:pPr>
              </w:p>
            </w:tc>
            <w:tc>
              <w:tcPr>
                <w:tcW w:w="5074" w:type="dxa"/>
                <w:shd w:val="clear" w:color="auto" w:fill="auto"/>
                <w:tcMar>
                  <w:top w:w="0" w:type="dxa"/>
                  <w:left w:w="108" w:type="dxa"/>
                  <w:bottom w:w="0" w:type="dxa"/>
                  <w:right w:w="108" w:type="dxa"/>
                </w:tcMar>
              </w:tcPr>
              <w:p>
                <w:pPr>
                  <w:suppressAutoHyphens/>
                  <w:ind w:firstLine="1116"/>
                </w:pPr>
                <w:r>
                  <w:rPr>
                    <w:b/>
                    <w:bCs/>
                    <w:color w:val="000000"/>
                    <w:szCs w:val="24"/>
                    <w:lang w:eastAsia="lt-LT"/>
                  </w:rPr>
                  <w:t>Projektas</w:t>
                </w:r>
              </w:p>
              <w:p>
                <w:pPr>
                  <w:suppressAutoHyphens/>
                  <w:ind w:firstLine="4857"/>
                  <w:rPr>
                    <w:szCs w:val="24"/>
                  </w:rPr>
                </w:pPr>
              </w:p>
              <w:p>
                <w:pPr>
                  <w:suppressAutoHyphens/>
                  <w:rPr>
                    <w:b/>
                    <w:szCs w:val="24"/>
                    <w:lang w:eastAsia="lt-LT"/>
                  </w:rPr>
                </w:pPr>
              </w:p>
            </w:tc>
          </w:tr>
          <w:tr>
            <w:tc>
              <w:tcPr>
                <w:tcW w:w="2141" w:type="dxa"/>
                <w:shd w:val="clear" w:color="auto" w:fill="auto"/>
                <w:tcMar>
                  <w:top w:w="0" w:type="dxa"/>
                  <w:left w:w="108" w:type="dxa"/>
                  <w:bottom w:w="0" w:type="dxa"/>
                  <w:right w:w="108" w:type="dxa"/>
                </w:tcMar>
              </w:tcPr>
              <w:p>
                <w:pPr>
                  <w:tabs>
                    <w:tab w:val="center" w:pos="4819"/>
                    <w:tab w:val="right" w:pos="9638"/>
                  </w:tabs>
                  <w:suppressAutoHyphens/>
                  <w:rPr>
                    <w:szCs w:val="24"/>
                  </w:rPr>
                </w:pPr>
              </w:p>
            </w:tc>
            <w:tc>
              <w:tcPr>
                <w:tcW w:w="4663" w:type="dxa"/>
                <w:shd w:val="clear" w:color="auto" w:fill="auto"/>
                <w:tcMar>
                  <w:top w:w="0" w:type="dxa"/>
                  <w:left w:w="108" w:type="dxa"/>
                  <w:bottom w:w="0" w:type="dxa"/>
                  <w:right w:w="108" w:type="dxa"/>
                </w:tcMar>
              </w:tcPr>
              <w:p>
                <w:pPr>
                  <w:suppressAutoHyphens/>
                  <w:ind w:right="282"/>
                  <w:rPr>
                    <w:b/>
                    <w:szCs w:val="24"/>
                    <w:lang w:eastAsia="lt-LT"/>
                  </w:rPr>
                </w:pPr>
              </w:p>
            </w:tc>
            <w:tc>
              <w:tcPr>
                <w:tcW w:w="5074" w:type="dxa"/>
                <w:shd w:val="clear" w:color="auto" w:fill="auto"/>
                <w:tcMar>
                  <w:top w:w="0" w:type="dxa"/>
                  <w:left w:w="108" w:type="dxa"/>
                  <w:bottom w:w="0" w:type="dxa"/>
                  <w:right w:w="108" w:type="dxa"/>
                </w:tcMar>
              </w:tcPr>
              <w:p>
                <w:pPr>
                  <w:suppressAutoHyphens/>
                  <w:rPr>
                    <w:b/>
                    <w:szCs w:val="24"/>
                    <w:lang w:eastAsia="lt-LT"/>
                  </w:rPr>
                </w:pPr>
              </w:p>
            </w:tc>
          </w:tr>
          <w:tr>
            <w:tc>
              <w:tcPr>
                <w:tcW w:w="2141" w:type="dxa"/>
                <w:shd w:val="clear" w:color="auto" w:fill="auto"/>
                <w:tcMar>
                  <w:top w:w="0" w:type="dxa"/>
                  <w:left w:w="108" w:type="dxa"/>
                  <w:bottom w:w="0" w:type="dxa"/>
                  <w:right w:w="108" w:type="dxa"/>
                </w:tcMar>
              </w:tcPr>
              <w:p>
                <w:pPr>
                  <w:tabs>
                    <w:tab w:val="center" w:pos="4819"/>
                    <w:tab w:val="right" w:pos="9638"/>
                  </w:tabs>
                  <w:suppressAutoHyphens/>
                  <w:rPr>
                    <w:szCs w:val="24"/>
                  </w:rPr>
                </w:pPr>
              </w:p>
            </w:tc>
            <w:tc>
              <w:tcPr>
                <w:tcW w:w="4663" w:type="dxa"/>
                <w:shd w:val="clear" w:color="auto" w:fill="auto"/>
                <w:tcMar>
                  <w:top w:w="0" w:type="dxa"/>
                  <w:left w:w="108" w:type="dxa"/>
                  <w:bottom w:w="0" w:type="dxa"/>
                  <w:right w:w="108" w:type="dxa"/>
                </w:tcMar>
              </w:tcPr>
              <w:p>
                <w:pPr>
                  <w:suppressAutoHyphens/>
                  <w:ind w:right="282"/>
                  <w:rPr>
                    <w:b/>
                    <w:szCs w:val="24"/>
                    <w:lang w:eastAsia="lt-LT"/>
                  </w:rPr>
                </w:pPr>
              </w:p>
            </w:tc>
            <w:tc>
              <w:tcPr>
                <w:tcW w:w="5074" w:type="dxa"/>
                <w:shd w:val="clear" w:color="auto" w:fill="auto"/>
                <w:tcMar>
                  <w:top w:w="0" w:type="dxa"/>
                  <w:left w:w="108" w:type="dxa"/>
                  <w:bottom w:w="0" w:type="dxa"/>
                  <w:right w:w="108" w:type="dxa"/>
                </w:tcMar>
              </w:tcPr>
              <w:p>
                <w:pPr>
                  <w:suppressAutoHyphens/>
                  <w:rPr>
                    <w:b/>
                    <w:szCs w:val="24"/>
                    <w:lang w:eastAsia="lt-LT"/>
                  </w:rPr>
                </w:pPr>
              </w:p>
            </w:tc>
          </w:tr>
        </w:tbl>
        <w:sdt>
          <w:sdtPr>
            <w:alias w:val="skirsnis"/>
            <w:tag w:val="part_d96545c4ccb34dcb8d4e272142784325"/>
            <w:lock w:val="sdtLocked"/>
            <w:richText/>
          </w:sdtPr>
          <w:sdtContent>
            <w:sdt>
              <w:sdtPr>
                <w:alias w:val="Pavadinimas"/>
                <w:tag w:val="title_d96545c4ccb34dcb8d4e272142784325"/>
                <w:lock w:val="sdtLocked"/>
                <w:richText/>
              </w:sdtPr>
              <w:sdtContent>
                <w:p>
                  <w:pPr>
                    <w:suppressAutoHyphens/>
                    <w:jc w:val="center"/>
                    <w:rPr>
                      <w:b/>
                      <w:bCs/>
                      <w:caps/>
                      <w:szCs w:val="24"/>
                    </w:rPr>
                  </w:pPr>
                  <w:r>
                    <w:rPr>
                      <w:b/>
                      <w:bCs/>
                      <w:caps/>
                      <w:szCs w:val="24"/>
                    </w:rPr>
                    <w:t xml:space="preserve">LIETUVOS RESPUBLIKOS </w:t>
                  </w:r>
                </w:p>
                <w:p>
                  <w:pPr>
                    <w:suppressAutoHyphens/>
                    <w:jc w:val="center"/>
                  </w:pPr>
                  <w:r>
                    <w:rPr>
                      <w:b/>
                      <w:bCs/>
                      <w:caps/>
                    </w:rPr>
                    <w:t>APLINKOS APSAUGOS ĮSTATYMO NR. I-2223 1, 37, 40</w:t>
                  </w:r>
                  <w:r>
                    <w:rPr>
                      <w:b/>
                      <w:bCs/>
                      <w:caps/>
                      <w:vertAlign w:val="superscript"/>
                    </w:rPr>
                    <w:t>1</w:t>
                  </w:r>
                  <w:r>
                    <w:rPr>
                      <w:b/>
                      <w:bCs/>
                      <w:caps/>
                    </w:rPr>
                    <w:t xml:space="preserve">, 47, 87, </w:t>
                  </w:r>
                  <w:r>
                    <w:rPr>
                      <w:b/>
                      <w:bCs/>
                    </w:rPr>
                    <w:t>109</w:t>
                  </w:r>
                  <w:r>
                    <w:rPr>
                      <w:b/>
                      <w:bCs/>
                      <w:vertAlign w:val="superscript"/>
                    </w:rPr>
                    <w:t>1</w:t>
                  </w:r>
                  <w:r>
                    <w:rPr>
                      <w:b/>
                      <w:bCs/>
                      <w:caps/>
                    </w:rPr>
                    <w:t>, 110, 122</w:t>
                  </w:r>
                  <w:r>
                    <w:rPr>
                      <w:b/>
                      <w:bCs/>
                      <w:caps/>
                      <w:vertAlign w:val="superscript"/>
                    </w:rPr>
                    <w:t>4</w:t>
                  </w:r>
                  <w:r>
                    <w:rPr>
                      <w:b/>
                      <w:bCs/>
                      <w:caps/>
                    </w:rPr>
                    <w:t xml:space="preserve"> STRAIPSNIų IR </w:t>
                  </w:r>
                  <w:r>
                    <w:rPr>
                      <w:b/>
                      <w:bCs/>
                    </w:rPr>
                    <w:t>PRIEDO</w:t>
                  </w:r>
                  <w:r>
                    <w:rPr>
                      <w:b/>
                      <w:bCs/>
                      <w:caps/>
                    </w:rPr>
                    <w:t xml:space="preserve"> PAKEITIMO, ĮSTATYMO PAPILDYMO 110</w:t>
                  </w:r>
                  <w:r>
                    <w:rPr>
                      <w:b/>
                      <w:bCs/>
                      <w:caps/>
                      <w:vertAlign w:val="superscript"/>
                    </w:rPr>
                    <w:t>2</w:t>
                  </w:r>
                  <w:r>
                    <w:rPr>
                      <w:b/>
                      <w:bCs/>
                      <w:caps/>
                    </w:rPr>
                    <w:t>, 110</w:t>
                  </w:r>
                  <w:r>
                    <w:rPr>
                      <w:b/>
                      <w:bCs/>
                      <w:caps/>
                      <w:vertAlign w:val="superscript"/>
                    </w:rPr>
                    <w:t>3</w:t>
                  </w:r>
                  <w:r>
                    <w:rPr>
                      <w:b/>
                      <w:bCs/>
                      <w:caps/>
                    </w:rPr>
                    <w:t>, 110</w:t>
                  </w:r>
                  <w:r>
                    <w:rPr>
                      <w:b/>
                      <w:bCs/>
                      <w:caps/>
                      <w:vertAlign w:val="superscript"/>
                    </w:rPr>
                    <w:t>4</w:t>
                  </w:r>
                  <w:r>
                    <w:rPr>
                      <w:b/>
                      <w:bCs/>
                      <w:caps/>
                    </w:rPr>
                    <w:t>, 118</w:t>
                  </w:r>
                  <w:r>
                    <w:rPr>
                      <w:b/>
                      <w:bCs/>
                      <w:caps/>
                      <w:vertAlign w:val="superscript"/>
                    </w:rPr>
                    <w:t xml:space="preserve">2 </w:t>
                  </w:r>
                  <w:r>
                    <w:rPr>
                      <w:b/>
                      <w:bCs/>
                      <w:caps/>
                    </w:rPr>
                    <w:t>STRAIPSNIAIS  IR 110</w:t>
                  </w:r>
                  <w:r>
                    <w:rPr>
                      <w:b/>
                      <w:bCs/>
                      <w:caps/>
                      <w:vertAlign w:val="superscript"/>
                    </w:rPr>
                    <w:t xml:space="preserve">2 </w:t>
                  </w:r>
                  <w:r>
                    <w:rPr>
                      <w:b/>
                      <w:bCs/>
                      <w:caps/>
                    </w:rPr>
                    <w:t xml:space="preserve">STRAIPSNIO PRIPAŽINIMO NETEKUSIU GALIOS </w:t>
                  </w:r>
                </w:p>
                <w:p>
                  <w:pPr>
                    <w:suppressAutoHyphens/>
                    <w:jc w:val="center"/>
                  </w:pPr>
                  <w:r>
                    <w:rPr>
                      <w:b/>
                      <w:bCs/>
                      <w:caps/>
                    </w:rPr>
                    <w:t>ĮSTATYMAS</w:t>
                  </w:r>
                </w:p>
              </w:sdtContent>
            </w:sdt>
            <w:p>
              <w:pPr>
                <w:suppressAutoHyphens/>
                <w:jc w:val="center"/>
                <w:rPr>
                  <w:b/>
                  <w:caps/>
                  <w:szCs w:val="24"/>
                </w:rPr>
              </w:pPr>
            </w:p>
            <w:p>
              <w:pPr>
                <w:suppressAutoHyphens/>
                <w:jc w:val="center"/>
                <w:rPr>
                  <w:szCs w:val="24"/>
                </w:rPr>
              </w:pPr>
              <w:r>
                <w:rPr>
                  <w:szCs w:val="24"/>
                </w:rPr>
                <w:t xml:space="preserve">2025 m.                     d. Nr. </w:t>
              </w:r>
            </w:p>
            <w:p>
              <w:pPr>
                <w:suppressAutoHyphens/>
                <w:jc w:val="center"/>
                <w:rPr>
                  <w:szCs w:val="24"/>
                </w:rPr>
              </w:pPr>
              <w:r>
                <w:rPr>
                  <w:szCs w:val="24"/>
                </w:rPr>
                <w:t>Vilnius</w:t>
              </w:r>
            </w:p>
            <w:p>
              <w:pPr>
                <w:suppressAutoHyphens/>
                <w:spacing w:line="360" w:lineRule="auto"/>
                <w:ind w:firstLine="720"/>
                <w:jc w:val="both"/>
                <w:rPr>
                  <w:b/>
                  <w:bCs/>
                  <w:color w:val="000000"/>
                  <w:szCs w:val="24"/>
                  <w:lang w:val="lt"/>
                </w:rPr>
              </w:pPr>
            </w:p>
            <w:sdt>
              <w:sdtPr>
                <w:alias w:val="1 str."/>
                <w:tag w:val="part_49621039765c49a8a60fea6845a5e6c6"/>
                <w:lock w:val="sdtLocked"/>
                <w:richText/>
              </w:sdtPr>
              <w:sdtContent>
                <w:p>
                  <w:pPr>
                    <w:widowControl w:val="0"/>
                    <w:suppressAutoHyphens/>
                    <w:spacing w:line="276" w:lineRule="auto"/>
                    <w:ind w:firstLine="720"/>
                    <w:jc w:val="both"/>
                  </w:pPr>
                  <w:sdt>
                    <w:sdtPr>
                      <w:alias w:val="Numeris"/>
                      <w:tag w:val="nr_49621039765c49a8a60fea6845a5e6c6"/>
                      <w:lock w:val="sdtLocked"/>
                      <w:richText/>
                    </w:sdtPr>
                    <w:sdtContent>
                      <w:r>
                        <w:rPr>
                          <w:b/>
                          <w:color w:val="000000"/>
                          <w:szCs w:val="24"/>
                        </w:rPr>
                        <w:t>1</w:t>
                      </w:r>
                    </w:sdtContent>
                  </w:sdt>
                  <w:r>
                    <w:rPr>
                      <w:b/>
                      <w:color w:val="000000"/>
                      <w:szCs w:val="24"/>
                    </w:rPr>
                    <w:t xml:space="preserve"> straipsnis. </w:t>
                  </w:r>
                  <w:sdt>
                    <w:sdtPr>
                      <w:alias w:val="Pavadinimas"/>
                      <w:tag w:val="title_49621039765c49a8a60fea6845a5e6c6"/>
                      <w:lock w:val="sdtLocked"/>
                      <w:richText/>
                    </w:sdtPr>
                    <w:sdtContent>
                      <w:r>
                        <w:rPr>
                          <w:b/>
                          <w:bCs/>
                          <w:color w:val="000000"/>
                          <w:szCs w:val="24"/>
                        </w:rPr>
                        <w:t>1 straipsnio pakeitimas</w:t>
                      </w:r>
                    </w:sdtContent>
                  </w:sdt>
                </w:p>
                <w:sdt>
                  <w:sdtPr>
                    <w:alias w:val="1 str. 1 d."/>
                    <w:tag w:val="part_428fb66dd0b5468d9ac0066220338232"/>
                    <w:lock w:val="sdtLocked"/>
                    <w:richText/>
                  </w:sdtPr>
                  <w:sdtContent>
                    <w:p>
                      <w:pPr>
                        <w:widowControl w:val="0"/>
                        <w:suppressAutoHyphens/>
                        <w:spacing w:line="276" w:lineRule="auto"/>
                        <w:ind w:firstLine="720"/>
                        <w:jc w:val="both"/>
                        <w:rPr>
                          <w:color w:val="000000"/>
                          <w:szCs w:val="24"/>
                        </w:rPr>
                      </w:pPr>
                      <w:r>
                        <w:rPr>
                          <w:color w:val="000000"/>
                          <w:szCs w:val="24"/>
                        </w:rPr>
                        <w:t>Pakeisti 1 straipsnio 38 punktą ir jį išdėstyti taip:</w:t>
                      </w:r>
                    </w:p>
                    <w:sdt>
                      <w:sdtPr>
                        <w:alias w:val="citata"/>
                        <w:tag w:val="part_6e7796731f964980b5fe8b63c0de3d27"/>
                        <w:lock w:val="sdtLocked"/>
                        <w:richText/>
                      </w:sdtPr>
                      <w:sdtContent>
                        <w:sdt>
                          <w:sdtPr>
                            <w:alias w:val="38 p."/>
                            <w:tag w:val="part_eda13828fe0d42b7869ee3c75363f367"/>
                            <w:lock w:val="sdtLocked"/>
                            <w:richText/>
                          </w:sdtPr>
                          <w:sdtContent>
                            <w:p>
                              <w:pPr>
                                <w:widowControl w:val="0"/>
                                <w:suppressAutoHyphens/>
                                <w:spacing w:line="276" w:lineRule="auto"/>
                                <w:ind w:firstLine="720"/>
                                <w:jc w:val="both"/>
                              </w:pPr>
                              <w:r>
                                <w:rPr>
                                  <w:color w:val="000000"/>
                                  <w:lang w:val="lt"/>
                                </w:rPr>
                                <w:t>„</w:t>
                              </w:r>
                              <w:sdt>
                                <w:sdtPr>
                                  <w:alias w:val="Numeris"/>
                                  <w:tag w:val="nr_eda13828fe0d42b7869ee3c75363f367"/>
                                  <w:lock w:val="sdtLocked"/>
                                  <w:richText/>
                                </w:sdtPr>
                                <w:sdtContent>
                                  <w:r>
                                    <w:rPr>
                                      <w:color w:val="000000"/>
                                      <w:lang w:val="lt"/>
                                    </w:rPr>
                                    <w:t>38</w:t>
                                  </w:r>
                                </w:sdtContent>
                              </w:sdt>
                              <w:r>
                                <w:rPr>
                                  <w:color w:val="000000"/>
                                  <w:lang w:val="lt"/>
                                </w:rPr>
                                <w:t xml:space="preserve">) kitos šiame įstatyme vartojamos sąvokos suprantamos taip, kaip jos apibrėžiamos Lietuvos Respublikos aplinkos apsaugos valstybinės kontrolės įstatyme, Lietuvos Respublikos krizių valdymo ir civilinės saugos įstatyme, Lietuvos Respublikos energetikos įstatyme, Lietuvos Respublikos planuojamos ūkinės veiklos poveikio aplinkai vertinimo įstatyme, Lietuvos Respublikos teritorijų planavimo įstatyme, Lietuvos Respublikos statybos įstatyme, Lietuvos Respublikos vietos savivaldos įstatyme, Lietuvos Respublikos želdynų įstatyme, Reglamente </w:t>
                              </w:r>
                              <w:fldSimple w:instr="HYPERLINK http://eur-lex.europa.eu/legal-content/LIT/TXT/?uri=CELEX:32023R0956&amp;locale=lt \t _blank">
                                <w:r>
                                  <w:rPr>
                                    <w:color w:val="0000FF" w:themeColor="hyperlink"/>
                                    <w:lang w:val="lt"/>
                                    <w:u w:val="single"/>
                                  </w:rPr>
                                  <w:t>(ES) 2023/956</w:t>
                                </w:r>
                              </w:fldSimple>
                              <w:r>
                                <w:rPr>
                                  <w:color w:val="000000"/>
                                  <w:lang w:val="lt"/>
                                </w:rPr>
                                <w:t xml:space="preserve">, Reglamente </w:t>
                              </w:r>
                              <w:fldSimple w:instr="HYPERLINK http://eur-lex.europa.eu/legal-content/LIT/TXT/?uri=CELEX:32023R1115&amp;locale=lt \t _blank">
                                <w:r>
                                  <w:rPr>
                                    <w:color w:val="0000FF" w:themeColor="hyperlink"/>
                                    <w:lang w:val="lt"/>
                                    <w:u w:val="single"/>
                                  </w:rPr>
                                  <w:t>(ES) 2023/1115</w:t>
                                </w:r>
                              </w:fldSimple>
                              <w:r>
                                <w:rPr>
                                  <w:color w:val="000000"/>
                                  <w:lang w:val="lt"/>
                                </w:rPr>
                                <w:t xml:space="preserve">, </w:t>
                              </w:r>
                              <w:r>
                                <w:rPr>
                                  <w:lang w:val="lt"/>
                                </w:rPr>
                                <w:t xml:space="preserve">Reglamente </w:t>
                              </w:r>
                              <w:fldSimple w:instr="HYPERLINK http://eur-lex.europa.eu/legal-content/LIT/TXT/?uri=CELEX:32023R1805&amp;locale=lt \t _blank">
                                <w:r>
                                  <w:rPr>
                                    <w:lang w:val="lt"/>
                                    <w:u w:val="single"/>
                                    <w:color w:val="0000FF" w:themeColor="hyperlink"/>
                                  </w:rPr>
                                  <w:t>(ES) 2023/1805</w:t>
                                </w:r>
                              </w:fldSimple>
                              <w:r>
                                <w:rPr>
                                  <w:lang w:val="lt"/>
                                </w:rPr>
                                <w:t xml:space="preserve"> ir Reglamente </w:t>
                              </w:r>
                              <w:fldSimple w:instr="HYPERLINK http://eur-lex.europa.eu/legal-content/LIT/TXT/?uri=CELEX:32024R0590&amp;locale=lt \t _blank">
                                <w:r>
                                  <w:rPr>
                                    <w:lang w:val="lt"/>
                                    <w:u w:val="single"/>
                                    <w:color w:val="0000FF" w:themeColor="hyperlink"/>
                                  </w:rPr>
                                  <w:t>(ES) 2024/590</w:t>
                                </w:r>
                              </w:fldSimple>
                              <w:r>
                                <w:rPr>
                                  <w:color w:val="000000"/>
                                  <w:lang w:val="lt"/>
                                </w:rPr>
                                <w:t>.“</w:t>
                              </w:r>
                            </w:p>
                            <w:p>
                              <w:pPr>
                                <w:widowControl w:val="0"/>
                                <w:suppressAutoHyphens/>
                                <w:spacing w:line="276" w:lineRule="auto"/>
                                <w:ind w:firstLine="720"/>
                                <w:jc w:val="both"/>
                                <w:rPr>
                                  <w:b/>
                                  <w:bCs/>
                                  <w:color w:val="000000"/>
                                  <w:szCs w:val="24"/>
                                </w:rPr>
                              </w:pPr>
                            </w:p>
                          </w:sdtContent>
                        </w:sdt>
                      </w:sdtContent>
                    </w:sdt>
                  </w:sdtContent>
                </w:sdt>
              </w:sdtContent>
            </w:sdt>
            <w:sdt>
              <w:sdtPr>
                <w:alias w:val="2 str."/>
                <w:tag w:val="part_176ab85bfad6452ca6113a8e7e96ac72"/>
                <w:lock w:val="sdtLocked"/>
                <w:richText/>
              </w:sdtPr>
              <w:sdtContent>
                <w:p>
                  <w:pPr>
                    <w:widowControl w:val="0"/>
                    <w:suppressAutoHyphens/>
                    <w:spacing w:line="276" w:lineRule="auto"/>
                    <w:ind w:firstLine="720"/>
                    <w:jc w:val="both"/>
                    <w:rPr>
                      <w:b/>
                      <w:bCs/>
                      <w:color w:val="000000"/>
                    </w:rPr>
                  </w:pPr>
                  <w:sdt>
                    <w:sdtPr>
                      <w:alias w:val="Numeris"/>
                      <w:tag w:val="nr_176ab85bfad6452ca6113a8e7e96ac72"/>
                      <w:lock w:val="sdtLocked"/>
                      <w:richText/>
                    </w:sdtPr>
                    <w:sdtContent>
                      <w:r>
                        <w:rPr>
                          <w:b/>
                          <w:bCs/>
                          <w:color w:val="000000"/>
                        </w:rPr>
                        <w:t>2</w:t>
                      </w:r>
                    </w:sdtContent>
                  </w:sdt>
                  <w:r>
                    <w:rPr>
                      <w:b/>
                      <w:bCs/>
                      <w:color w:val="000000"/>
                    </w:rPr>
                    <w:t xml:space="preserve"> straipsnis. </w:t>
                  </w:r>
                  <w:sdt>
                    <w:sdtPr>
                      <w:alias w:val="Pavadinimas"/>
                      <w:tag w:val="title_176ab85bfad6452ca6113a8e7e96ac72"/>
                      <w:lock w:val="sdtLocked"/>
                      <w:richText/>
                    </w:sdtPr>
                    <w:sdtContent>
                      <w:r>
                        <w:rPr>
                          <w:b/>
                          <w:bCs/>
                          <w:color w:val="000000"/>
                        </w:rPr>
                        <w:t>37 straipsnio pakeitimas</w:t>
                      </w:r>
                    </w:sdtContent>
                  </w:sdt>
                </w:p>
                <w:sdt>
                  <w:sdtPr>
                    <w:alias w:val="2 str. 1 d."/>
                    <w:tag w:val="part_4fee005deedd49c6866c45d6737fb55b"/>
                    <w:lock w:val="sdtLocked"/>
                    <w:richText/>
                  </w:sdtPr>
                  <w:sdtContent>
                    <w:p>
                      <w:pPr>
                        <w:widowControl w:val="0"/>
                        <w:suppressAutoHyphens/>
                        <w:spacing w:line="276" w:lineRule="auto"/>
                        <w:ind w:firstLine="720"/>
                        <w:jc w:val="both"/>
                      </w:pPr>
                      <w:sdt>
                        <w:sdtPr>
                          <w:alias w:val="Numeris"/>
                          <w:tag w:val="nr_4fee005deedd49c6866c45d6737fb55b"/>
                          <w:lock w:val="sdtLocked"/>
                          <w:richText/>
                        </w:sdtPr>
                        <w:sdtContent>
                          <w:r>
                            <w:rPr>
                              <w:color w:val="000000"/>
                              <w:szCs w:val="24"/>
                              <w:lang w:val="lt"/>
                            </w:rPr>
                            <w:t>1</w:t>
                          </w:r>
                        </w:sdtContent>
                      </w:sdt>
                      <w:r>
                        <w:rPr>
                          <w:color w:val="000000"/>
                          <w:szCs w:val="24"/>
                          <w:lang w:val="lt"/>
                        </w:rPr>
                        <w:t>. Pakeisti 37 straipsnio 1 dalies 1 punktą ir jį išdėstyti taip:</w:t>
                      </w:r>
                    </w:p>
                    <w:sdt>
                      <w:sdtPr>
                        <w:alias w:val="citata"/>
                        <w:tag w:val="part_6de5386be73549859860537e8ad99ce1"/>
                        <w:lock w:val="sdtLocked"/>
                        <w:richText/>
                      </w:sdtPr>
                      <w:sdtContent>
                        <w:sdt>
                          <w:sdtPr>
                            <w:alias w:val="1 p."/>
                            <w:tag w:val="part_cfdbed8e25724b0c88e4e923fb2482c7"/>
                            <w:lock w:val="sdtLocked"/>
                            <w:richText/>
                          </w:sdtPr>
                          <w:sdtContent>
                            <w:p>
                              <w:pPr>
                                <w:widowControl w:val="0"/>
                                <w:suppressAutoHyphens/>
                                <w:spacing w:line="276" w:lineRule="auto"/>
                                <w:ind w:firstLine="720"/>
                                <w:jc w:val="both"/>
                              </w:pPr>
                              <w:r>
                                <w:rPr>
                                  <w:color w:val="000000"/>
                                  <w:lang w:val="lt"/>
                                </w:rPr>
                                <w:t>„</w:t>
                              </w:r>
                              <w:sdt>
                                <w:sdtPr>
                                  <w:alias w:val="Numeris"/>
                                  <w:tag w:val="nr_cfdbed8e25724b0c88e4e923fb2482c7"/>
                                  <w:lock w:val="sdtLocked"/>
                                  <w:richText/>
                                </w:sdtPr>
                                <w:sdtContent>
                                  <w:r>
                                    <w:rPr>
                                      <w:color w:val="000000"/>
                                      <w:lang w:val="lt"/>
                                    </w:rPr>
                                    <w:t>1</w:t>
                                  </w:r>
                                </w:sdtContent>
                              </w:sdt>
                              <w:r>
                                <w:rPr>
                                  <w:color w:val="000000"/>
                                  <w:lang w:val="lt"/>
                                </w:rPr>
                                <w:t>)</w:t>
                              </w:r>
                              <w:r>
                                <w:rPr>
                                  <w:b/>
                                  <w:bCs/>
                                  <w:color w:val="000000"/>
                                  <w:lang w:val="lt"/>
                                </w:rPr>
                                <w:t xml:space="preserve"> </w:t>
                              </w:r>
                              <w:r>
                                <w:rPr>
                                  <w:color w:val="000000"/>
                                  <w:lang w:val="lt"/>
                                </w:rPr>
                                <w:t>vyriausieji valstybiniai aplinkos apsaugos inspektoriai – dėl šio įstatymo 55–58, 58</w:t>
                              </w:r>
                              <w:r>
                                <w:rPr>
                                  <w:color w:val="000000"/>
                                  <w:vertAlign w:val="superscript"/>
                                  <w:lang w:val="lt"/>
                                </w:rPr>
                                <w:t>1</w:t>
                              </w:r>
                              <w:r>
                                <w:rPr>
                                  <w:color w:val="000000"/>
                                  <w:lang w:val="lt"/>
                                </w:rPr>
                                <w:t> (dėl dažų, lakų, transporto priemonių pakartotinės apdailos produktų naudojimo Lietuvos Respublikos teritorijoje), 59–</w:t>
                              </w:r>
                              <w:r>
                                <w:t>109</w:t>
                              </w:r>
                              <w:r>
                                <w:rPr>
                                  <w:vertAlign w:val="superscript"/>
                                </w:rPr>
                                <w:t>1</w:t>
                              </w:r>
                              <w:r>
                                <w:t xml:space="preserve"> (išskyrus aštuntąją dalį)</w:t>
                              </w:r>
                              <w:r>
                                <w:rPr>
                                  <w:color w:val="000000"/>
                                  <w:lang w:val="lt"/>
                                </w:rPr>
                                <w:t xml:space="preserve">, 110, </w:t>
                              </w:r>
                              <w:r>
                                <w:t>110</w:t>
                              </w:r>
                              <w:r>
                                <w:rPr>
                                  <w:vertAlign w:val="superscript"/>
                                </w:rPr>
                                <w:t>1</w:t>
                              </w:r>
                              <w:r>
                                <w:t>,</w:t>
                              </w:r>
                              <w:r>
                                <w:rPr>
                                  <w:color w:val="000000"/>
                                  <w:lang w:val="lt"/>
                                </w:rPr>
                                <w:t xml:space="preserve"> 110</w:t>
                              </w:r>
                              <w:r>
                                <w:rPr>
                                  <w:color w:val="000000"/>
                                  <w:vertAlign w:val="superscript"/>
                                  <w:lang w:val="lt"/>
                                </w:rPr>
                                <w:t>2</w:t>
                              </w:r>
                              <w:r>
                                <w:rPr>
                                  <w:color w:val="000000"/>
                                  <w:lang w:val="lt"/>
                                </w:rPr>
                                <w:t>, 110</w:t>
                              </w:r>
                              <w:r>
                                <w:rPr>
                                  <w:color w:val="000000"/>
                                  <w:vertAlign w:val="superscript"/>
                                  <w:lang w:val="lt"/>
                                </w:rPr>
                                <w:t>4</w:t>
                              </w:r>
                              <w:r>
                                <w:rPr>
                                  <w:color w:val="000000"/>
                                  <w:lang w:val="lt"/>
                                </w:rPr>
                                <w:t>, 111–128 straipsniuose numatytų pažeidimų;“.</w:t>
                              </w:r>
                            </w:p>
                          </w:sdtContent>
                        </w:sdt>
                      </w:sdtContent>
                    </w:sdt>
                  </w:sdtContent>
                </w:sdt>
                <w:sdt>
                  <w:sdtPr>
                    <w:alias w:val="2 str. 2 d."/>
                    <w:tag w:val="part_e11c53c78dfb45eea4d0b2a186980e73"/>
                    <w:lock w:val="sdtLocked"/>
                    <w:richText/>
                  </w:sdtPr>
                  <w:sdtContent>
                    <w:p>
                      <w:pPr>
                        <w:widowControl w:val="0"/>
                        <w:suppressAutoHyphens/>
                        <w:spacing w:line="276" w:lineRule="auto"/>
                        <w:ind w:firstLine="720"/>
                        <w:jc w:val="both"/>
                      </w:pPr>
                      <w:sdt>
                        <w:sdtPr>
                          <w:alias w:val="Numeris"/>
                          <w:tag w:val="nr_e11c53c78dfb45eea4d0b2a186980e73"/>
                          <w:lock w:val="sdtLocked"/>
                          <w:richText/>
                        </w:sdtPr>
                        <w:sdtContent>
                          <w:r>
                            <w:rPr>
                              <w:color w:val="000000"/>
                              <w:szCs w:val="24"/>
                              <w:lang w:val="lt"/>
                            </w:rPr>
                            <w:t>2</w:t>
                          </w:r>
                        </w:sdtContent>
                      </w:sdt>
                      <w:r>
                        <w:rPr>
                          <w:color w:val="000000"/>
                          <w:szCs w:val="24"/>
                          <w:lang w:val="lt"/>
                        </w:rPr>
                        <w:t>. Pakeisti 37 straipsnio 1 dalies 6 punktą ir jį išdėstyti taip:</w:t>
                      </w:r>
                    </w:p>
                    <w:sdt>
                      <w:sdtPr>
                        <w:alias w:val="citata"/>
                        <w:tag w:val="part_79016bd9187443d3b8ec91fb574330de"/>
                        <w:lock w:val="sdtLocked"/>
                        <w:richText/>
                      </w:sdtPr>
                      <w:sdtContent>
                        <w:sdt>
                          <w:sdtPr>
                            <w:alias w:val="6 p."/>
                            <w:tag w:val="part_87b094738d9948b4af84e3683419a015"/>
                            <w:lock w:val="sdtLocked"/>
                            <w:richText/>
                          </w:sdtPr>
                          <w:sdtContent>
                            <w:p>
                              <w:pPr>
                                <w:widowControl w:val="0"/>
                                <w:suppressAutoHyphens/>
                                <w:spacing w:line="276" w:lineRule="auto"/>
                                <w:ind w:firstLine="720"/>
                                <w:jc w:val="both"/>
                              </w:pPr>
                              <w:r>
                                <w:rPr>
                                  <w:color w:val="000000"/>
                                  <w:lang w:val="lt"/>
                                </w:rPr>
                                <w:t>„</w:t>
                              </w:r>
                              <w:sdt>
                                <w:sdtPr>
                                  <w:alias w:val="Numeris"/>
                                  <w:tag w:val="nr_87b094738d9948b4af84e3683419a015"/>
                                  <w:lock w:val="sdtLocked"/>
                                  <w:richText/>
                                </w:sdtPr>
                                <w:sdtContent>
                                  <w:r>
                                    <w:rPr>
                                      <w:color w:val="000000"/>
                                      <w:lang w:val="lt"/>
                                    </w:rPr>
                                    <w:t>6</w:t>
                                  </w:r>
                                </w:sdtContent>
                              </w:sdt>
                              <w:r>
                                <w:rPr>
                                  <w:color w:val="000000"/>
                                  <w:lang w:val="lt"/>
                                </w:rPr>
                                <w:t>)</w:t>
                              </w:r>
                              <w:r>
                                <w:rPr>
                                  <w:b/>
                                  <w:bCs/>
                                  <w:color w:val="000000"/>
                                  <w:lang w:val="lt"/>
                                </w:rPr>
                                <w:t xml:space="preserve"> </w:t>
                              </w:r>
                              <w:r>
                                <w:rPr>
                                  <w:color w:val="000000"/>
                                  <w:lang w:val="lt"/>
                                </w:rPr>
                                <w:t>Muitinės departamento prie Lietuvos Respublikos finansų ministerijos įgalioti muitinės pareigūnai – dėl šio įstatymo 58</w:t>
                              </w:r>
                              <w:r>
                                <w:rPr>
                                  <w:color w:val="000000"/>
                                  <w:vertAlign w:val="superscript"/>
                                  <w:lang w:val="lt"/>
                                </w:rPr>
                                <w:t>1</w:t>
                              </w:r>
                              <w:r>
                                <w:rPr>
                                  <w:color w:val="000000"/>
                                  <w:lang w:val="lt"/>
                                </w:rPr>
                                <w:t xml:space="preserve"> straipsnio (dėl dažų, lakų, transporto priemonių pakartotinės apdailos produktų tiekimo Lietuvos Respublikos rinkai), 78 straipsnio </w:t>
                              </w:r>
                              <w:r>
                                <w:rPr>
                                  <w:color w:val="000000"/>
                                </w:rPr>
                                <w:t xml:space="preserve">pirmojoje, antrojoje, trečiojoje, ketvirtojoje, penktojoje, šeštojoje, septintojoje, aštuntojoje, devintojoje dalyse </w:t>
                              </w:r>
                              <w:r>
                                <w:rPr>
                                  <w:color w:val="000000"/>
                                  <w:lang w:val="lt"/>
                                </w:rPr>
                                <w:t xml:space="preserve">(dėl atliekų įvežimo, importo į Lietuvos Respublikos teritoriją, išvežimo ar eksporto iš Lietuvos Respublikos teritorijos ar vežimo tranzitu per Lietuvos Respublikos teritoriją), 79 straipsnio </w:t>
                              </w:r>
                              <w:r>
                                <w:rPr>
                                  <w:color w:val="000000"/>
                                </w:rPr>
                                <w:t>pirmojoje, antrojoje, trečiojoje, ketvirtojoje, šeštojoje, septintojoje, aštuntojoje dalyse</w:t>
                              </w:r>
                              <w:r>
                                <w:rPr>
                                  <w:color w:val="000000"/>
                                  <w:lang w:val="lt"/>
                                </w:rPr>
                                <w:t xml:space="preserve"> (dėl atliekų įvežimo, importo į Lietuvos Respublikos teritoriją, išvežimo ar eksporto iš Lietuvos Respublikos teritorijos ar vežimo tranzitu per Lietuvos Respublikos teritoriją), 87 straipsnyje, 95 straipsnyje (dėl įvežimo į Lietuvos Respublikos teritoriją), 98 straipsnyje (dėl įvežimo į Lietuvos Respublikos teritoriją), 100 straipsnyje (dėl įvežimo į Lietuvos Respublikos teritoriją), 101 straipsnyje (dėl įvežimo į Lietuvos Respublikos teritoriją), 109 straipsnio </w:t>
                              </w:r>
                              <w:r>
                                <w:rPr>
                                  <w:color w:val="000000"/>
                                </w:rPr>
                                <w:t>aštuntojoje</w:t>
                              </w:r>
                              <w:r>
                                <w:rPr>
                                  <w:color w:val="000000"/>
                                  <w:lang w:val="lt"/>
                                </w:rPr>
                                <w:t xml:space="preserve"> dalyje, 109</w:t>
                              </w:r>
                              <w:r>
                                <w:rPr>
                                  <w:color w:val="000000"/>
                                  <w:vertAlign w:val="superscript"/>
                                  <w:lang w:val="lt"/>
                                </w:rPr>
                                <w:t>1</w:t>
                              </w:r>
                              <w:r>
                                <w:rPr>
                                  <w:color w:val="000000"/>
                                  <w:lang w:val="lt"/>
                                </w:rPr>
                                <w:t xml:space="preserve"> straipsnio </w:t>
                              </w:r>
                              <w:r>
                                <w:rPr>
                                  <w:color w:val="000000"/>
                                </w:rPr>
                                <w:t>pirmojoje, antrojoje,</w:t>
                              </w:r>
                              <w:r>
                                <w:rPr>
                                  <w:color w:val="000000"/>
                                  <w:lang w:val="lt"/>
                                </w:rPr>
                                <w:t xml:space="preserve"> devintojoje dalyse, 110 straipsnio pirmojoje, antrojoje, ketvirtojoje </w:t>
                              </w:r>
                              <w:r>
                                <w:rPr>
                                  <w:color w:val="000000"/>
                                </w:rPr>
                                <w:t>dalyse, 110</w:t>
                              </w:r>
                              <w:r>
                                <w:rPr>
                                  <w:color w:val="000000"/>
                                  <w:vertAlign w:val="superscript"/>
                                  <w:lang w:val="lt"/>
                                </w:rPr>
                                <w:t>1</w:t>
                              </w:r>
                              <w:r>
                                <w:rPr>
                                  <w:color w:val="000000"/>
                                  <w:lang w:val="lt"/>
                                </w:rPr>
                                <w:t xml:space="preserve"> </w:t>
                              </w:r>
                              <w:r>
                                <w:rPr>
                                  <w:color w:val="000000"/>
                                </w:rPr>
                                <w:t>straipsnio septintojoje, vienuoliktojoje, dvyliktojoje dalyse,</w:t>
                              </w:r>
                              <w:r>
                                <w:rPr>
                                  <w:color w:val="000000"/>
                                  <w:lang w:val="lt"/>
                                </w:rPr>
                                <w:t xml:space="preserve"> 110</w:t>
                              </w:r>
                              <w:r>
                                <w:rPr>
                                  <w:color w:val="000000"/>
                                  <w:vertAlign w:val="superscript"/>
                                  <w:lang w:val="lt"/>
                                </w:rPr>
                                <w:t>3</w:t>
                              </w:r>
                              <w:r>
                                <w:rPr>
                                  <w:color w:val="000000"/>
                                  <w:lang w:val="lt"/>
                                </w:rPr>
                                <w:t xml:space="preserve"> straipsnio trečiojoje dalyje, </w:t>
                              </w:r>
                              <w:r>
                                <w:rPr>
                                  <w:color w:val="000000"/>
                                </w:rPr>
                                <w:t>122</w:t>
                              </w:r>
                              <w:r>
                                <w:rPr>
                                  <w:color w:val="000000"/>
                                  <w:vertAlign w:val="superscript"/>
                                </w:rPr>
                                <w:t>1</w:t>
                              </w:r>
                              <w:r>
                                <w:rPr>
                                  <w:color w:val="000000"/>
                                </w:rPr>
                                <w:t> straipsnio pirmojoje, antrojoje dalyse, 122</w:t>
                              </w:r>
                              <w:r>
                                <w:rPr>
                                  <w:color w:val="000000"/>
                                  <w:vertAlign w:val="superscript"/>
                                </w:rPr>
                                <w:t>2</w:t>
                              </w:r>
                              <w:r>
                                <w:rPr>
                                  <w:color w:val="000000"/>
                                </w:rPr>
                                <w:t> straipsnio pirmojoje, antrojoje dalyse, 122</w:t>
                              </w:r>
                              <w:r>
                                <w:rPr>
                                  <w:color w:val="000000"/>
                                  <w:vertAlign w:val="superscript"/>
                                </w:rPr>
                                <w:t>3</w:t>
                              </w:r>
                              <w:r>
                                <w:rPr>
                                  <w:color w:val="000000"/>
                                </w:rPr>
                                <w:t> straipsnio pirmojoje, antrojoje dalyse, 122</w:t>
                              </w:r>
                              <w:r>
                                <w:rPr>
                                  <w:color w:val="000000"/>
                                  <w:vertAlign w:val="superscript"/>
                                </w:rPr>
                                <w:t>4</w:t>
                              </w:r>
                              <w:r>
                                <w:rPr>
                                  <w:color w:val="000000"/>
                                </w:rPr>
                                <w:t> straipsnio trečiojoje, ketvirtojoje dalyse, 122</w:t>
                              </w:r>
                              <w:r>
                                <w:rPr>
                                  <w:color w:val="000000"/>
                                  <w:vertAlign w:val="superscript"/>
                                </w:rPr>
                                <w:t>6</w:t>
                              </w:r>
                              <w:r>
                                <w:rPr>
                                  <w:color w:val="000000"/>
                                </w:rPr>
                                <w:t> straipsnio pirmojoje, antrojoje dalyse</w:t>
                              </w:r>
                              <w:r>
                                <w:rPr>
                                  <w:color w:val="000000"/>
                                  <w:lang w:val="lt"/>
                                </w:rPr>
                                <w:t xml:space="preserve"> numatytų pažeidimų;“.</w:t>
                              </w:r>
                            </w:p>
                          </w:sdtContent>
                        </w:sdt>
                      </w:sdtContent>
                    </w:sdt>
                  </w:sdtContent>
                </w:sdt>
                <w:sdt>
                  <w:sdtPr>
                    <w:alias w:val="2 str. 3 d."/>
                    <w:tag w:val="part_266eb39bbcc74403bf36042e52f876f3"/>
                    <w:lock w:val="sdtLocked"/>
                    <w:richText/>
                  </w:sdtPr>
                  <w:sdtContent>
                    <w:p>
                      <w:pPr>
                        <w:widowControl w:val="0"/>
                        <w:suppressAutoHyphens/>
                        <w:spacing w:line="276" w:lineRule="auto"/>
                        <w:ind w:firstLine="720"/>
                        <w:jc w:val="both"/>
                        <w:rPr>
                          <w:color w:val="000000"/>
                          <w:szCs w:val="24"/>
                          <w:lang w:val="lt"/>
                        </w:rPr>
                      </w:pPr>
                      <w:sdt>
                        <w:sdtPr>
                          <w:alias w:val="Numeris"/>
                          <w:tag w:val="nr_266eb39bbcc74403bf36042e52f876f3"/>
                          <w:lock w:val="sdtLocked"/>
                          <w:richText/>
                        </w:sdtPr>
                        <w:sdtContent>
                          <w:r>
                            <w:rPr>
                              <w:color w:val="000000"/>
                              <w:szCs w:val="24"/>
                              <w:lang w:val="lt"/>
                            </w:rPr>
                            <w:t>3</w:t>
                          </w:r>
                        </w:sdtContent>
                      </w:sdt>
                      <w:r>
                        <w:rPr>
                          <w:color w:val="000000"/>
                          <w:szCs w:val="24"/>
                          <w:lang w:val="lt"/>
                        </w:rPr>
                        <w:t>. Papildyti 37 straipsnio 2 dalį 10 punktu:</w:t>
                      </w:r>
                    </w:p>
                    <w:sdt>
                      <w:sdtPr>
                        <w:alias w:val="citata"/>
                        <w:tag w:val="part_3b30367179d74522a83f794cbfb2e5f3"/>
                        <w:lock w:val="sdtLocked"/>
                        <w:richText/>
                      </w:sdtPr>
                      <w:sdtContent>
                        <w:sdt>
                          <w:sdtPr>
                            <w:alias w:val="10 p."/>
                            <w:tag w:val="part_81e85b7fb55046419668c121b5f8e9ca"/>
                            <w:lock w:val="sdtLocked"/>
                            <w:richText/>
                          </w:sdtPr>
                          <w:sdtContent>
                            <w:p>
                              <w:pPr>
                                <w:widowControl w:val="0"/>
                                <w:suppressAutoHyphens/>
                                <w:spacing w:line="276" w:lineRule="auto"/>
                                <w:ind w:firstLine="720"/>
                                <w:jc w:val="both"/>
                              </w:pPr>
                              <w:r>
                                <w:rPr>
                                  <w:szCs w:val="24"/>
                                </w:rPr>
                                <w:t>„</w:t>
                              </w:r>
                              <w:sdt>
                                <w:sdtPr>
                                  <w:alias w:val="Numeris"/>
                                  <w:tag w:val="nr_81e85b7fb55046419668c121b5f8e9ca"/>
                                  <w:lock w:val="sdtLocked"/>
                                  <w:richText/>
                                </w:sdtPr>
                                <w:sdtContent>
                                  <w:r>
                                    <w:rPr>
                                      <w:szCs w:val="24"/>
                                    </w:rPr>
                                    <w:t>10</w:t>
                                  </w:r>
                                </w:sdtContent>
                              </w:sdt>
                              <w:r>
                                <w:rPr>
                                  <w:szCs w:val="24"/>
                                </w:rPr>
                                <w:t>) NVS centras – dėl šio įstatymo 109</w:t>
                              </w:r>
                              <w:r>
                                <w:rPr>
                                  <w:szCs w:val="24"/>
                                  <w:vertAlign w:val="superscript"/>
                                </w:rPr>
                                <w:t>1</w:t>
                              </w:r>
                              <w:r>
                                <w:t> </w:t>
                              </w:r>
                              <w:r>
                                <w:rPr>
                                  <w:szCs w:val="24"/>
                                </w:rPr>
                                <w:t>straipsnio aštuntojoje dalyje numatytų pažeidimų.“</w:t>
                              </w:r>
                            </w:p>
                          </w:sdtContent>
                        </w:sdt>
                      </w:sdtContent>
                    </w:sdt>
                  </w:sdtContent>
                </w:sdt>
              </w:sdtContent>
            </w:sdt>
            <w:sdt>
              <w:sdtPr>
                <w:alias w:val="3 str."/>
                <w:tag w:val="part_65b7983ee236425c83b11d678187d814"/>
                <w:lock w:val="sdtLocked"/>
                <w:richText/>
              </w:sdtPr>
              <w:sdtContent>
                <w:p>
                  <w:pPr>
                    <w:widowControl w:val="0"/>
                    <w:suppressAutoHyphens/>
                    <w:spacing w:line="276" w:lineRule="auto"/>
                    <w:ind w:firstLine="720"/>
                    <w:jc w:val="both"/>
                    <w:rPr>
                      <w:b/>
                      <w:bCs/>
                      <w:szCs w:val="24"/>
                    </w:rPr>
                  </w:pPr>
                  <w:sdt>
                    <w:sdtPr>
                      <w:alias w:val="Numeris"/>
                      <w:tag w:val="nr_65b7983ee236425c83b11d678187d814"/>
                      <w:lock w:val="sdtLocked"/>
                      <w:richText/>
                    </w:sdtPr>
                    <w:sdtContent>
                      <w:r>
                        <w:rPr>
                          <w:b/>
                          <w:bCs/>
                          <w:szCs w:val="24"/>
                        </w:rPr>
                        <w:t>3</w:t>
                      </w:r>
                    </w:sdtContent>
                  </w:sdt>
                  <w:r>
                    <w:rPr>
                      <w:b/>
                      <w:bCs/>
                      <w:szCs w:val="24"/>
                    </w:rPr>
                    <w:t xml:space="preserve"> straipsnis. </w:t>
                  </w:r>
                  <w:sdt>
                    <w:sdtPr>
                      <w:alias w:val="Pavadinimas"/>
                      <w:tag w:val="title_65b7983ee236425c83b11d678187d814"/>
                      <w:lock w:val="sdtLocked"/>
                      <w:richText/>
                    </w:sdtPr>
                    <w:sdtContent>
                      <w:r>
                        <w:rPr>
                          <w:b/>
                          <w:bCs/>
                          <w:szCs w:val="24"/>
                        </w:rPr>
                        <w:t>37 straipsnio pakeitimas</w:t>
                      </w:r>
                    </w:sdtContent>
                  </w:sdt>
                </w:p>
                <w:sdt>
                  <w:sdtPr>
                    <w:alias w:val="3 str. 1 d."/>
                    <w:tag w:val="part_2bfe2d1088a74aea844698cf04c3cafc"/>
                    <w:lock w:val="sdtLocked"/>
                    <w:richText/>
                  </w:sdtPr>
                  <w:sdtContent>
                    <w:p>
                      <w:pPr>
                        <w:widowControl w:val="0"/>
                        <w:suppressAutoHyphens/>
                        <w:spacing w:line="276" w:lineRule="auto"/>
                        <w:ind w:firstLine="720"/>
                        <w:jc w:val="both"/>
                        <w:rPr>
                          <w:szCs w:val="24"/>
                        </w:rPr>
                      </w:pPr>
                      <w:r>
                        <w:rPr>
                          <w:szCs w:val="24"/>
                        </w:rPr>
                        <w:t>Pakeisti 37 straipsnio 1 dalies 1 punktą ir jį išdėstyti taip:</w:t>
                      </w:r>
                    </w:p>
                    <w:sdt>
                      <w:sdtPr>
                        <w:alias w:val="citata"/>
                        <w:tag w:val="part_e73151b10382412992d57469f6efe33d"/>
                        <w:lock w:val="sdtLocked"/>
                        <w:richText/>
                      </w:sdtPr>
                      <w:sdtContent>
                        <w:sdt>
                          <w:sdtPr>
                            <w:alias w:val="1 p."/>
                            <w:tag w:val="part_1f26a701aae24c168d5a0c2b7d060c40"/>
                            <w:lock w:val="sdtLocked"/>
                            <w:richText/>
                          </w:sdtPr>
                          <w:sdtContent>
                            <w:p>
                              <w:pPr>
                                <w:widowControl w:val="0"/>
                                <w:suppressAutoHyphens/>
                                <w:spacing w:line="276" w:lineRule="auto"/>
                                <w:ind w:firstLine="720"/>
                                <w:jc w:val="both"/>
                              </w:pPr>
                              <w:r>
                                <w:t>„</w:t>
                              </w:r>
                              <w:sdt>
                                <w:sdtPr>
                                  <w:alias w:val="Numeris"/>
                                  <w:tag w:val="nr_1f26a701aae24c168d5a0c2b7d060c40"/>
                                  <w:lock w:val="sdtLocked"/>
                                  <w:richText/>
                                </w:sdtPr>
                                <w:sdtContent>
                                  <w:r>
                                    <w:t>1</w:t>
                                  </w:r>
                                </w:sdtContent>
                              </w:sdt>
                              <w:r>
                                <w:t>)</w:t>
                              </w:r>
                              <w:r>
                                <w:rPr>
                                  <w:b/>
                                  <w:lang w:val="lt"/>
                                </w:rPr>
                                <w:t xml:space="preserve"> </w:t>
                              </w:r>
                              <w:r>
                                <w:rPr>
                                  <w:lang w:val="lt"/>
                                </w:rPr>
                                <w:t>vyriausieji valstybiniai aplinkos apsaugos inspektoriai – dėl šio įstatymo 55–58, 58</w:t>
                              </w:r>
                              <w:r>
                                <w:rPr>
                                  <w:vertAlign w:val="superscript"/>
                                  <w:lang w:val="lt"/>
                                </w:rPr>
                                <w:t>1</w:t>
                              </w:r>
                              <w:r>
                                <w:rPr>
                                  <w:lang w:val="lt"/>
                                </w:rPr>
                                <w:t> (dėl dažų, lakų, transporto priemonių pakartotinės apdailos produktų naudojimo Lietuvos Respublikos teritorijoje), 59 –109</w:t>
                              </w:r>
                              <w:r>
                                <w:rPr>
                                  <w:vertAlign w:val="superscript"/>
                                </w:rPr>
                                <w:t>1</w:t>
                              </w:r>
                              <w:r>
                                <w:t xml:space="preserve"> (išskyrus aštuntąją dalį)</w:t>
                              </w:r>
                              <w:r>
                                <w:rPr>
                                  <w:lang w:val="lt"/>
                                </w:rPr>
                                <w:t xml:space="preserve">, 110, </w:t>
                              </w:r>
                              <w:r>
                                <w:t>110</w:t>
                              </w:r>
                              <w:r>
                                <w:rPr>
                                  <w:vertAlign w:val="superscript"/>
                                </w:rPr>
                                <w:t>1</w:t>
                              </w:r>
                              <w:r>
                                <w:t>,</w:t>
                              </w:r>
                              <w:r>
                                <w:rPr>
                                  <w:lang w:val="lt"/>
                                </w:rPr>
                                <w:t xml:space="preserve"> </w:t>
                              </w:r>
                              <w:r>
                                <w:t>110</w:t>
                              </w:r>
                              <w:r>
                                <w:rPr>
                                  <w:vertAlign w:val="superscript"/>
                                  <w:lang w:val="lt"/>
                                </w:rPr>
                                <w:t>3</w:t>
                              </w:r>
                              <w:r>
                                <w:rPr>
                                  <w:lang w:val="lt"/>
                                </w:rPr>
                                <w:t xml:space="preserve"> straipsnio </w:t>
                              </w:r>
                              <w:r>
                                <w:t>pirmojoje, antrojoje</w:t>
                              </w:r>
                              <w:r>
                                <w:rPr>
                                  <w:lang w:val="lt"/>
                                </w:rPr>
                                <w:t>,</w:t>
                              </w:r>
                              <w:r>
                                <w:rPr>
                                  <w:b/>
                                  <w:lang w:val="lt"/>
                                </w:rPr>
                                <w:t xml:space="preserve"> </w:t>
                              </w:r>
                              <w:r>
                                <w:t>110</w:t>
                              </w:r>
                              <w:r>
                                <w:rPr>
                                  <w:vertAlign w:val="superscript"/>
                                  <w:lang w:val="lt"/>
                                </w:rPr>
                                <w:t>4</w:t>
                              </w:r>
                              <w:r>
                                <w:rPr>
                                  <w:lang w:val="lt"/>
                                </w:rPr>
                                <w:t xml:space="preserve">, </w:t>
                              </w:r>
                              <w:r>
                                <w:t>111</w:t>
                              </w:r>
                              <w:r>
                                <w:rPr>
                                  <w:lang w:val="lt"/>
                                </w:rPr>
                                <w:t>–128 straipsniuose numatytų pažeidimų;“.</w:t>
                              </w:r>
                            </w:p>
                            <w:p>
                              <w:pPr>
                                <w:widowControl w:val="0"/>
                                <w:suppressAutoHyphens/>
                                <w:spacing w:line="276" w:lineRule="auto"/>
                                <w:ind w:firstLine="720"/>
                                <w:jc w:val="both"/>
                                <w:rPr>
                                  <w:szCs w:val="24"/>
                                </w:rPr>
                              </w:pPr>
                            </w:p>
                          </w:sdtContent>
                        </w:sdt>
                      </w:sdtContent>
                    </w:sdt>
                  </w:sdtContent>
                </w:sdt>
              </w:sdtContent>
            </w:sdt>
            <w:sdt>
              <w:sdtPr>
                <w:alias w:val="4 str."/>
                <w:tag w:val="part_d1c16f37dc7244a69947cb3b9c746c6d"/>
                <w:lock w:val="sdtLocked"/>
                <w:richText/>
              </w:sdtPr>
              <w:sdtContent>
                <w:p>
                  <w:pPr>
                    <w:widowControl w:val="0"/>
                    <w:shd w:val="clear" w:color="auto" w:fill="FFFFFF"/>
                    <w:suppressAutoHyphens/>
                    <w:spacing w:line="276" w:lineRule="auto"/>
                    <w:ind w:firstLine="720"/>
                    <w:jc w:val="both"/>
                  </w:pPr>
                  <w:sdt>
                    <w:sdtPr>
                      <w:alias w:val="Numeris"/>
                      <w:tag w:val="nr_d1c16f37dc7244a69947cb3b9c746c6d"/>
                      <w:lock w:val="sdtLocked"/>
                      <w:richText/>
                    </w:sdtPr>
                    <w:sdtContent>
                      <w:r>
                        <w:rPr>
                          <w:b/>
                          <w:bCs/>
                        </w:rPr>
                        <w:t>4</w:t>
                      </w:r>
                    </w:sdtContent>
                  </w:sdt>
                  <w:r>
                    <w:rPr>
                      <w:b/>
                      <w:bCs/>
                    </w:rPr>
                    <w:t xml:space="preserve"> straipsnis. </w:t>
                  </w:r>
                  <w:sdt>
                    <w:sdtPr>
                      <w:alias w:val="Pavadinimas"/>
                      <w:tag w:val="title_d1c16f37dc7244a69947cb3b9c746c6d"/>
                      <w:lock w:val="sdtLocked"/>
                      <w:richText/>
                    </w:sdtPr>
                    <w:sdtContent>
                      <w:r>
                        <w:rPr>
                          <w:b/>
                          <w:bCs/>
                        </w:rPr>
                        <w:t>40</w:t>
                      </w:r>
                      <w:r>
                        <w:rPr>
                          <w:b/>
                          <w:bCs/>
                          <w:vertAlign w:val="superscript"/>
                        </w:rPr>
                        <w:t>1</w:t>
                      </w:r>
                      <w:r>
                        <w:rPr>
                          <w:b/>
                          <w:bCs/>
                        </w:rPr>
                        <w:t xml:space="preserve"> straipsnio pakeitimas</w:t>
                      </w:r>
                    </w:sdtContent>
                  </w:sdt>
                </w:p>
                <w:sdt>
                  <w:sdtPr>
                    <w:alias w:val="4 str. 1 d."/>
                    <w:tag w:val="part_5cca71260bc3435796c4f2d74b0d4a37"/>
                    <w:lock w:val="sdtLocked"/>
                    <w:richText/>
                  </w:sdtPr>
                  <w:sdtContent>
                    <w:p>
                      <w:pPr>
                        <w:widowControl w:val="0"/>
                        <w:shd w:val="clear" w:color="auto" w:fill="FFFFFF"/>
                        <w:suppressAutoHyphens/>
                        <w:spacing w:line="276" w:lineRule="auto"/>
                        <w:ind w:firstLine="720"/>
                        <w:jc w:val="both"/>
                      </w:pPr>
                      <w:r>
                        <w:rPr>
                          <w:szCs w:val="24"/>
                        </w:rPr>
                        <w:t>Pakeisti 40</w:t>
                      </w:r>
                      <w:r>
                        <w:rPr>
                          <w:szCs w:val="24"/>
                          <w:vertAlign w:val="superscript"/>
                        </w:rPr>
                        <w:t xml:space="preserve">1 </w:t>
                      </w:r>
                      <w:r>
                        <w:rPr>
                          <w:szCs w:val="24"/>
                        </w:rPr>
                        <w:t xml:space="preserve">straipsnio 4 dalies </w:t>
                      </w:r>
                      <w:r>
                        <w:rPr>
                          <w:color w:val="000000"/>
                          <w:szCs w:val="24"/>
                        </w:rPr>
                        <w:t>nuostatą iki dvitaškio</w:t>
                      </w:r>
                      <w:r>
                        <w:rPr>
                          <w:szCs w:val="24"/>
                        </w:rPr>
                        <w:t xml:space="preserve"> ir ją išdėstyti taip:</w:t>
                      </w:r>
                    </w:p>
                    <w:sdt>
                      <w:sdtPr>
                        <w:alias w:val="citata"/>
                        <w:tag w:val="part_3e8a68cb750744a78621d5085661d7a2"/>
                        <w:lock w:val="sdtLocked"/>
                        <w:richText/>
                      </w:sdtPr>
                      <w:sdtContent>
                        <w:sdt>
                          <w:sdtPr>
                            <w:alias w:val="1 d."/>
                            <w:tag w:val="part_844b6335610f43ca93d9e17a90898068"/>
                            <w:lock w:val="sdtLocked"/>
                            <w:richText/>
                          </w:sdtPr>
                          <w:sdtContent>
                            <w:p>
                              <w:pPr>
                                <w:widowControl w:val="0"/>
                                <w:shd w:val="clear" w:color="auto" w:fill="FFFFFF"/>
                                <w:suppressAutoHyphens/>
                                <w:spacing w:line="276" w:lineRule="auto"/>
                                <w:ind w:firstLine="720"/>
                                <w:jc w:val="both"/>
                              </w:pPr>
                              <w:r>
                                <w:t>„Už šio įstatymo 72 straipsnio ketvirtojoje ir devintojoje dalyse, 73 straipsnio ketvirtojoje ir devintojoje dalyse, 78 straipsnio antrojoje, trečiojoje, ketvirtojoje, penktojoje, septintojoje, aštuntojoje, devintojoje, dešimtojoje dalyse, 79 straipsnio antrojoje, trečiojoje, ketvirtojoje, penktojoje, šeštojoje, septintojoje, aštuntojoje, devintojoje, dešimtojoje dalyse, 90 straipsnio antrojoje, trečiojoje, penktojoje, šeštojoje dalyse, 91 straipsnio antrojoje, trečiojoje, ketvirtojoje, šeštojoje, septintojoje, aštuntojoje, devintojoje dalyse, 110 straipsnio pirmojoje, antrojoje, ketvirtojoje dalyse, 110</w:t>
                              </w:r>
                              <w:r>
                                <w:rPr>
                                  <w:vertAlign w:val="superscript"/>
                                </w:rPr>
                                <w:t>1</w:t>
                              </w:r>
                              <w:r>
                                <w:t xml:space="preserve"> straipsnio dešimtojoje, vienuoliktojoje, dvyliktojoje dalyse, 117 straipsnio pirmojoje, antrojoje, trečiojoje, ketvirtojoje, penktojoje, šeštojoje, septintojoje, aštuntojoje dalyse, 118 straipsnio pirmojoje, antrojoje, trečiojoje, ketvirtojoje, penktojoje, šeštojoje, septintojoje, aštuntojoje dalyse, 118</w:t>
                              </w:r>
                              <w:r>
                                <w:rPr>
                                  <w:vertAlign w:val="superscript"/>
                                </w:rPr>
                                <w:t xml:space="preserve">1 </w:t>
                              </w:r>
                              <w:r>
                                <w:t>straipsnio šeštojoje dalyje, 118</w:t>
                              </w:r>
                              <w:r>
                                <w:rPr>
                                  <w:vertAlign w:val="superscript"/>
                                </w:rPr>
                                <w:t>2</w:t>
                              </w:r>
                              <w:r>
                                <w:t xml:space="preserve"> straipsnio penktojoje, šeštojoje dalyse, 122</w:t>
                              </w:r>
                              <w:r>
                                <w:rPr>
                                  <w:vertAlign w:val="superscript"/>
                                </w:rPr>
                                <w:t>1</w:t>
                              </w:r>
                              <w:r>
                                <w:t xml:space="preserve"> straipsnio pirmojoje, antrojoje, trečiojoje, ketvirtojoje, penktojoje, šeštojoje, septintojoje, aštuntojoje, devintojoje, dešimtojoje, vienuoliktojoje, dvyliktojoje dalyse, 122</w:t>
                              </w:r>
                              <w:r>
                                <w:rPr>
                                  <w:vertAlign w:val="superscript"/>
                                </w:rPr>
                                <w:t xml:space="preserve">2 </w:t>
                              </w:r>
                              <w:r>
                                <w:t>straipsnio pirmojoje, antrojoje, trečiojoje, ketvirtojoje, penktojoje, šeštojoje, septintojoje, aštuntojoje, devintojoje, dešimtojoje, vienuoliktojoje, dvyliktojoje, tryliktojoje, keturioliktojoje, penkioliktojoje, šešioliktojoje, septynioliktojoje, aštuonioliktojoje, devynioliktojoje, dvidešimtojoje, dvidešimt trečiojoje, dvidešimt ketvirtojoje, dvidešimt penktojoje, dvidešimt šeštojoje dalyse, 122</w:t>
                              </w:r>
                              <w:r>
                                <w:rPr>
                                  <w:vertAlign w:val="superscript"/>
                                </w:rPr>
                                <w:t>3</w:t>
                              </w:r>
                              <w:r>
                                <w:t xml:space="preserve"> straipsnio pirmojoje, antrojoje, trečiojoje, ketvirtojoje, penktojoje, šeštojoje, septintojoje, aštuntojoje, devintojoje, dešimtojoje, vienuoliktojoje, dvyliktojoje, tryliktojoje, keturioliktojoje, penkioliktojoje, šešioliktojoje, septynioliktojoje, aštuonioliktojoje, devynioliktojoje, dvidešimtojoje dalyse, 122</w:t>
                              </w:r>
                              <w:r>
                                <w:rPr>
                                  <w:vertAlign w:val="superscript"/>
                                </w:rPr>
                                <w:t xml:space="preserve">4 </w:t>
                              </w:r>
                              <w:r>
                                <w:t>straipsnio trečiojoje, ketvirtojoje, penktojoje, šeštojoje dalyse numatytų administracinių nusižengimų padarymą gali būti konfiskuojamas ir ne pažeidėjui nuosavybės teise priklausantis šio straipsnio trečiojoje dalyje nurodytas turtas, kai yra bent viena iš šių sąlygų:“.</w:t>
                              </w:r>
                            </w:p>
                            <w:p>
                              <w:pPr>
                                <w:widowControl w:val="0"/>
                                <w:shd w:val="clear" w:color="auto" w:fill="FFFFFF"/>
                                <w:suppressAutoHyphens/>
                                <w:spacing w:line="276" w:lineRule="auto"/>
                                <w:ind w:firstLine="720"/>
                                <w:jc w:val="both"/>
                                <w:rPr>
                                  <w:szCs w:val="24"/>
                                </w:rPr>
                              </w:pPr>
                            </w:p>
                          </w:sdtContent>
                        </w:sdt>
                      </w:sdtContent>
                    </w:sdt>
                  </w:sdtContent>
                </w:sdt>
              </w:sdtContent>
            </w:sdt>
            <w:sdt>
              <w:sdtPr>
                <w:alias w:val="5 str."/>
                <w:tag w:val="part_855e752cc38a49d2b93a9ee9d2aa639d"/>
                <w:lock w:val="sdtLocked"/>
                <w:richText/>
              </w:sdtPr>
              <w:sdtContent>
                <w:p>
                  <w:pPr>
                    <w:widowControl w:val="0"/>
                    <w:shd w:val="clear" w:color="auto" w:fill="FFFFFF"/>
                    <w:suppressAutoHyphens/>
                    <w:spacing w:line="276" w:lineRule="auto"/>
                    <w:ind w:firstLine="720"/>
                    <w:jc w:val="both"/>
                  </w:pPr>
                  <w:sdt>
                    <w:sdtPr>
                      <w:alias w:val="Numeris"/>
                      <w:tag w:val="nr_855e752cc38a49d2b93a9ee9d2aa639d"/>
                      <w:lock w:val="sdtLocked"/>
                      <w:richText/>
                    </w:sdtPr>
                    <w:sdtContent>
                      <w:r>
                        <w:rPr>
                          <w:b/>
                          <w:bCs/>
                          <w:szCs w:val="24"/>
                        </w:rPr>
                        <w:t>5</w:t>
                      </w:r>
                    </w:sdtContent>
                  </w:sdt>
                  <w:r>
                    <w:rPr>
                      <w:b/>
                      <w:bCs/>
                      <w:szCs w:val="24"/>
                    </w:rPr>
                    <w:t xml:space="preserve"> straipsnis. </w:t>
                  </w:r>
                  <w:sdt>
                    <w:sdtPr>
                      <w:alias w:val="Pavadinimas"/>
                      <w:tag w:val="title_855e752cc38a49d2b93a9ee9d2aa639d"/>
                      <w:lock w:val="sdtLocked"/>
                      <w:richText/>
                    </w:sdtPr>
                    <w:sdtContent>
                      <w:r>
                        <w:rPr>
                          <w:b/>
                          <w:bCs/>
                          <w:szCs w:val="24"/>
                        </w:rPr>
                        <w:t>47 straipsnio pakeitimas</w:t>
                      </w:r>
                    </w:sdtContent>
                  </w:sdt>
                </w:p>
                <w:sdt>
                  <w:sdtPr>
                    <w:alias w:val="5 str. 1 d."/>
                    <w:tag w:val="part_364576c348be416da1e4efef085da4a7"/>
                    <w:lock w:val="sdtLocked"/>
                    <w:richText/>
                  </w:sdtPr>
                  <w:sdtContent>
                    <w:p>
                      <w:pPr>
                        <w:widowControl w:val="0"/>
                        <w:shd w:val="clear" w:color="auto" w:fill="FFFFFF"/>
                        <w:suppressAutoHyphens/>
                        <w:spacing w:line="276" w:lineRule="auto"/>
                        <w:ind w:firstLine="720"/>
                        <w:jc w:val="both"/>
                        <w:rPr>
                          <w:szCs w:val="24"/>
                          <w:lang w:val="lt"/>
                        </w:rPr>
                      </w:pPr>
                      <w:r>
                        <w:rPr>
                          <w:szCs w:val="24"/>
                          <w:lang w:val="lt"/>
                        </w:rPr>
                        <w:t>Pakeisti 47 straipsnį ir jį išdėstyti taip:</w:t>
                      </w:r>
                    </w:p>
                    <w:sdt>
                      <w:sdtPr>
                        <w:alias w:val="citata"/>
                        <w:tag w:val="part_6e972e47587b4196ae244f73099bf19a"/>
                        <w:lock w:val="sdtLocked"/>
                        <w:richText/>
                      </w:sdtPr>
                      <w:sdtContent>
                        <w:sdt>
                          <w:sdtPr>
                            <w:alias w:val="47 str."/>
                            <w:tag w:val="part_b935bafbe7804fceaea14798eeed4918"/>
                            <w:lock w:val="sdtLocked"/>
                            <w:richText/>
                          </w:sdtPr>
                          <w:sdtContent>
                            <w:p>
                              <w:pPr>
                                <w:widowControl w:val="0"/>
                                <w:suppressAutoHyphens/>
                                <w:spacing w:line="276" w:lineRule="auto"/>
                                <w:ind w:firstLine="720"/>
                                <w:jc w:val="both"/>
                              </w:pPr>
                              <w:r>
                                <w:rPr>
                                  <w:szCs w:val="24"/>
                                </w:rPr>
                                <w:t>„</w:t>
                              </w:r>
                              <w:sdt>
                                <w:sdtPr>
                                  <w:alias w:val="Numeris"/>
                                  <w:tag w:val="nr_b935bafbe7804fceaea14798eeed4918"/>
                                  <w:lock w:val="sdtLocked"/>
                                  <w:richText/>
                                </w:sdtPr>
                                <w:sdtContent>
                                  <w:r>
                                    <w:rPr>
                                      <w:b/>
                                      <w:bCs/>
                                      <w:szCs w:val="24"/>
                                    </w:rPr>
                                    <w:t>47</w:t>
                                  </w:r>
                                </w:sdtContent>
                              </w:sdt>
                              <w:r>
                                <w:rPr>
                                  <w:b/>
                                  <w:bCs/>
                                  <w:szCs w:val="24"/>
                                </w:rPr>
                                <w:t xml:space="preserve"> straipsnis. </w:t>
                              </w:r>
                              <w:sdt>
                                <w:sdtPr>
                                  <w:alias w:val="Pavadinimas"/>
                                  <w:tag w:val="title_b935bafbe7804fceaea14798eeed4918"/>
                                  <w:lock w:val="sdtLocked"/>
                                  <w:richText/>
                                </w:sdtPr>
                                <w:sdtContent>
                                  <w:r>
                                    <w:rPr>
                                      <w:b/>
                                      <w:bCs/>
                                      <w:szCs w:val="24"/>
                                    </w:rPr>
                                    <w:t xml:space="preserve">Rašytinis įspėjimas </w:t>
                                  </w:r>
                                </w:sdtContent>
                              </w:sdt>
                            </w:p>
                            <w:sdt>
                              <w:sdtPr>
                                <w:alias w:val="47 str. 1 d."/>
                                <w:tag w:val="part_de7ec39213834e838e7290e62ba89957"/>
                                <w:lock w:val="sdtLocked"/>
                                <w:richText/>
                              </w:sdtPr>
                              <w:sdtContent>
                                <w:p>
                                  <w:pPr>
                                    <w:widowControl w:val="0"/>
                                    <w:shd w:val="clear" w:color="auto" w:fill="FFFFFF"/>
                                    <w:suppressAutoHyphens/>
                                    <w:spacing w:line="276" w:lineRule="auto"/>
                                    <w:ind w:firstLine="720"/>
                                    <w:jc w:val="both"/>
                                  </w:pPr>
                                  <w:r>
                                    <w:rPr>
                                      <w:szCs w:val="24"/>
                                    </w:rPr>
                                    <w:t>Nustačius šio įstatymo 55 straipsnio septintojoje dalyje, 57 straipsnio pirmojoje, trečiojoje, penktojoje dalyse, 58</w:t>
                                  </w:r>
                                  <w:r>
                                    <w:rPr>
                                      <w:szCs w:val="24"/>
                                      <w:vertAlign w:val="superscript"/>
                                    </w:rPr>
                                    <w:t>1</w:t>
                                  </w:r>
                                  <w:r>
                                    <w:rPr>
                                      <w:szCs w:val="24"/>
                                    </w:rPr>
                                    <w:t xml:space="preserve"> straipsnio trečiojoje dalyje, 76 straipsnio pirmojoje dalyje, 93 straipsnio pirmojoje, ketvirtojoje dalyse, 93</w:t>
                                  </w:r>
                                  <w:r>
                                    <w:rPr>
                                      <w:szCs w:val="24"/>
                                      <w:vertAlign w:val="superscript"/>
                                    </w:rPr>
                                    <w:t>1</w:t>
                                  </w:r>
                                  <w:r>
                                    <w:rPr>
                                      <w:szCs w:val="24"/>
                                    </w:rPr>
                                    <w:t xml:space="preserve"> straipsnio pirmojoje dalyje, 94 straipsnio pirmojoje, ketvirtojoje dalyse, 94</w:t>
                                  </w:r>
                                  <w:r>
                                    <w:rPr>
                                      <w:szCs w:val="24"/>
                                      <w:vertAlign w:val="superscript"/>
                                    </w:rPr>
                                    <w:t>1</w:t>
                                  </w:r>
                                  <w:r>
                                    <w:rPr>
                                      <w:szCs w:val="24"/>
                                    </w:rPr>
                                    <w:t xml:space="preserve"> straipsnio pirmojoje, ketvirtojoje dalyse, 107 straipsnio pirmojoje, ketvirtojoje dalyse, 109 straipsnio trečiojoje, ketvirtojoje, šeštojoje, devintojoje, dešimtojoje, vienuoliktojoje, dvyliktojoje, tryliktojoje, penkioliktojoje, devynioliktojoje, dvidešimtojoje dalyse, 112 straipsnio pirmojoje dalyje, 118</w:t>
                                  </w:r>
                                  <w:r>
                                    <w:rPr>
                                      <w:szCs w:val="24"/>
                                      <w:vertAlign w:val="superscript"/>
                                    </w:rPr>
                                    <w:t>2</w:t>
                                  </w:r>
                                  <w:r>
                                    <w:rPr>
                                      <w:szCs w:val="24"/>
                                    </w:rPr>
                                    <w:t xml:space="preserve"> straipsnio pirmojoje, trečiojoje dalyse numatytus pažeidimus, juridinis asmuo įspėjamas raštu ir jam nustatomas protingas terminas nustatytiems pažeidimams pašalinti, kuris negali būti trumpesnis kaip 7 kalendorinės dienos ir ilgesnis kaip 30 kalendorinių dienų. Išimtiniais atvejais pagal motyvuotą juridinio asmens prašymą, atsižvelgiant į objektyvias aplinkybes, terminas nustatytam pažeidimui pašalinti gali būti vieną kartą pratęstas, tačiau ne daugiau kaip 15 kalendorinių dienų.</w:t>
                                  </w:r>
                                </w:p>
                              </w:sdtContent>
                            </w:sdt>
                            <w:sdt>
                              <w:sdtPr>
                                <w:alias w:val="47 str. 2 d."/>
                                <w:tag w:val="part_bb61931b22df4d3a921e9d33b636e25e"/>
                                <w:lock w:val="sdtLocked"/>
                                <w:richText/>
                              </w:sdtPr>
                              <w:sdtContent>
                                <w:p>
                                  <w:pPr>
                                    <w:widowControl w:val="0"/>
                                    <w:suppressAutoHyphens/>
                                    <w:spacing w:line="276" w:lineRule="auto"/>
                                    <w:ind w:firstLine="720"/>
                                    <w:jc w:val="both"/>
                                    <w:rPr>
                                      <w:szCs w:val="24"/>
                                    </w:rPr>
                                  </w:pPr>
                                  <w:r>
                                    <w:rPr>
                                      <w:szCs w:val="24"/>
                                    </w:rPr>
                                    <w:t>Kai šio straipsnio pirmojoje dalyje nurodytuose straipsniuose numatyti pažeidimai nustatomi juridinio asmens įgalioto atstovo akivaizdoje, šio straipsnio pirmojoje dalyje nurodytas įspėjimas įteikiamas jam pasirašytinai, kitais atvejais – siunčiamas registruotu laišku Juridinių asmenų registre nurodytu buveinės adresu, išskyrus atvejus, kai juridinis asmuo nurodo kitą korespondencijos įteikimo adresą, arba elektroniniu paštu Juridinių asmenų registre nurodytu elektroninių siuntų pristatymo adresu.</w:t>
                                  </w:r>
                                </w:p>
                              </w:sdtContent>
                            </w:sdt>
                            <w:sdt>
                              <w:sdtPr>
                                <w:alias w:val="47 str. 3 d."/>
                                <w:tag w:val="part_5b0313eb58ba4fc8b89b98860271c58f"/>
                                <w:lock w:val="sdtLocked"/>
                                <w:richText/>
                              </w:sdtPr>
                              <w:sdtContent>
                                <w:p>
                                  <w:pPr>
                                    <w:widowControl w:val="0"/>
                                    <w:suppressAutoHyphens/>
                                    <w:spacing w:line="276" w:lineRule="auto"/>
                                    <w:ind w:firstLine="720"/>
                                    <w:jc w:val="both"/>
                                  </w:pPr>
                                  <w:r>
                                    <w:rPr>
                                      <w:szCs w:val="24"/>
                                    </w:rPr>
                                    <w:t>Jeigu per šio straipsnio pirmojoje</w:t>
                                  </w:r>
                                  <w:r>
                                    <w:rPr>
                                      <w:b/>
                                      <w:bCs/>
                                      <w:szCs w:val="24"/>
                                    </w:rPr>
                                    <w:t xml:space="preserve"> </w:t>
                                  </w:r>
                                  <w:r>
                                    <w:rPr>
                                      <w:szCs w:val="24"/>
                                    </w:rPr>
                                    <w:t>dalyje nustatytą terminą pažeidimas nepašalinamas, pradedama bylos dėl ekonominės sankcijos skyrimo teisena.“</w:t>
                                  </w:r>
                                </w:p>
                                <w:p>
                                  <w:pPr>
                                    <w:widowControl w:val="0"/>
                                    <w:suppressAutoHyphens/>
                                    <w:spacing w:line="276" w:lineRule="auto"/>
                                    <w:ind w:firstLine="720"/>
                                    <w:jc w:val="both"/>
                                    <w:rPr>
                                      <w:szCs w:val="24"/>
                                    </w:rPr>
                                  </w:pPr>
                                </w:p>
                              </w:sdtContent>
                            </w:sdt>
                          </w:sdtContent>
                        </w:sdt>
                      </w:sdtContent>
                    </w:sdt>
                  </w:sdtContent>
                </w:sdt>
              </w:sdtContent>
            </w:sdt>
            <w:sdt>
              <w:sdtPr>
                <w:alias w:val="6 str."/>
                <w:tag w:val="part_84f5f98e5bc04d1e8e591b365e6c6d7b"/>
                <w:lock w:val="sdtLocked"/>
                <w:richText/>
              </w:sdtPr>
              <w:sdtContent>
                <w:p>
                  <w:pPr>
                    <w:widowControl w:val="0"/>
                    <w:suppressAutoHyphens/>
                    <w:spacing w:line="276" w:lineRule="auto"/>
                    <w:ind w:firstLine="720"/>
                    <w:jc w:val="both"/>
                    <w:rPr>
                      <w:b/>
                      <w:bCs/>
                      <w:color w:val="000000"/>
                      <w:szCs w:val="24"/>
                    </w:rPr>
                  </w:pPr>
                  <w:sdt>
                    <w:sdtPr>
                      <w:alias w:val="Numeris"/>
                      <w:tag w:val="nr_84f5f98e5bc04d1e8e591b365e6c6d7b"/>
                      <w:lock w:val="sdtLocked"/>
                      <w:richText/>
                    </w:sdtPr>
                    <w:sdtContent>
                      <w:r>
                        <w:rPr>
                          <w:b/>
                          <w:bCs/>
                          <w:color w:val="000000"/>
                          <w:szCs w:val="24"/>
                        </w:rPr>
                        <w:t>6</w:t>
                      </w:r>
                    </w:sdtContent>
                  </w:sdt>
                  <w:r>
                    <w:rPr>
                      <w:b/>
                      <w:bCs/>
                      <w:color w:val="000000"/>
                      <w:szCs w:val="24"/>
                    </w:rPr>
                    <w:t xml:space="preserve"> straipsnis. </w:t>
                  </w:r>
                  <w:sdt>
                    <w:sdtPr>
                      <w:alias w:val="Pavadinimas"/>
                      <w:tag w:val="title_84f5f98e5bc04d1e8e591b365e6c6d7b"/>
                      <w:lock w:val="sdtLocked"/>
                      <w:richText/>
                    </w:sdtPr>
                    <w:sdtContent>
                      <w:r>
                        <w:rPr>
                          <w:b/>
                          <w:bCs/>
                          <w:color w:val="000000"/>
                          <w:szCs w:val="24"/>
                        </w:rPr>
                        <w:t>87 straipsnio pakeitimas</w:t>
                      </w:r>
                    </w:sdtContent>
                  </w:sdt>
                </w:p>
                <w:sdt>
                  <w:sdtPr>
                    <w:alias w:val="6 str. 1 d."/>
                    <w:tag w:val="part_2cdf52a443fd4bb6b02f3dd72ae0c28e"/>
                    <w:lock w:val="sdtLocked"/>
                    <w:richText/>
                  </w:sdtPr>
                  <w:sdtContent>
                    <w:p>
                      <w:pPr>
                        <w:widowControl w:val="0"/>
                        <w:suppressAutoHyphens/>
                        <w:spacing w:line="276" w:lineRule="auto"/>
                        <w:ind w:firstLine="720"/>
                        <w:jc w:val="both"/>
                      </w:pPr>
                      <w:r>
                        <w:rPr>
                          <w:color w:val="000000"/>
                          <w:szCs w:val="24"/>
                          <w:lang w:val="lt"/>
                        </w:rPr>
                        <w:t>Pakeisti 87 straipsnį</w:t>
                      </w:r>
                      <w:r>
                        <w:rPr>
                          <w:color w:val="000000"/>
                          <w:szCs w:val="24"/>
                        </w:rPr>
                        <w:t xml:space="preserve"> ir jį išdėstyti taip:</w:t>
                      </w:r>
                    </w:p>
                    <w:sdt>
                      <w:sdtPr>
                        <w:alias w:val="citata"/>
                        <w:tag w:val="part_ca2450793b074d46a4aed11453e361c2"/>
                        <w:lock w:val="sdtLocked"/>
                        <w:richText/>
                      </w:sdtPr>
                      <w:sdtContent>
                        <w:sdt>
                          <w:sdtPr>
                            <w:alias w:val="87 str."/>
                            <w:tag w:val="part_2b82c04acbda46f782653c9f83b0d2e7"/>
                            <w:lock w:val="sdtLocked"/>
                            <w:richText/>
                          </w:sdtPr>
                          <w:sdtContent>
                            <w:p>
                              <w:pPr>
                                <w:widowControl w:val="0"/>
                                <w:suppressAutoHyphens/>
                                <w:ind w:firstLine="720"/>
                                <w:jc w:val="both"/>
                              </w:pPr>
                              <w:r>
                                <w:rPr>
                                  <w:kern w:val="3"/>
                                  <w:szCs w:val="24"/>
                                </w:rPr>
                                <w:t>„</w:t>
                              </w:r>
                              <w:sdt>
                                <w:sdtPr>
                                  <w:alias w:val="Numeris"/>
                                  <w:tag w:val="nr_2b82c04acbda46f782653c9f83b0d2e7"/>
                                  <w:lock w:val="sdtLocked"/>
                                  <w:richText/>
                                </w:sdtPr>
                                <w:sdtContent>
                                  <w:r>
                                    <w:rPr>
                                      <w:b/>
                                      <w:bCs/>
                                      <w:kern w:val="3"/>
                                      <w:szCs w:val="24"/>
                                    </w:rPr>
                                    <w:t>87</w:t>
                                  </w:r>
                                </w:sdtContent>
                              </w:sdt>
                              <w:r>
                                <w:rPr>
                                  <w:b/>
                                  <w:bCs/>
                                  <w:kern w:val="3"/>
                                  <w:szCs w:val="24"/>
                                  <w:vertAlign w:val="superscript"/>
                                </w:rPr>
                                <w:t> </w:t>
                              </w:r>
                              <w:r>
                                <w:rPr>
                                  <w:b/>
                                  <w:bCs/>
                                  <w:kern w:val="3"/>
                                  <w:szCs w:val="24"/>
                                </w:rPr>
                                <w:t xml:space="preserve">straipsnis. </w:t>
                              </w:r>
                              <w:sdt>
                                <w:sdtPr>
                                  <w:alias w:val="Pavadinimas"/>
                                  <w:tag w:val="title_2b82c04acbda46f782653c9f83b0d2e7"/>
                                  <w:lock w:val="sdtLocked"/>
                                  <w:richText/>
                                </w:sdtPr>
                                <w:sdtContent>
                                  <w:r>
                                    <w:rPr>
                                      <w:b/>
                                      <w:bCs/>
                                      <w:kern w:val="3"/>
                                      <w:szCs w:val="24"/>
                                    </w:rPr>
                                    <w:t>Juridinių asmenų atsakomybė už reikalavimų, susijusių su atliekų įvežimu, importu, išvežimu, eksportu, pažeidimą</w:t>
                                  </w:r>
                                </w:sdtContent>
                              </w:sdt>
                            </w:p>
                            <w:sdt>
                              <w:sdtPr>
                                <w:alias w:val="87 str. 1 d."/>
                                <w:tag w:val="part_5ad9f631bbcb42549431b5bd9d973497"/>
                                <w:lock w:val="sdtLocked"/>
                                <w:richText/>
                              </w:sdtPr>
                              <w:sdtContent>
                                <w:p>
                                  <w:pPr>
                                    <w:widowControl w:val="0"/>
                                    <w:suppressAutoHyphens/>
                                    <w:spacing w:line="276" w:lineRule="auto"/>
                                    <w:ind w:firstLine="720"/>
                                    <w:jc w:val="both"/>
                                  </w:pPr>
                                  <w:r>
                                    <w:t xml:space="preserve">Reglamento </w:t>
                                  </w:r>
                                  <w:fldSimple w:instr="HYPERLINK http://eur-lex.europa.eu/legal-content/LIT/TXT/?uri=CELEX:32024R1157&amp;locale=lt \t _blank">
                                    <w:r>
                                      <w:rPr>
                                        <w:u w:val="single"/>
                                        <w:color w:val="0000FF" w:themeColor="hyperlink"/>
                                      </w:rPr>
                                      <w:t>(ES) 2024/1157</w:t>
                                    </w:r>
                                  </w:fldSimple>
                                  <w:r>
                                    <w:t xml:space="preserve"> IB priedų</w:t>
                                  </w:r>
                                  <w:r>
                                    <w:rPr>
                                      <w:rFonts w:eastAsia="Aptos"/>
                                    </w:rPr>
                                    <w:t xml:space="preserve"> (toliau – judėjimo dokumentas) ar </w:t>
                                  </w:r>
                                  <w:r>
                                    <w:t xml:space="preserve">Reglamento </w:t>
                                  </w:r>
                                  <w:fldSimple w:instr="HYPERLINK http://eur-lex.europa.eu/legal-content/LIT/TXT/?uri=CELEX:32024R1157&amp;locale=lt \t _blank">
                                    <w:r>
                                      <w:rPr>
                                        <w:u w:val="single"/>
                                        <w:color w:val="0000FF" w:themeColor="hyperlink"/>
                                      </w:rPr>
                                      <w:t>(ES) 2024</w:t>
                                    </w:r>
                                    <w:r>
                                      <w:rPr>
                                        <w:color w:val="0000FF" w:themeColor="hyperlink"/>
                                        <w:u w:val="single"/>
                                      </w:rPr>
                                      <w:t>/1157</w:t>
                                    </w:r>
                                  </w:fldSimple>
                                  <w:r>
                                    <w:rPr>
                                      <w:color w:val="000000"/>
                                    </w:rPr>
                                    <w:t xml:space="preserve"> VII priedų</w:t>
                                  </w:r>
                                  <w:r>
                                    <w:rPr>
                                      <w:rFonts w:eastAsia="Aptos"/>
                                    </w:rPr>
                                    <w:t xml:space="preserve">, patvirtinančių įvežtų, importuotų atliekų gavimą, panaudojimą ir (ar) šalinimą, ir (ar) pranešimo dokumentų apie planuojamą atliekų išvežimą, eksportą nepateikimas kompetentingoms institucijoms ir kitiems su vežimu susijusiems fiziniams ir (ar) juridiniams asmenims Reglamento </w:t>
                                  </w:r>
                                  <w:fldSimple w:instr="HYPERLINK http://eur-lex.europa.eu/legal-content/LIT/TXT/?uri=CELEX:32024R1157&amp;locale=lt \t _blank">
                                    <w:r>
                                      <w:rPr>
                                        <w:rFonts w:eastAsia="Aptos"/>
                                        <w:u w:val="single"/>
                                        <w:color w:val="0000FF" w:themeColor="hyperlink"/>
                                      </w:rPr>
                                      <w:t>(ES) 2024/1157</w:t>
                                    </w:r>
                                  </w:fldSimple>
                                  <w:r>
                                    <w:rPr>
                                      <w:rFonts w:eastAsia="Aptos"/>
                                    </w:rPr>
                                    <w:t xml:space="preserve"> 16 straipsnio 1, 2, 5, 6 dalyse nustatyta tvarka ir terminais, ir (ar) klaidingų duomenų </w:t>
                                  </w:r>
                                  <w:r>
                                    <w:t xml:space="preserve">Reglamento </w:t>
                                  </w:r>
                                  <w:fldSimple w:instr="HYPERLINK http://eur-lex.europa.eu/legal-content/LIT/TXT/?uri=CELEX:32024R1157&amp;locale=lt \t _blank">
                                    <w:r>
                                      <w:rPr>
                                        <w:u w:val="single"/>
                                        <w:color w:val="0000FF" w:themeColor="hyperlink"/>
                                      </w:rPr>
                                      <w:t>(ES) 2024/1157</w:t>
                                    </w:r>
                                  </w:fldSimple>
                                  <w:r>
                                    <w:t xml:space="preserve"> </w:t>
                                  </w:r>
                                  <w:r>
                                    <w:rPr>
                                      <w:color w:val="000000"/>
                                    </w:rPr>
                                    <w:t>pranešimo dokumente,</w:t>
                                  </w:r>
                                  <w:r>
                                    <w:rPr>
                                      <w:rFonts w:eastAsia="Aptos"/>
                                    </w:rPr>
                                    <w:t xml:space="preserve"> </w:t>
                                  </w:r>
                                  <w:r>
                                    <w:rPr>
                                      <w:color w:val="000000"/>
                                    </w:rPr>
                                    <w:t xml:space="preserve">judėjimo dokumente </w:t>
                                  </w:r>
                                  <w:r>
                                    <w:rPr>
                                      <w:rFonts w:eastAsia="Aptos"/>
                                    </w:rPr>
                                    <w:t xml:space="preserve">ar </w:t>
                                  </w:r>
                                  <w:r>
                                    <w:rPr>
                                      <w:color w:val="000000"/>
                                    </w:rPr>
                                    <w:t xml:space="preserve">Reglamento </w:t>
                                  </w:r>
                                  <w:fldSimple w:instr="HYPERLINK http://eur-lex.europa.eu/legal-content/LIT/TXT/?uri=CELEX:32024R1157&amp;locale=lt \t _blank">
                                    <w:r>
                                      <w:rPr>
                                        <w:color w:val="0000FF" w:themeColor="hyperlink"/>
                                        <w:u w:val="single"/>
                                      </w:rPr>
                                      <w:t>(ES) 2024/1157</w:t>
                                    </w:r>
                                  </w:fldSimple>
                                  <w:r>
                                    <w:rPr>
                                      <w:color w:val="000000"/>
                                    </w:rPr>
                                    <w:t xml:space="preserve"> VII priede </w:t>
                                  </w:r>
                                  <w:r>
                                    <w:rPr>
                                      <w:rFonts w:eastAsia="Aptos"/>
                                    </w:rPr>
                                    <w:t>pateikimas užtraukia baudą nuo šešių šimtų iki vieno tūkstančio dviejų šimtų eurų.</w:t>
                                  </w:r>
                                </w:p>
                              </w:sdtContent>
                            </w:sdt>
                            <w:sdt>
                              <w:sdtPr>
                                <w:alias w:val="87 str. 2 d."/>
                                <w:tag w:val="part_e21b5edd1ff94a72b4c8cf38d974b674"/>
                                <w:lock w:val="sdtLocked"/>
                                <w:richText/>
                              </w:sdtPr>
                              <w:sdtContent>
                                <w:p>
                                  <w:pPr>
                                    <w:suppressAutoHyphens/>
                                    <w:spacing w:line="276" w:lineRule="auto"/>
                                    <w:ind w:firstLine="720"/>
                                    <w:jc w:val="both"/>
                                  </w:pPr>
                                  <w:r>
                                    <w:rPr>
                                      <w:szCs w:val="24"/>
                                    </w:rPr>
                                    <w:t>Šio straipsnio trečioje</w:t>
                                  </w:r>
                                  <w:r>
                                    <w:rPr>
                                      <w:b/>
                                      <w:bCs/>
                                      <w:szCs w:val="24"/>
                                    </w:rPr>
                                    <w:t xml:space="preserve"> </w:t>
                                  </w:r>
                                  <w:r>
                                    <w:rPr>
                                      <w:szCs w:val="24"/>
                                    </w:rPr>
                                    <w:t>dalyje numatytas pažeidimas, padarytas pakartotinai, užtraukia baudą nuo vieno tūkstančio keturių šimtų iki trijų tūkstančių eurų.</w:t>
                                  </w:r>
                                </w:p>
                              </w:sdtContent>
                            </w:sdt>
                            <w:sdt>
                              <w:sdtPr>
                                <w:alias w:val="87 str. 3 d."/>
                                <w:tag w:val="part_7a1941097e164e139db394011723fd4b"/>
                                <w:lock w:val="sdtLocked"/>
                                <w:richText/>
                              </w:sdtPr>
                              <w:sdtContent>
                                <w:p>
                                  <w:pPr>
                                    <w:suppressAutoHyphens/>
                                    <w:spacing w:line="276" w:lineRule="auto"/>
                                    <w:ind w:firstLine="720"/>
                                    <w:jc w:val="both"/>
                                  </w:pPr>
                                  <w:r>
                                    <w:rPr>
                                      <w:szCs w:val="24"/>
                                    </w:rPr>
                                    <w:t xml:space="preserve">Neteisėtas atliekų vežimas, kaip numatyta </w:t>
                                  </w:r>
                                  <w:r>
                                    <w:rPr>
                                      <w:color w:val="000000"/>
                                      <w:szCs w:val="24"/>
                                    </w:rPr>
                                    <w:t xml:space="preserve">Reglamento </w:t>
                                  </w:r>
                                  <w:fldSimple w:instr="HYPERLINK http://eur-lex.europa.eu/legal-content/LIT/TXT/?uri=CELEX:32024R1157&amp;locale=lt \t _blank">
                                    <w:r>
                                      <w:rPr>
                                        <w:color w:val="0000FF" w:themeColor="hyperlink"/>
                                        <w:szCs w:val="24"/>
                                        <w:u w:val="single"/>
                                      </w:rPr>
                                      <w:t>(ES) 2024/1157</w:t>
                                    </w:r>
                                  </w:fldSimple>
                                  <w:r>
                                    <w:rPr>
                                      <w:color w:val="000000"/>
                                      <w:szCs w:val="24"/>
                                    </w:rPr>
                                    <w:t xml:space="preserve"> 3 straipsnio 26 dalį,</w:t>
                                  </w:r>
                                  <w:r>
                                    <w:rPr>
                                      <w:szCs w:val="24"/>
                                    </w:rPr>
                                    <w:t xml:space="preserve"> užtraukia baudą nuo vieno tūkstančio dviejų šimtų eurų iki dviejų tūkstančių keturių šimtų eurų.</w:t>
                                  </w:r>
                                </w:p>
                              </w:sdtContent>
                            </w:sdt>
                            <w:sdt>
                              <w:sdtPr>
                                <w:alias w:val="87 str. 4 d."/>
                                <w:tag w:val="part_3ad36ce626ba4a4ca67fe6141c1d69e5"/>
                                <w:lock w:val="sdtLocked"/>
                                <w:richText/>
                              </w:sdtPr>
                              <w:sdtContent>
                                <w:p>
                                  <w:pPr>
                                    <w:suppressAutoHyphens/>
                                    <w:spacing w:line="276" w:lineRule="auto"/>
                                    <w:ind w:firstLine="720"/>
                                    <w:jc w:val="both"/>
                                    <w:rPr>
                                      <w:szCs w:val="24"/>
                                    </w:rPr>
                                  </w:pPr>
                                  <w:r>
                                    <w:rPr>
                                      <w:szCs w:val="24"/>
                                    </w:rPr>
                                    <w:t>Šio straipsnio ketvirtoje dalyje numatytas pažeidimas, padarytas pakartotinai, užtraukia baudą nuo dviejų tūkstančių keturių šimtų iki keturių tūkstančių aštuonių šimtų eurų.“</w:t>
                                  </w:r>
                                </w:p>
                                <w:p>
                                  <w:pPr>
                                    <w:suppressAutoHyphens/>
                                    <w:spacing w:line="276" w:lineRule="auto"/>
                                    <w:ind w:firstLine="720"/>
                                    <w:jc w:val="both"/>
                                    <w:rPr>
                                      <w:b/>
                                      <w:kern w:val="3"/>
                                      <w:szCs w:val="24"/>
                                    </w:rPr>
                                  </w:pPr>
                                </w:p>
                              </w:sdtContent>
                            </w:sdt>
                          </w:sdtContent>
                        </w:sdt>
                      </w:sdtContent>
                    </w:sdt>
                  </w:sdtContent>
                </w:sdt>
              </w:sdtContent>
            </w:sdt>
            <w:sdt>
              <w:sdtPr>
                <w:alias w:val="7 str."/>
                <w:tag w:val="part_7c2301e698e844c9b63505f443e99921"/>
                <w:lock w:val="sdtLocked"/>
                <w:richText/>
              </w:sdtPr>
              <w:sdtContent>
                <w:p>
                  <w:pPr>
                    <w:widowControl w:val="0"/>
                    <w:suppressAutoHyphens/>
                    <w:ind w:firstLine="720"/>
                    <w:jc w:val="both"/>
                  </w:pPr>
                  <w:sdt>
                    <w:sdtPr>
                      <w:alias w:val="Numeris"/>
                      <w:tag w:val="nr_7c2301e698e844c9b63505f443e99921"/>
                      <w:lock w:val="sdtLocked"/>
                      <w:richText/>
                    </w:sdtPr>
                    <w:sdtContent>
                      <w:r>
                        <w:rPr>
                          <w:b/>
                          <w:bCs/>
                          <w:color w:val="000000"/>
                          <w:szCs w:val="24"/>
                        </w:rPr>
                        <w:t>7</w:t>
                      </w:r>
                    </w:sdtContent>
                  </w:sdt>
                  <w:r>
                    <w:rPr>
                      <w:b/>
                      <w:bCs/>
                      <w:color w:val="000000"/>
                      <w:szCs w:val="24"/>
                    </w:rPr>
                    <w:t xml:space="preserve"> straipsnis. </w:t>
                  </w:r>
                  <w:sdt>
                    <w:sdtPr>
                      <w:alias w:val="Pavadinimas"/>
                      <w:tag w:val="title_7c2301e698e844c9b63505f443e99921"/>
                      <w:lock w:val="sdtLocked"/>
                      <w:richText/>
                    </w:sdtPr>
                    <w:sdtContent>
                      <w:r>
                        <w:rPr>
                          <w:b/>
                          <w:bCs/>
                          <w:szCs w:val="24"/>
                        </w:rPr>
                        <w:t>109</w:t>
                      </w:r>
                      <w:r>
                        <w:rPr>
                          <w:b/>
                          <w:bCs/>
                          <w:szCs w:val="24"/>
                          <w:vertAlign w:val="superscript"/>
                        </w:rPr>
                        <w:t>1</w:t>
                      </w:r>
                      <w:r>
                        <w:rPr>
                          <w:b/>
                          <w:bCs/>
                          <w:szCs w:val="24"/>
                        </w:rPr>
                        <w:t xml:space="preserve"> straipsnio pakeitimas</w:t>
                      </w:r>
                    </w:sdtContent>
                  </w:sdt>
                </w:p>
                <w:sdt>
                  <w:sdtPr>
                    <w:alias w:val="7 str. 1 d."/>
                    <w:tag w:val="part_b828f36ff08b41cb8d87e58152b0f8ae"/>
                    <w:lock w:val="sdtLocked"/>
                    <w:richText/>
                  </w:sdtPr>
                  <w:sdtContent>
                    <w:p>
                      <w:pPr>
                        <w:suppressAutoHyphens/>
                        <w:spacing w:line="276" w:lineRule="auto"/>
                        <w:ind w:firstLine="720"/>
                        <w:jc w:val="both"/>
                      </w:pPr>
                      <w:r>
                        <w:rPr>
                          <w:color w:val="000000"/>
                          <w:szCs w:val="24"/>
                        </w:rPr>
                        <w:t xml:space="preserve">Papildyti </w:t>
                      </w:r>
                      <w:r>
                        <w:rPr>
                          <w:szCs w:val="24"/>
                        </w:rPr>
                        <w:t>109</w:t>
                      </w:r>
                      <w:r>
                        <w:rPr>
                          <w:szCs w:val="24"/>
                          <w:vertAlign w:val="superscript"/>
                        </w:rPr>
                        <w:t>1</w:t>
                      </w:r>
                      <w:r>
                        <w:rPr>
                          <w:szCs w:val="24"/>
                        </w:rPr>
                        <w:t xml:space="preserve"> straipsnį 9 dalimi</w:t>
                      </w:r>
                      <w:r>
                        <w:rPr>
                          <w:color w:val="000000"/>
                          <w:szCs w:val="24"/>
                        </w:rPr>
                        <w:t>:</w:t>
                      </w:r>
                    </w:p>
                    <w:sdt>
                      <w:sdtPr>
                        <w:alias w:val="citata"/>
                        <w:tag w:val="part_f23875e0e42d4b2488fe14d43629bf0f"/>
                        <w:lock w:val="sdtLocked"/>
                        <w:richText/>
                      </w:sdtPr>
                      <w:sdtContent>
                        <w:sdt>
                          <w:sdtPr>
                            <w:alias w:val="1 d."/>
                            <w:tag w:val="part_2510b1334cd448b3b57fb23defd23485"/>
                            <w:lock w:val="sdtLocked"/>
                            <w:richText/>
                          </w:sdtPr>
                          <w:sdtContent>
                            <w:p>
                              <w:pPr>
                                <w:widowControl w:val="0"/>
                                <w:suppressAutoHyphens/>
                                <w:spacing w:line="276" w:lineRule="auto"/>
                                <w:ind w:firstLine="720"/>
                                <w:jc w:val="both"/>
                                <w:rPr>
                                  <w:szCs w:val="24"/>
                                </w:rPr>
                              </w:pPr>
                              <w:r>
                                <w:rPr>
                                  <w:color w:val="000000"/>
                                  <w:szCs w:val="24"/>
                                </w:rPr>
                                <w:t>„</w:t>
                              </w:r>
                              <w:r>
                                <w:rPr>
                                  <w:szCs w:val="24"/>
                                </w:rPr>
                                <w:t xml:space="preserve">Reglamente </w:t>
                              </w:r>
                              <w:fldSimple w:instr="HYPERLINK http://eur-lex.europa.eu/legal-content/LIT/TXT/?uri=CELEX:32017R0852&amp;locale=lt \t _blank">
                                <w:r>
                                  <w:rPr>
                                    <w:szCs w:val="24"/>
                                    <w:u w:val="single"/>
                                    <w:color w:val="0000FF" w:themeColor="hyperlink"/>
                                  </w:rPr>
                                  <w:t>(ES) 2017/852</w:t>
                                </w:r>
                              </w:fldSimple>
                              <w:r>
                                <w:rPr>
                                  <w:szCs w:val="24"/>
                                </w:rPr>
                                <w:t xml:space="preserve"> nustatytų </w:t>
                              </w:r>
                              <w:r>
                                <w:rPr>
                                  <w:rFonts w:eastAsia="Calibri"/>
                                  <w:szCs w:val="24"/>
                                </w:rPr>
                                <w:t xml:space="preserve">dantų amalgamos gamybos, importo, eksporto draudimo reikalavimų pažeidimas </w:t>
                              </w:r>
                              <w:r>
                                <w:rPr>
                                  <w:szCs w:val="24"/>
                                </w:rPr>
                                <w:t xml:space="preserve">užtraukia baudą nuo šešių šimtų iki </w:t>
                              </w:r>
                              <w:r>
                                <w:rPr>
                                  <w:szCs w:val="24"/>
                                  <w:lang w:val="lt"/>
                                </w:rPr>
                                <w:t xml:space="preserve">vieno tūkstančio dviejų šimtų </w:t>
                              </w:r>
                              <w:r>
                                <w:rPr>
                                  <w:szCs w:val="24"/>
                                </w:rPr>
                                <w:t>eurų.“</w:t>
                              </w:r>
                            </w:p>
                            <w:p>
                              <w:pPr>
                                <w:widowControl w:val="0"/>
                                <w:suppressAutoHyphens/>
                                <w:spacing w:line="276" w:lineRule="auto"/>
                                <w:ind w:firstLine="720"/>
                                <w:jc w:val="both"/>
                              </w:pPr>
                            </w:p>
                          </w:sdtContent>
                        </w:sdt>
                      </w:sdtContent>
                    </w:sdt>
                  </w:sdtContent>
                </w:sdt>
              </w:sdtContent>
            </w:sdt>
            <w:sdt>
              <w:sdtPr>
                <w:alias w:val="8 str."/>
                <w:tag w:val="part_ccc0213bd7ef45a4bbf031448c9b0859"/>
                <w:lock w:val="sdtLocked"/>
                <w:richText/>
              </w:sdtPr>
              <w:sdtContent>
                <w:p>
                  <w:pPr>
                    <w:widowControl w:val="0"/>
                    <w:suppressAutoHyphens/>
                    <w:spacing w:line="276" w:lineRule="auto"/>
                    <w:ind w:firstLine="720"/>
                    <w:jc w:val="both"/>
                  </w:pPr>
                  <w:sdt>
                    <w:sdtPr>
                      <w:alias w:val="Numeris"/>
                      <w:tag w:val="nr_ccc0213bd7ef45a4bbf031448c9b0859"/>
                      <w:lock w:val="sdtLocked"/>
                      <w:richText/>
                    </w:sdtPr>
                    <w:sdtContent>
                      <w:r>
                        <w:rPr>
                          <w:b/>
                          <w:bCs/>
                          <w:szCs w:val="24"/>
                        </w:rPr>
                        <w:t>8</w:t>
                      </w:r>
                    </w:sdtContent>
                  </w:sdt>
                  <w:r>
                    <w:rPr>
                      <w:b/>
                      <w:bCs/>
                      <w:szCs w:val="24"/>
                    </w:rPr>
                    <w:t xml:space="preserve"> straipsnis. </w:t>
                  </w:r>
                  <w:sdt>
                    <w:sdtPr>
                      <w:alias w:val="Pavadinimas"/>
                      <w:tag w:val="title_ccc0213bd7ef45a4bbf031448c9b0859"/>
                      <w:lock w:val="sdtLocked"/>
                      <w:richText/>
                    </w:sdtPr>
                    <w:sdtContent>
                      <w:r>
                        <w:rPr>
                          <w:b/>
                          <w:bCs/>
                          <w:szCs w:val="24"/>
                        </w:rPr>
                        <w:t>110 straipsnio pakeitimas</w:t>
                      </w:r>
                    </w:sdtContent>
                  </w:sdt>
                </w:p>
                <w:sdt>
                  <w:sdtPr>
                    <w:alias w:val="8 str. 1 d."/>
                    <w:tag w:val="part_0e9ab81fed1747d99e4bb265dc70f555"/>
                    <w:lock w:val="sdtLocked"/>
                    <w:richText/>
                  </w:sdtPr>
                  <w:sdtContent>
                    <w:p>
                      <w:pPr>
                        <w:widowControl w:val="0"/>
                        <w:suppressAutoHyphens/>
                        <w:spacing w:line="276" w:lineRule="auto"/>
                        <w:ind w:firstLine="720"/>
                        <w:jc w:val="both"/>
                        <w:rPr>
                          <w:szCs w:val="24"/>
                          <w:lang w:val="lt"/>
                        </w:rPr>
                      </w:pPr>
                      <w:r>
                        <w:rPr>
                          <w:szCs w:val="24"/>
                          <w:lang w:val="lt"/>
                        </w:rPr>
                        <w:t>Pakeisti 110 straipsnį ir jį išdėstyti taip:</w:t>
                      </w:r>
                    </w:p>
                    <w:sdt>
                      <w:sdtPr>
                        <w:alias w:val="citata"/>
                        <w:tag w:val="part_0994abd2cc314938a4ef0e1af3cbc71a"/>
                        <w:lock w:val="sdtLocked"/>
                        <w:richText/>
                      </w:sdtPr>
                      <w:sdtContent>
                        <w:sdt>
                          <w:sdtPr>
                            <w:alias w:val="110 str."/>
                            <w:tag w:val="part_53a1bba44904467db09514ed0cf54b35"/>
                            <w:lock w:val="sdtLocked"/>
                            <w:richText/>
                          </w:sdtPr>
                          <w:sdtContent>
                            <w:p>
                              <w:pPr>
                                <w:widowControl w:val="0"/>
                                <w:suppressAutoHyphens/>
                                <w:spacing w:line="276" w:lineRule="auto"/>
                                <w:ind w:firstLine="720"/>
                                <w:jc w:val="both"/>
                              </w:pPr>
                              <w:r>
                                <w:t>„</w:t>
                              </w:r>
                              <w:sdt>
                                <w:sdtPr>
                                  <w:alias w:val="Numeris"/>
                                  <w:tag w:val="nr_53a1bba44904467db09514ed0cf54b35"/>
                                  <w:lock w:val="sdtLocked"/>
                                  <w:richText/>
                                </w:sdtPr>
                                <w:sdtContent>
                                  <w:r>
                                    <w:rPr>
                                      <w:b/>
                                      <w:bCs/>
                                      <w:lang w:val="lt"/>
                                    </w:rPr>
                                    <w:t>110</w:t>
                                  </w:r>
                                </w:sdtContent>
                              </w:sdt>
                              <w:r>
                                <w:rPr>
                                  <w:b/>
                                  <w:bCs/>
                                  <w:lang w:val="lt"/>
                                </w:rPr>
                                <w:t xml:space="preserve"> straipsnis. </w:t>
                              </w:r>
                              <w:sdt>
                                <w:sdtPr>
                                  <w:alias w:val="Pavadinimas"/>
                                  <w:tag w:val="title_53a1bba44904467db09514ed0cf54b35"/>
                                  <w:lock w:val="sdtLocked"/>
                                  <w:richText/>
                                </w:sdtPr>
                                <w:sdtContent>
                                  <w:r>
                                    <w:rPr>
                                      <w:b/>
                                      <w:bCs/>
                                      <w:lang w:val="lt"/>
                                    </w:rPr>
                                    <w:t>Juridinių asmenų atsakomybė už ozono sluoksnį ardančių medžiagų ir (arba) produktų ir įrangos, kuriuose yra šių medžiagų arba kurių veikimas nuo jų priklauso, tvarkymo reikalavimų pažeidimą</w:t>
                                  </w:r>
                                </w:sdtContent>
                              </w:sdt>
                            </w:p>
                            <w:sdt>
                              <w:sdtPr>
                                <w:alias w:val="110 str. 1 d."/>
                                <w:tag w:val="part_7c17d15ee1e84a6dbc8e9e01032488be"/>
                                <w:lock w:val="sdtLocked"/>
                                <w:richText/>
                              </w:sdtPr>
                              <w:sdtContent>
                                <w:p>
                                  <w:pPr>
                                    <w:widowControl w:val="0"/>
                                    <w:suppressAutoHyphens/>
                                    <w:spacing w:line="276" w:lineRule="auto"/>
                                    <w:ind w:firstLine="720"/>
                                    <w:jc w:val="both"/>
                                  </w:pPr>
                                  <w:r>
                                    <w:rPr>
                                      <w:szCs w:val="24"/>
                                      <w:lang w:val="lt"/>
                                    </w:rPr>
                                    <w:t xml:space="preserve">Ozono sluoksnį ardančių medžiagų ir (arba) produktų ir įrangos, kuriuose yra šių medžiagų arba kurių veikimas nuo jų priklauso, įtrauktų į Reglamento </w:t>
                                  </w:r>
                                  <w:fldSimple w:instr="HYPERLINK http://eur-lex.europa.eu/legal-content/LIT/TXT/?uri=CELEX:32024R0590&amp;locale=lt \t _blank">
                                    <w:r>
                                      <w:rPr>
                                        <w:szCs w:val="24"/>
                                        <w:lang w:val="lt"/>
                                        <w:u w:val="single"/>
                                        <w:color w:val="0000FF" w:themeColor="hyperlink"/>
                                      </w:rPr>
                                      <w:t>(ES) 2024/590</w:t>
                                    </w:r>
                                  </w:fldSimple>
                                  <w:r>
                                    <w:rPr>
                                      <w:szCs w:val="24"/>
                                      <w:lang w:val="lt"/>
                                    </w:rPr>
                                    <w:t xml:space="preserve"> taikymo sritį, gamybos, importo, eksporto, pateikimo rinkai ar naudojimo reikalavimų pažeidimas</w:t>
                                  </w:r>
                                  <w:r>
                                    <w:rPr>
                                      <w:szCs w:val="24"/>
                                    </w:rPr>
                                    <w:t xml:space="preserve"> </w:t>
                                  </w:r>
                                  <w:r>
                                    <w:rPr>
                                      <w:szCs w:val="24"/>
                                      <w:lang w:val="lt"/>
                                    </w:rPr>
                                    <w:t>užtraukia baudą penkis kartus didesnę už ozono sluoksnį ardančių medžiagų ir (arba) produktų ir įrangos, kuriuose yra šių medžiagų arba kurių veikimas nuo jų priklauso, rinkos vertę.</w:t>
                                  </w:r>
                                </w:p>
                              </w:sdtContent>
                            </w:sdt>
                            <w:sdt>
                              <w:sdtPr>
                                <w:alias w:val="110 str. 2 d."/>
                                <w:tag w:val="part_8663f1fafa5547ce87eeab0c9c9452a3"/>
                                <w:lock w:val="sdtLocked"/>
                                <w:richText/>
                              </w:sdtPr>
                              <w:sdtContent>
                                <w:p>
                                  <w:pPr>
                                    <w:widowControl w:val="0"/>
                                    <w:suppressAutoHyphens/>
                                    <w:spacing w:line="276" w:lineRule="auto"/>
                                    <w:ind w:firstLine="720"/>
                                    <w:jc w:val="both"/>
                                  </w:pPr>
                                  <w:r>
                                    <w:rPr>
                                      <w:szCs w:val="24"/>
                                      <w:lang w:val="lt"/>
                                    </w:rPr>
                                    <w:t>Šio straipsnio pirmojoje dalyje numatytas pažeidimas, padarytas pakartotinai per penkerių metų laikotarpį,</w:t>
                                  </w:r>
                                  <w:r>
                                    <w:rPr>
                                      <w:szCs w:val="24"/>
                                    </w:rPr>
                                    <w:t xml:space="preserve"> </w:t>
                                  </w:r>
                                  <w:r>
                                    <w:rPr>
                                      <w:szCs w:val="24"/>
                                      <w:lang w:val="lt"/>
                                    </w:rPr>
                                    <w:t xml:space="preserve">užtraukia baudą  aštuonis kartus didesnę už ozono sluoksnį ardančių medžiagų ir (arba) produktų ir įrangos, kuriuose yra šių medžiagų arba kurių veikimas nuo jų priklauso, rinkos vertę. </w:t>
                                  </w:r>
                                </w:p>
                              </w:sdtContent>
                            </w:sdt>
                            <w:sdt>
                              <w:sdtPr>
                                <w:alias w:val="110 str. 3 d."/>
                                <w:tag w:val="part_3eab26a616974139ae3c832680bcb348"/>
                                <w:lock w:val="sdtLocked"/>
                                <w:richText/>
                              </w:sdtPr>
                              <w:sdtContent>
                                <w:p>
                                  <w:pPr>
                                    <w:widowControl w:val="0"/>
                                    <w:suppressAutoHyphens/>
                                    <w:spacing w:line="276" w:lineRule="auto"/>
                                    <w:ind w:firstLine="720"/>
                                    <w:jc w:val="both"/>
                                  </w:pPr>
                                  <w:r>
                                    <w:rPr>
                                      <w:szCs w:val="24"/>
                                      <w:lang w:val="lt"/>
                                    </w:rPr>
                                    <w:t>Už šio straipsnio pirmojoje ir antrojoje dalyse numatytus pažeidimus skiriamas draudimas naudoti, gaminti, importuoti, eksportuoti arba pateikti rinkai ozono sluoksnį ardančias medžiagas ir (arba) produktus ir įrangą, kuriuose yra šių medžiagų arba kurių veikimas nuo jų priklauso.</w:t>
                                  </w:r>
                                </w:p>
                              </w:sdtContent>
                            </w:sdt>
                            <w:sdt>
                              <w:sdtPr>
                                <w:alias w:val="110 str. 4 d."/>
                                <w:tag w:val="part_da8f0690aa0448d4a509e2b209a93191"/>
                                <w:lock w:val="sdtLocked"/>
                                <w:richText/>
                              </w:sdtPr>
                              <w:sdtContent>
                                <w:p>
                                  <w:pPr>
                                    <w:widowControl w:val="0"/>
                                    <w:suppressAutoHyphens/>
                                    <w:spacing w:line="276" w:lineRule="auto"/>
                                    <w:ind w:firstLine="720"/>
                                    <w:jc w:val="both"/>
                                  </w:pPr>
                                  <w:r>
                                    <w:rPr>
                                      <w:szCs w:val="24"/>
                                      <w:lang w:val="lt"/>
                                    </w:rPr>
                                    <w:t>Pakartotinai neužpildomų ozono sluoksnį ardančių medžiagų talpyklų, kurios yra tuščios arba visiškai ar iš dalies užpildytos, importas, pateikimas rinkai, vėlesnis tiekimas ar teikimas kitam asmeniui Europos Sąjungoje už atlygį arba nemokamai, naudojimas arba eksportas</w:t>
                                  </w:r>
                                  <w:r>
                                    <w:rPr>
                                      <w:szCs w:val="24"/>
                                    </w:rPr>
                                    <w:t xml:space="preserve"> </w:t>
                                  </w:r>
                                  <w:r>
                                    <w:rPr>
                                      <w:szCs w:val="24"/>
                                      <w:lang w:val="lt"/>
                                    </w:rPr>
                                    <w:t>užtraukia baudą nuo dviejų tūkstančių iki aštuonių tūkstančių eurų.</w:t>
                                  </w:r>
                                </w:p>
                              </w:sdtContent>
                            </w:sdt>
                            <w:sdt>
                              <w:sdtPr>
                                <w:alias w:val="110 str. 5 d."/>
                                <w:tag w:val="part_d27234acf2c74e5d828aa810e9366eb8"/>
                                <w:lock w:val="sdtLocked"/>
                                <w:richText/>
                              </w:sdtPr>
                              <w:sdtContent>
                                <w:p>
                                  <w:pPr>
                                    <w:widowControl w:val="0"/>
                                    <w:suppressAutoHyphens/>
                                    <w:spacing w:line="276" w:lineRule="auto"/>
                                    <w:ind w:firstLine="720"/>
                                    <w:jc w:val="both"/>
                                  </w:pPr>
                                  <w:r>
                                    <w:rPr>
                                      <w:szCs w:val="24"/>
                                      <w:lang w:val="lt"/>
                                    </w:rPr>
                                    <w:t xml:space="preserve">Už šio straipsnio pirmojoje, antrojoje ir ketvirtojoje dalyse numatytus pažeidimus  skiriamas pažeidimo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sdt>
                              <w:sdtPr>
                                <w:alias w:val="110 str. 6 d."/>
                                <w:tag w:val="part_386be8b652ec413eb2a82e27e62f1399"/>
                                <w:lock w:val="sdtLocked"/>
                                <w:richText/>
                              </w:sdtPr>
                              <w:sdtContent>
                                <w:p>
                                  <w:pPr>
                                    <w:widowControl w:val="0"/>
                                    <w:suppressAutoHyphens/>
                                    <w:spacing w:line="276" w:lineRule="auto"/>
                                    <w:ind w:firstLine="720"/>
                                    <w:jc w:val="both"/>
                                    <w:rPr>
                                      <w:lang w:val="lt"/>
                                    </w:rPr>
                                  </w:pPr>
                                  <w:r>
                                    <w:rPr>
                                      <w:lang w:val="lt"/>
                                    </w:rPr>
                                    <w:t xml:space="preserve">Reglamento </w:t>
                                  </w:r>
                                  <w:fldSimple w:instr="HYPERLINK http://eur-lex.europa.eu/legal-content/LIT/TXT/?uri=CELEX:32024R0590&amp;locale=lt \t _blank">
                                    <w:r>
                                      <w:rPr>
                                        <w:lang w:val="lt"/>
                                        <w:u w:val="single"/>
                                        <w:color w:val="0000FF" w:themeColor="hyperlink"/>
                                      </w:rPr>
                                      <w:t>(ES) 2024/590</w:t>
                                    </w:r>
                                  </w:fldSimple>
                                  <w:r>
                                    <w:rPr>
                                      <w:lang w:val="lt"/>
                                    </w:rPr>
                                    <w:t xml:space="preserve"> 8 straipsnio 1 ir 6 dalyse nurodytų ozono sluoksnį ardančių medžiagų, skirtų svarbiausioms laboratorijų ir analizės reikmėms, pateikimo rinkai ir vėlesnio tiekimo arba teikimo kitam asmeniui Europos Sąjungoje už atlygį arba nemokamai ir (arba) naudojimo sąlygų pažeidimas užtraukia baudą nuo dviejų tūkstančių iki aštuonių tūkstančių eurų.</w:t>
                                  </w:r>
                                </w:p>
                              </w:sdtContent>
                            </w:sdt>
                            <w:sdt>
                              <w:sdtPr>
                                <w:alias w:val="110 str. 7 d."/>
                                <w:tag w:val="part_ad42a3e22e6c4319839e7885d6a211a0"/>
                                <w:lock w:val="sdtLocked"/>
                                <w:richText/>
                              </w:sdtPr>
                              <w:sdtContent>
                                <w:p>
                                  <w:pPr>
                                    <w:widowControl w:val="0"/>
                                    <w:suppressAutoHyphens/>
                                    <w:spacing w:line="276" w:lineRule="auto"/>
                                    <w:ind w:firstLine="720"/>
                                    <w:jc w:val="both"/>
                                    <w:rPr>
                                      <w:lang w:val="lt"/>
                                    </w:rPr>
                                  </w:pPr>
                                  <w:r>
                                    <w:rPr>
                                      <w:lang w:val="lt"/>
                                    </w:rPr>
                                    <w:t xml:space="preserve">Reglamento </w:t>
                                  </w:r>
                                  <w:fldSimple w:instr="HYPERLINK http://eur-lex.europa.eu/legal-content/LIT/TXT/?uri=CELEX:32024R0590&amp;locale=lt \t _blank">
                                    <w:r>
                                      <w:rPr>
                                        <w:lang w:val="lt"/>
                                        <w:u w:val="single"/>
                                        <w:color w:val="0000FF" w:themeColor="hyperlink"/>
                                      </w:rPr>
                                      <w:t>(ES) 2024/590</w:t>
                                    </w:r>
                                  </w:fldSimple>
                                  <w:r>
                                    <w:rPr>
                                      <w:lang w:val="lt"/>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ir halonų surinkimo reikalavimų pažeidimas užtraukia baudą  nuo dviejų tūkstančių iki aštuonių tūkstančių eurų.</w:t>
                                  </w:r>
                                </w:p>
                              </w:sdtContent>
                            </w:sdt>
                            <w:sdt>
                              <w:sdtPr>
                                <w:alias w:val="110 str. 8 d."/>
                                <w:tag w:val="part_48fea7fdd7e34f8183bfed0e83ae7b75"/>
                                <w:lock w:val="sdtLocked"/>
                                <w:richText/>
                              </w:sdtPr>
                              <w:sdtContent>
                                <w:p>
                                  <w:pPr>
                                    <w:widowControl w:val="0"/>
                                    <w:suppressAutoHyphens/>
                                    <w:spacing w:line="276" w:lineRule="auto"/>
                                    <w:ind w:firstLine="720"/>
                                    <w:jc w:val="both"/>
                                    <w:rPr>
                                      <w:lang w:val="lt"/>
                                    </w:rPr>
                                  </w:pPr>
                                  <w:r>
                                    <w:rPr>
                                      <w:lang w:val="lt"/>
                                    </w:rPr>
                                    <w:t xml:space="preserve">Talpyklų, kuriose yra ozono sluoksnį ardančių medžiagų, skirtų naudoti Reglamento </w:t>
                                  </w:r>
                                  <w:fldSimple w:instr="HYPERLINK http://eur-lex.europa.eu/legal-content/LIT/TXT/?uri=CELEX:32024R0590&amp;locale=lt \t _blank">
                                    <w:r>
                                      <w:rPr>
                                        <w:lang w:val="lt"/>
                                        <w:u w:val="single"/>
                                        <w:color w:val="0000FF" w:themeColor="hyperlink"/>
                                      </w:rPr>
                                      <w:t>(ES) 2024/590</w:t>
                                    </w:r>
                                  </w:fldSimple>
                                  <w:r>
                                    <w:rPr>
                                      <w:lang w:val="lt"/>
                                    </w:rPr>
                                    <w:t xml:space="preserve"> 6, 7, 8 ir 12 straipsniuose nurodytoms reikmėms, ženklinimo reikalavimų pažeidimas užtraukia baudą nuo vieno tūkstančio iki dviejų tūkstančių eurų.</w:t>
                                  </w:r>
                                </w:p>
                              </w:sdtContent>
                            </w:sdt>
                            <w:sdt>
                              <w:sdtPr>
                                <w:alias w:val="110 str. 9 d."/>
                                <w:tag w:val="part_41e29205fce747db8c59e96c61994145"/>
                                <w:lock w:val="sdtLocked"/>
                                <w:richText/>
                              </w:sdtPr>
                              <w:sdtContent>
                                <w:p>
                                  <w:pPr>
                                    <w:widowControl w:val="0"/>
                                    <w:suppressAutoHyphens/>
                                    <w:spacing w:line="276" w:lineRule="auto"/>
                                    <w:ind w:firstLine="720"/>
                                    <w:jc w:val="both"/>
                                  </w:pPr>
                                  <w:r>
                                    <w:rPr>
                                      <w:lang w:val="lt"/>
                                    </w:rPr>
                                    <w:t>Ozono sluoksnį ardančių medžiagų neteisėtas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produktų ir įrangos, kuriuose yra šių medžiagų, naikinimo reikalavimų pažeidimas</w:t>
                                  </w:r>
                                  <w:r>
                                    <w:t xml:space="preserve"> </w:t>
                                  </w:r>
                                  <w:r>
                                    <w:rPr>
                                      <w:lang w:val="lt"/>
                                    </w:rPr>
                                    <w:t>užtraukia baudą nuo dviejų tūkstančių iki aštuonių tūkstančių eurų.</w:t>
                                  </w:r>
                                </w:p>
                              </w:sdtContent>
                            </w:sdt>
                            <w:sdt>
                              <w:sdtPr>
                                <w:alias w:val="110 str. 10 d."/>
                                <w:tag w:val="part_7e8999c34e324cf38da747ea3e19288a"/>
                                <w:lock w:val="sdtLocked"/>
                                <w:richText/>
                              </w:sdtPr>
                              <w:sdtContent>
                                <w:p>
                                  <w:pPr>
                                    <w:widowControl w:val="0"/>
                                    <w:suppressAutoHyphens/>
                                    <w:spacing w:line="276" w:lineRule="auto"/>
                                    <w:ind w:firstLine="720"/>
                                    <w:jc w:val="both"/>
                                  </w:pPr>
                                  <w:r>
                                    <w:rPr>
                                      <w:lang w:val="lt"/>
                                    </w:rPr>
                                    <w:t>Reikalavimų užtikrinti, kad ozono sluoksnį ardančių medžiagų turinčios įrangos ar sistemų techninės priežiūros, remonto, tikrinimo dėl nuotėkio, eksploatacijos nutraukimo, išmontavimo, ozono sluoksnį ardančių medžiagų surinkimo sunaikinti, recirkuliuoti ar regeneruoti, darbus atliktų teisės aktų nustatytas kompetencijas turintys asmenys, pažeidimas</w:t>
                                  </w:r>
                                  <w:r>
                                    <w:t xml:space="preserve"> </w:t>
                                  </w:r>
                                  <w:r>
                                    <w:rPr>
                                      <w:lang w:val="lt"/>
                                    </w:rPr>
                                    <w:t>užtraukia baudą nuo dviejų tūkstančių iki keturių tūkstančių eurų.</w:t>
                                  </w:r>
                                </w:p>
                              </w:sdtContent>
                            </w:sdt>
                            <w:sdt>
                              <w:sdtPr>
                                <w:alias w:val="110 str. 11 d."/>
                                <w:tag w:val="part_9fec53dd0b23427191d7fce9bda7250c"/>
                                <w:lock w:val="sdtLocked"/>
                                <w:richText/>
                              </w:sdtPr>
                              <w:sdtContent>
                                <w:p>
                                  <w:pPr>
                                    <w:suppressAutoHyphens/>
                                    <w:spacing w:line="276" w:lineRule="auto"/>
                                    <w:ind w:firstLine="720"/>
                                    <w:jc w:val="both"/>
                                  </w:pPr>
                                  <w:r>
                                    <w:t xml:space="preserve">Reglamento </w:t>
                                  </w:r>
                                  <w:fldSimple w:instr="HYPERLINK http://eur-lex.europa.eu/legal-content/LIT/TXT/?uri=CELEX:32024R0590&amp;locale=lt \t _blank">
                                    <w:r>
                                      <w:rPr>
                                        <w:u w:val="single"/>
                                        <w:color w:val="0000FF" w:themeColor="hyperlink"/>
                                      </w:rPr>
                                      <w:t>(ES) 2024/590</w:t>
                                    </w:r>
                                  </w:fldSimple>
                                  <w:r>
                                    <w:t xml:space="preserve"> 8 straipsnio 5 dalyje, 15 straipsnio 3, 4 ir 6 dalyse, 20 straipsnio 3, 4 dalyse ir 21 straipsnio 5 dalyje nustatytų informacijos, duomenų, dokumentų saugojimo mažiausiai penkerius metus ir pateikimo Europos Sąjungos ir (arba) Lietuvos Respublikos institucijoms, joms paprašius, pažeidimas užtraukia baudą nuo vieno tūkstančio iki dviejų tūkstančių eurų.</w:t>
                                  </w:r>
                                </w:p>
                              </w:sdtContent>
                            </w:sdt>
                            <w:sdt>
                              <w:sdtPr>
                                <w:alias w:val="110 str. 12 d."/>
                                <w:tag w:val="part_7bf08ca150f0421686458294bdd2c991"/>
                                <w:lock w:val="sdtLocked"/>
                                <w:richText/>
                              </w:sdtPr>
                              <w:sdtContent>
                                <w:p>
                                  <w:pPr>
                                    <w:widowControl w:val="0"/>
                                    <w:suppressAutoHyphens/>
                                    <w:spacing w:line="276" w:lineRule="auto"/>
                                    <w:ind w:firstLine="720"/>
                                    <w:jc w:val="both"/>
                                    <w:rPr>
                                      <w:lang w:val="lt"/>
                                    </w:rPr>
                                  </w:pPr>
                                  <w:r>
                                    <w:rPr>
                                      <w:lang w:val="lt"/>
                                    </w:rPr>
                                    <w:t xml:space="preserve">Duomenų apie gaminamas, importuojamas, eksportuojamas,  sunaikinamas, naudojamas ozono sluoksnį ardančias medžiagas, būtiniausius halonų naudojimo atvejus, eksploatuojamą ozono sluoksnį ardančių medžiagų turinčią įrangą nepateikimas Europos Sąjungos ir (arba) Lietuvos Respublikos institucijoms teisės aktų nustatyta tvarka, šių duomenų nuslėpimas ir (arba) iškraipymas</w:t>
                                  </w:r>
                                  <w:r>
                                    <w:t xml:space="preserve"> </w:t>
                                  </w:r>
                                  <w:r>
                                    <w:rPr>
                                      <w:lang w:val="lt"/>
                                    </w:rPr>
                                    <w:t>užtraukia baudą nuo vieno tūkstančio iki dviejų tūkstančių eurų.“</w:t>
                                  </w:r>
                                </w:p>
                                <w:p>
                                  <w:pPr>
                                    <w:widowControl w:val="0"/>
                                    <w:suppressAutoHyphens/>
                                    <w:spacing w:line="276" w:lineRule="auto"/>
                                    <w:ind w:firstLine="720"/>
                                    <w:jc w:val="both"/>
                                  </w:pPr>
                                </w:p>
                              </w:sdtContent>
                            </w:sdt>
                          </w:sdtContent>
                        </w:sdt>
                      </w:sdtContent>
                    </w:sdt>
                  </w:sdtContent>
                </w:sdt>
              </w:sdtContent>
            </w:sdt>
            <w:sdt>
              <w:sdtPr>
                <w:alias w:val="9 str."/>
                <w:tag w:val="part_c3595c5e3d924252a6275a01ecb78fb7"/>
                <w:lock w:val="sdtLocked"/>
                <w:richText/>
              </w:sdtPr>
              <w:sdtContent>
                <w:p>
                  <w:pPr>
                    <w:widowControl w:val="0"/>
                    <w:suppressAutoHyphens/>
                    <w:spacing w:line="276" w:lineRule="auto"/>
                    <w:ind w:firstLine="720"/>
                    <w:jc w:val="both"/>
                  </w:pPr>
                  <w:sdt>
                    <w:sdtPr>
                      <w:alias w:val="Numeris"/>
                      <w:tag w:val="nr_c3595c5e3d924252a6275a01ecb78fb7"/>
                      <w:lock w:val="sdtLocked"/>
                      <w:richText/>
                    </w:sdtPr>
                    <w:sdtContent>
                      <w:r>
                        <w:rPr>
                          <w:b/>
                          <w:bCs/>
                          <w:color w:val="000000"/>
                          <w:szCs w:val="24"/>
                        </w:rPr>
                        <w:t>9</w:t>
                      </w:r>
                    </w:sdtContent>
                  </w:sdt>
                  <w:r>
                    <w:rPr>
                      <w:b/>
                      <w:bCs/>
                      <w:color w:val="000000"/>
                      <w:szCs w:val="24"/>
                    </w:rPr>
                    <w:t xml:space="preserve"> straipsnis. </w:t>
                  </w:r>
                  <w:sdt>
                    <w:sdtPr>
                      <w:alias w:val="Pavadinimas"/>
                      <w:tag w:val="title_c3595c5e3d924252a6275a01ecb78fb7"/>
                      <w:lock w:val="sdtLocked"/>
                      <w:richText/>
                    </w:sdtPr>
                    <w:sdtContent>
                      <w:r>
                        <w:rPr>
                          <w:b/>
                          <w:bCs/>
                          <w:color w:val="000000"/>
                          <w:szCs w:val="24"/>
                        </w:rPr>
                        <w:t>Įstatymo papildymas 110</w:t>
                      </w:r>
                      <w:r>
                        <w:rPr>
                          <w:b/>
                          <w:bCs/>
                          <w:color w:val="000000"/>
                          <w:szCs w:val="24"/>
                          <w:vertAlign w:val="superscript"/>
                        </w:rPr>
                        <w:t>2</w:t>
                      </w:r>
                      <w:r>
                        <w:rPr>
                          <w:b/>
                          <w:bCs/>
                          <w:color w:val="000000"/>
                          <w:szCs w:val="24"/>
                        </w:rPr>
                        <w:t xml:space="preserve"> straipsniu</w:t>
                      </w:r>
                    </w:sdtContent>
                  </w:sdt>
                </w:p>
                <w:sdt>
                  <w:sdtPr>
                    <w:alias w:val="9 str. 1 d."/>
                    <w:tag w:val="part_2574db929a7a4fe6aeb019ab3e97fe7f"/>
                    <w:lock w:val="sdtLocked"/>
                    <w:richText/>
                  </w:sdtPr>
                  <w:sdtContent>
                    <w:p>
                      <w:pPr>
                        <w:widowControl w:val="0"/>
                        <w:suppressAutoHyphens/>
                        <w:spacing w:line="276" w:lineRule="auto"/>
                        <w:ind w:firstLine="720"/>
                        <w:jc w:val="both"/>
                        <w:rPr>
                          <w:szCs w:val="24"/>
                          <w:lang w:eastAsia="lt-LT"/>
                        </w:rPr>
                      </w:pPr>
                      <w:r>
                        <w:rPr>
                          <w:color w:val="000000"/>
                          <w:szCs w:val="24"/>
                          <w:lang w:eastAsia="lt-LT"/>
                        </w:rPr>
                        <w:t xml:space="preserve">Papildyti įstatymą </w:t>
                      </w:r>
                      <w:r>
                        <w:rPr>
                          <w:color w:val="000000"/>
                          <w:szCs w:val="24"/>
                          <w:lang w:val="lt" w:eastAsia="lt-LT"/>
                        </w:rPr>
                        <w:t>110</w:t>
                      </w:r>
                      <w:r>
                        <w:rPr>
                          <w:color w:val="000000"/>
                          <w:szCs w:val="24"/>
                          <w:vertAlign w:val="superscript"/>
                          <w:lang w:val="lt" w:eastAsia="lt-LT"/>
                        </w:rPr>
                        <w:t xml:space="preserve">2 </w:t>
                      </w:r>
                      <w:r>
                        <w:rPr>
                          <w:color w:val="000000"/>
                          <w:szCs w:val="24"/>
                          <w:lang w:eastAsia="lt-LT"/>
                        </w:rPr>
                        <w:t>straipsniu:</w:t>
                      </w:r>
                    </w:p>
                    <w:sdt>
                      <w:sdtPr>
                        <w:alias w:val="citata"/>
                        <w:tag w:val="part_4ce62573543d4299a967b4d62da838a8"/>
                        <w:lock w:val="sdtLocked"/>
                        <w:richText/>
                      </w:sdtPr>
                      <w:sdtContent>
                        <w:sdt>
                          <w:sdtPr>
                            <w:alias w:val="110-2 str."/>
                            <w:tag w:val="part_a9fae6e8b2a5474093b0ff762b8b3752"/>
                            <w:lock w:val="sdtLocked"/>
                            <w:richText/>
                          </w:sdtPr>
                          <w:sdtContent>
                            <w:p>
                              <w:pPr>
                                <w:widowControl w:val="0"/>
                                <w:suppressAutoHyphens/>
                                <w:spacing w:line="276" w:lineRule="auto"/>
                                <w:ind w:firstLine="720"/>
                                <w:jc w:val="both"/>
                                <w:rPr>
                                  <w:szCs w:val="24"/>
                                  <w:lang w:eastAsia="lt-LT"/>
                                </w:rPr>
                              </w:pPr>
                              <w:r>
                                <w:rPr>
                                  <w:szCs w:val="24"/>
                                  <w:lang w:eastAsia="lt-LT"/>
                                </w:rPr>
                                <w:t>„</w:t>
                              </w:r>
                              <w:sdt>
                                <w:sdtPr>
                                  <w:alias w:val="Numeris"/>
                                  <w:tag w:val="nr_a9fae6e8b2a5474093b0ff762b8b3752"/>
                                  <w:lock w:val="sdtLocked"/>
                                  <w:richText/>
                                </w:sdtPr>
                                <w:sdtContent>
                                  <w:r>
                                    <w:rPr>
                                      <w:b/>
                                      <w:bCs/>
                                      <w:color w:val="000000"/>
                                      <w:szCs w:val="24"/>
                                      <w:lang w:val="lt" w:eastAsia="lt-LT"/>
                                    </w:rPr>
                                    <w:t>110</w:t>
                                  </w:r>
                                  <w:r>
                                    <w:rPr>
                                      <w:b/>
                                      <w:bCs/>
                                      <w:color w:val="000000"/>
                                      <w:szCs w:val="24"/>
                                      <w:vertAlign w:val="superscript"/>
                                      <w:lang w:val="lt" w:eastAsia="lt-LT"/>
                                    </w:rPr>
                                    <w:t>2</w:t>
                                  </w:r>
                                </w:sdtContent>
                              </w:sdt>
                              <w:r>
                                <w:rPr>
                                  <w:b/>
                                  <w:bCs/>
                                  <w:color w:val="000000"/>
                                  <w:szCs w:val="24"/>
                                  <w:vertAlign w:val="superscript"/>
                                  <w:lang w:val="lt" w:eastAsia="lt-LT"/>
                                </w:rPr>
                                <w:t xml:space="preserve"> </w:t>
                              </w:r>
                              <w:r>
                                <w:rPr>
                                  <w:b/>
                                  <w:bCs/>
                                  <w:color w:val="000000"/>
                                  <w:szCs w:val="24"/>
                                  <w:lang w:eastAsia="lt-LT"/>
                                </w:rPr>
                                <w:t xml:space="preserve">straipsnis. </w:t>
                              </w:r>
                              <w:sdt>
                                <w:sdtPr>
                                  <w:alias w:val="Pavadinimas"/>
                                  <w:tag w:val="title_a9fae6e8b2a5474093b0ff762b8b3752"/>
                                  <w:lock w:val="sdtLocked"/>
                                  <w:richText/>
                                </w:sdtPr>
                                <w:sdtContent>
                                  <w:r>
                                    <w:rPr>
                                      <w:b/>
                                      <w:bCs/>
                                      <w:color w:val="000000"/>
                                      <w:szCs w:val="24"/>
                                      <w:lang w:eastAsia="lt-LT"/>
                                    </w:rPr>
                                    <w:t xml:space="preserve">Juridinių asmenų atsakomybė už Reglamente </w:t>
                                  </w:r>
                                  <w:fldSimple w:instr="HYPERLINK http://eur-lex.europa.eu/legal-content/LIT/TXT/?uri=CELEX:32023R0956&amp;locale=lt \t _blank">
                                    <w:r>
                                      <w:rPr>
                                        <w:b/>
                                        <w:bCs/>
                                        <w:color w:val="0000FF" w:themeColor="hyperlink"/>
                                        <w:szCs w:val="24"/>
                                        <w:lang w:eastAsia="lt-LT"/>
                                        <w:u w:val="single"/>
                                      </w:rPr>
                                      <w:t>(ES) 2023/956</w:t>
                                    </w:r>
                                  </w:fldSimple>
                                  <w:r>
                                    <w:rPr>
                                      <w:b/>
                                      <w:bCs/>
                                      <w:color w:val="000000"/>
                                      <w:szCs w:val="24"/>
                                      <w:lang w:eastAsia="lt-LT"/>
                                    </w:rPr>
                                    <w:t xml:space="preserve"> nustatytų pasienio anglies dioksido korekcinio mechanizmo reikalavimų pažeidimą</w:t>
                                  </w:r>
                                </w:sdtContent>
                              </w:sdt>
                            </w:p>
                            <w:sdt>
                              <w:sdtPr>
                                <w:alias w:val="110-2 str. 1 d."/>
                                <w:tag w:val="part_cb395d64fe754a118e61f1ce9ba65a95"/>
                                <w:lock w:val="sdtLocked"/>
                                <w:richText/>
                              </w:sdtPr>
                              <w:sdtContent>
                                <w:p>
                                  <w:pPr>
                                    <w:widowControl w:val="0"/>
                                    <w:tabs>
                                      <w:tab w:val="left" w:pos="993"/>
                                    </w:tabs>
                                    <w:suppressAutoHyphens/>
                                    <w:spacing w:line="276" w:lineRule="auto"/>
                                    <w:ind w:firstLine="720"/>
                                    <w:jc w:val="both"/>
                                  </w:pPr>
                                  <w:r>
                                    <w:rPr>
                                      <w:color w:val="000000"/>
                                    </w:rPr>
                                    <w:t xml:space="preserve">Reglamento </w:t>
                                  </w:r>
                                  <w:fldSimple w:instr="HYPERLINK http://eur-lex.europa.eu/legal-content/LIT/TXT/?uri=CELEX:32023R0956&amp;locale=lt \t _blank">
                                    <w:r>
                                      <w:rPr>
                                        <w:color w:val="0000FF" w:themeColor="hyperlink"/>
                                        <w:u w:val="single"/>
                                      </w:rPr>
                                      <w:t>(ES) 2023/956</w:t>
                                    </w:r>
                                  </w:fldSimple>
                                  <w:r>
                                    <w:rPr>
                                      <w:color w:val="000000"/>
                                    </w:rPr>
                                    <w:t xml:space="preserve"> 32 straipsnyje nustatytos pasienio anglies dioksido korekcinio mechanizmo (toliau – PADKM) ataskaitos nepateikimas laiku  užtraukia baudą nuo dešimties iki penkiasdešimties eurų už kiekvieną nepraneštą išmetamo šiltnamio efektą sukeliančių dujų (toliau – ŠESD) kiekio toną, lygią anglies dioksido tonos ekvivalentui (toliau – CO</w:t>
                                  </w:r>
                                  <w:r>
                                    <w:rPr>
                                      <w:color w:val="000000"/>
                                      <w:vertAlign w:val="subscript"/>
                                    </w:rPr>
                                    <w:t>2</w:t>
                                  </w:r>
                                  <w:r>
                                    <w:rPr>
                                      <w:color w:val="000000"/>
                                    </w:rPr>
                                    <w:t xml:space="preserve"> e.) arba PADKM ataskaitos nepateikimas ilgiau kaip 6 mėnesius užtraukia baudą nuo penkiasdešimties iki devyniasdešimties eurų už kiekvieną nepraneštą išmetamo ŠESD kiekio toną CO</w:t>
                                  </w:r>
                                  <w:r>
                                    <w:rPr>
                                      <w:color w:val="000000"/>
                                      <w:vertAlign w:val="subscript"/>
                                    </w:rPr>
                                    <w:t>2</w:t>
                                  </w:r>
                                  <w:r>
                                    <w:rPr>
                                      <w:color w:val="000000"/>
                                    </w:rPr>
                                    <w:t xml:space="preserve"> e.</w:t>
                                  </w:r>
                                </w:p>
                              </w:sdtContent>
                            </w:sdt>
                            <w:sdt>
                              <w:sdtPr>
                                <w:alias w:val="110-2 str. 2 d."/>
                                <w:tag w:val="part_5bd430d110a24a5484347d2f47acc046"/>
                                <w:lock w:val="sdtLocked"/>
                                <w:richText/>
                              </w:sdtPr>
                              <w:sdtContent>
                                <w:p>
                                  <w:pPr>
                                    <w:widowControl w:val="0"/>
                                    <w:suppressAutoHyphens/>
                                    <w:spacing w:line="276" w:lineRule="auto"/>
                                    <w:ind w:firstLine="720"/>
                                    <w:jc w:val="both"/>
                                  </w:pPr>
                                  <w:r>
                                    <w:rPr>
                                      <w:color w:val="000000"/>
                                    </w:rPr>
                                    <w:t xml:space="preserve">Šio straipsnio 1 dalyje nurodytos neteisingos ar neišsamios Reglamento </w:t>
                                  </w:r>
                                  <w:fldSimple w:instr="HYPERLINK http://eur-lex.europa.eu/legal-content/LIT/TXT/?uri=CELEX:32023R0956&amp;locale=lt \t _blank">
                                    <w:r>
                                      <w:rPr>
                                        <w:color w:val="0000FF" w:themeColor="hyperlink"/>
                                        <w:u w:val="single"/>
                                      </w:rPr>
                                      <w:t>(ES) 2023/956</w:t>
                                    </w:r>
                                  </w:fldSimple>
                                  <w:r>
                                    <w:rPr>
                                      <w:color w:val="000000"/>
                                    </w:rPr>
                                    <w:t> 32 straipsnyje nurodytos PADKM ataskaitos pateikimas arba kompetentingos institucijos nurodymų pataisyti PADKM ataskaitą nevykdymas užtraukia baudą nuo dešimties iki penkiasdešimties eurų už kiekvieną nepraneštą išmetamo ŠESD kiekio toną CO</w:t>
                                  </w:r>
                                  <w:r>
                                    <w:rPr>
                                      <w:color w:val="000000"/>
                                      <w:vertAlign w:val="subscript"/>
                                    </w:rPr>
                                    <w:t>2</w:t>
                                  </w:r>
                                  <w:r>
                                    <w:rPr>
                                      <w:color w:val="000000"/>
                                    </w:rPr>
                                    <w:t xml:space="preserve"> e. arba daugiau kaip dviejų iš eilės einančių neteisingų ar neišsamių PADKM ataskaitų pateikimas užtraukia baudą nuo penkiasdešimt iki devyniasdešimt eurų už kiekvieną nepraneštą išmetamo ŠESD kiekio toną CO</w:t>
                                  </w:r>
                                  <w:r>
                                    <w:rPr>
                                      <w:color w:val="000000"/>
                                      <w:vertAlign w:val="subscript"/>
                                    </w:rPr>
                                    <w:t>2</w:t>
                                  </w:r>
                                  <w:r>
                                    <w:rPr>
                                      <w:color w:val="000000"/>
                                    </w:rPr>
                                    <w:t xml:space="preserve"> e.</w:t>
                                  </w:r>
                                  <w:r>
                                    <w:rPr>
                                      <w:lang w:val="lt"/>
                                    </w:rPr>
                                    <w:t>“</w:t>
                                  </w:r>
                                </w:p>
                                <w:p>
                                  <w:pPr>
                                    <w:widowControl w:val="0"/>
                                    <w:tabs>
                                      <w:tab w:val="left" w:pos="993"/>
                                    </w:tabs>
                                    <w:suppressAutoHyphens/>
                                    <w:spacing w:line="276" w:lineRule="auto"/>
                                    <w:ind w:firstLine="720"/>
                                    <w:jc w:val="both"/>
                                    <w:rPr>
                                      <w:b/>
                                      <w:bCs/>
                                      <w:color w:val="000000"/>
                                      <w:szCs w:val="24"/>
                                    </w:rPr>
                                  </w:pPr>
                                </w:p>
                              </w:sdtContent>
                            </w:sdt>
                          </w:sdtContent>
                        </w:sdt>
                      </w:sdtContent>
                    </w:sdt>
                  </w:sdtContent>
                </w:sdt>
              </w:sdtContent>
            </w:sdt>
            <w:sdt>
              <w:sdtPr>
                <w:alias w:val="10 str."/>
                <w:tag w:val="part_5fff1e01b4e94f239a3cf2b2f290c5fe"/>
                <w:lock w:val="sdtLocked"/>
                <w:richText/>
              </w:sdtPr>
              <w:sdtContent>
                <w:p>
                  <w:pPr>
                    <w:widowControl w:val="0"/>
                    <w:tabs>
                      <w:tab w:val="left" w:pos="993"/>
                    </w:tabs>
                    <w:suppressAutoHyphens/>
                    <w:spacing w:line="276" w:lineRule="auto"/>
                    <w:ind w:firstLine="720"/>
                    <w:jc w:val="both"/>
                  </w:pPr>
                  <w:sdt>
                    <w:sdtPr>
                      <w:alias w:val="Numeris"/>
                      <w:tag w:val="nr_5fff1e01b4e94f239a3cf2b2f290c5fe"/>
                      <w:lock w:val="sdtLocked"/>
                      <w:richText/>
                    </w:sdtPr>
                    <w:sdtContent>
                      <w:r>
                        <w:rPr>
                          <w:b/>
                          <w:bCs/>
                          <w:color w:val="000000"/>
                          <w:szCs w:val="24"/>
                        </w:rPr>
                        <w:t>10</w:t>
                      </w:r>
                    </w:sdtContent>
                  </w:sdt>
                  <w:r>
                    <w:rPr>
                      <w:b/>
                      <w:bCs/>
                      <w:color w:val="000000"/>
                      <w:szCs w:val="24"/>
                    </w:rPr>
                    <w:t xml:space="preserve"> straipsnis. </w:t>
                  </w:r>
                  <w:sdt>
                    <w:sdtPr>
                      <w:alias w:val="Pavadinimas"/>
                      <w:tag w:val="title_5fff1e01b4e94f239a3cf2b2f290c5fe"/>
                      <w:lock w:val="sdtLocked"/>
                      <w:richText/>
                    </w:sdtPr>
                    <w:sdtContent>
                      <w:r>
                        <w:rPr>
                          <w:b/>
                          <w:bCs/>
                          <w:color w:val="000000"/>
                          <w:szCs w:val="24"/>
                          <w:lang w:val="lt"/>
                        </w:rPr>
                        <w:t>110</w:t>
                      </w:r>
                      <w:r>
                        <w:rPr>
                          <w:b/>
                          <w:bCs/>
                          <w:color w:val="000000"/>
                          <w:szCs w:val="24"/>
                          <w:vertAlign w:val="superscript"/>
                          <w:lang w:val="lt"/>
                        </w:rPr>
                        <w:t xml:space="preserve">2 </w:t>
                      </w:r>
                      <w:r>
                        <w:rPr>
                          <w:b/>
                          <w:bCs/>
                          <w:color w:val="000000"/>
                          <w:szCs w:val="24"/>
                        </w:rPr>
                        <w:t>straipsnio pripažinimas netekusiu galios</w:t>
                      </w:r>
                    </w:sdtContent>
                  </w:sdt>
                </w:p>
                <w:sdt>
                  <w:sdtPr>
                    <w:alias w:val="10 str. 1 d."/>
                    <w:tag w:val="part_c1b0d69a162d4a6592d66580fa714149"/>
                    <w:lock w:val="sdtLocked"/>
                    <w:richText/>
                  </w:sdtPr>
                  <w:sdtContent>
                    <w:p>
                      <w:pPr>
                        <w:widowControl w:val="0"/>
                        <w:tabs>
                          <w:tab w:val="left" w:pos="993"/>
                        </w:tabs>
                        <w:suppressAutoHyphens/>
                        <w:spacing w:line="276" w:lineRule="auto"/>
                        <w:ind w:firstLine="720"/>
                        <w:jc w:val="both"/>
                      </w:pPr>
                      <w:r>
                        <w:rPr>
                          <w:color w:val="000000"/>
                          <w:szCs w:val="24"/>
                        </w:rPr>
                        <w:t xml:space="preserve">Pripažinti netekusiu galios </w:t>
                      </w:r>
                      <w:r>
                        <w:rPr>
                          <w:color w:val="000000"/>
                          <w:szCs w:val="24"/>
                          <w:lang w:val="lt"/>
                        </w:rPr>
                        <w:t>110</w:t>
                      </w:r>
                      <w:r>
                        <w:rPr>
                          <w:color w:val="000000"/>
                          <w:szCs w:val="24"/>
                          <w:vertAlign w:val="superscript"/>
                          <w:lang w:val="lt"/>
                        </w:rPr>
                        <w:t xml:space="preserve">2 </w:t>
                      </w:r>
                      <w:r>
                        <w:rPr>
                          <w:color w:val="000000"/>
                          <w:szCs w:val="24"/>
                        </w:rPr>
                        <w:t>straipsnį.</w:t>
                      </w:r>
                    </w:p>
                    <w:p>
                      <w:pPr>
                        <w:widowControl w:val="0"/>
                        <w:tabs>
                          <w:tab w:val="left" w:pos="993"/>
                        </w:tabs>
                        <w:suppressAutoHyphens/>
                        <w:spacing w:line="276" w:lineRule="auto"/>
                        <w:ind w:firstLine="720"/>
                        <w:jc w:val="both"/>
                        <w:rPr>
                          <w:b/>
                          <w:bCs/>
                          <w:color w:val="000000"/>
                          <w:szCs w:val="24"/>
                        </w:rPr>
                      </w:pPr>
                    </w:p>
                  </w:sdtContent>
                </w:sdt>
              </w:sdtContent>
            </w:sdt>
            <w:sdt>
              <w:sdtPr>
                <w:alias w:val="11 str."/>
                <w:tag w:val="part_005c537876d1400bb0b655dbd189f3de"/>
                <w:lock w:val="sdtLocked"/>
                <w:richText/>
              </w:sdtPr>
              <w:sdtContent>
                <w:p>
                  <w:pPr>
                    <w:widowControl w:val="0"/>
                    <w:suppressAutoHyphens/>
                    <w:spacing w:line="276" w:lineRule="auto"/>
                    <w:ind w:firstLine="720"/>
                    <w:jc w:val="both"/>
                  </w:pPr>
                  <w:sdt>
                    <w:sdtPr>
                      <w:alias w:val="Numeris"/>
                      <w:tag w:val="nr_005c537876d1400bb0b655dbd189f3de"/>
                      <w:lock w:val="sdtLocked"/>
                      <w:richText/>
                    </w:sdtPr>
                    <w:sdtContent>
                      <w:r>
                        <w:rPr>
                          <w:b/>
                          <w:bCs/>
                          <w:color w:val="000000"/>
                          <w:szCs w:val="24"/>
                        </w:rPr>
                        <w:t>11</w:t>
                      </w:r>
                    </w:sdtContent>
                  </w:sdt>
                  <w:r>
                    <w:rPr>
                      <w:b/>
                      <w:bCs/>
                      <w:color w:val="000000"/>
                      <w:szCs w:val="24"/>
                    </w:rPr>
                    <w:t xml:space="preserve"> straipsnis. </w:t>
                  </w:r>
                  <w:sdt>
                    <w:sdtPr>
                      <w:alias w:val="Pavadinimas"/>
                      <w:tag w:val="title_005c537876d1400bb0b655dbd189f3de"/>
                      <w:lock w:val="sdtLocked"/>
                      <w:richText/>
                    </w:sdtPr>
                    <w:sdtContent>
                      <w:r>
                        <w:rPr>
                          <w:b/>
                          <w:bCs/>
                          <w:color w:val="000000"/>
                          <w:szCs w:val="24"/>
                        </w:rPr>
                        <w:t>Įstatymo papildymas 110</w:t>
                      </w:r>
                      <w:r>
                        <w:rPr>
                          <w:b/>
                          <w:bCs/>
                          <w:color w:val="000000"/>
                          <w:szCs w:val="24"/>
                          <w:vertAlign w:val="superscript"/>
                        </w:rPr>
                        <w:t>3</w:t>
                      </w:r>
                      <w:r>
                        <w:rPr>
                          <w:b/>
                          <w:bCs/>
                          <w:color w:val="000000"/>
                          <w:szCs w:val="24"/>
                        </w:rPr>
                        <w:t xml:space="preserve"> straipsniu</w:t>
                      </w:r>
                    </w:sdtContent>
                  </w:sdt>
                </w:p>
                <w:sdt>
                  <w:sdtPr>
                    <w:alias w:val="11 str. 1 d."/>
                    <w:tag w:val="part_402abc03f1324c719c3710a7ad55bb66"/>
                    <w:lock w:val="sdtLocked"/>
                    <w:richText/>
                  </w:sdtPr>
                  <w:sdtContent>
                    <w:p>
                      <w:pPr>
                        <w:widowControl w:val="0"/>
                        <w:suppressAutoHyphens/>
                        <w:spacing w:line="276" w:lineRule="auto"/>
                        <w:ind w:firstLine="720"/>
                        <w:jc w:val="both"/>
                        <w:rPr>
                          <w:szCs w:val="24"/>
                          <w:lang w:eastAsia="lt-LT"/>
                        </w:rPr>
                      </w:pPr>
                      <w:r>
                        <w:rPr>
                          <w:color w:val="000000"/>
                          <w:szCs w:val="24"/>
                          <w:lang w:eastAsia="lt-LT"/>
                        </w:rPr>
                        <w:t xml:space="preserve">Papildyti įstatymą </w:t>
                      </w:r>
                      <w:r>
                        <w:rPr>
                          <w:color w:val="000000"/>
                          <w:szCs w:val="24"/>
                          <w:lang w:val="lt" w:eastAsia="lt-LT"/>
                        </w:rPr>
                        <w:t>110</w:t>
                      </w:r>
                      <w:r>
                        <w:rPr>
                          <w:color w:val="000000"/>
                          <w:szCs w:val="24"/>
                          <w:vertAlign w:val="superscript"/>
                          <w:lang w:val="lt" w:eastAsia="lt-LT"/>
                        </w:rPr>
                        <w:t xml:space="preserve">3 </w:t>
                      </w:r>
                      <w:r>
                        <w:rPr>
                          <w:color w:val="000000"/>
                          <w:szCs w:val="24"/>
                          <w:lang w:eastAsia="lt-LT"/>
                        </w:rPr>
                        <w:t>straipsniu:</w:t>
                      </w:r>
                    </w:p>
                    <w:sdt>
                      <w:sdtPr>
                        <w:alias w:val="citata"/>
                        <w:tag w:val="part_fb55864a79f44b4698f69da5e7dae9c2"/>
                        <w:lock w:val="sdtLocked"/>
                        <w:richText/>
                      </w:sdtPr>
                      <w:sdtContent>
                        <w:sdt>
                          <w:sdtPr>
                            <w:alias w:val="110-3 str."/>
                            <w:tag w:val="part_34994c527ed2468ab5e41ca8deb08fcb"/>
                            <w:lock w:val="sdtLocked"/>
                            <w:richText/>
                          </w:sdtPr>
                          <w:sdtContent>
                            <w:p>
                              <w:pPr>
                                <w:widowControl w:val="0"/>
                                <w:suppressAutoHyphens/>
                                <w:spacing w:line="276" w:lineRule="auto"/>
                                <w:ind w:firstLine="720"/>
                                <w:jc w:val="both"/>
                                <w:rPr>
                                  <w:szCs w:val="24"/>
                                  <w:lang w:eastAsia="lt-LT"/>
                                </w:rPr>
                              </w:pPr>
                              <w:r>
                                <w:rPr>
                                  <w:szCs w:val="24"/>
                                  <w:lang w:eastAsia="lt-LT"/>
                                </w:rPr>
                                <w:t>„</w:t>
                              </w:r>
                              <w:sdt>
                                <w:sdtPr>
                                  <w:alias w:val="Numeris"/>
                                  <w:tag w:val="nr_34994c527ed2468ab5e41ca8deb08fcb"/>
                                  <w:lock w:val="sdtLocked"/>
                                  <w:richText/>
                                </w:sdtPr>
                                <w:sdtContent>
                                  <w:r>
                                    <w:rPr>
                                      <w:b/>
                                      <w:color w:val="000000"/>
                                      <w:szCs w:val="24"/>
                                      <w:lang w:val="lt" w:eastAsia="lt-LT"/>
                                    </w:rPr>
                                    <w:t>110</w:t>
                                  </w:r>
                                  <w:r>
                                    <w:rPr>
                                      <w:b/>
                                      <w:bCs/>
                                      <w:color w:val="000000"/>
                                      <w:szCs w:val="24"/>
                                      <w:vertAlign w:val="superscript"/>
                                      <w:lang w:val="lt" w:eastAsia="lt-LT"/>
                                    </w:rPr>
                                    <w:t>3</w:t>
                                  </w:r>
                                </w:sdtContent>
                              </w:sdt>
                              <w:r>
                                <w:rPr>
                                  <w:b/>
                                  <w:color w:val="000000"/>
                                  <w:szCs w:val="24"/>
                                  <w:vertAlign w:val="superscript"/>
                                  <w:lang w:val="lt" w:eastAsia="lt-LT"/>
                                </w:rPr>
                                <w:t xml:space="preserve"> </w:t>
                              </w:r>
                              <w:r>
                                <w:rPr>
                                  <w:b/>
                                  <w:bCs/>
                                  <w:color w:val="000000"/>
                                  <w:szCs w:val="24"/>
                                  <w:lang w:eastAsia="lt-LT"/>
                                </w:rPr>
                                <w:t xml:space="preserve">straipsnis. </w:t>
                              </w:r>
                              <w:sdt>
                                <w:sdtPr>
                                  <w:alias w:val="Pavadinimas"/>
                                  <w:tag w:val="title_34994c527ed2468ab5e41ca8deb08fcb"/>
                                  <w:lock w:val="sdtLocked"/>
                                  <w:richText/>
                                </w:sdtPr>
                                <w:sdtContent>
                                  <w:r>
                                    <w:rPr>
                                      <w:b/>
                                      <w:bCs/>
                                      <w:color w:val="000000"/>
                                      <w:szCs w:val="24"/>
                                      <w:lang w:eastAsia="lt-LT"/>
                                    </w:rPr>
                                    <w:t xml:space="preserve">Juridinių asmenų atsakomybė už Reglamente </w:t>
                                  </w:r>
                                  <w:fldSimple w:instr="HYPERLINK http://eur-lex.europa.eu/legal-content/LIT/TXT/?uri=CELEX:32023R0956&amp;locale=lt \t _blank">
                                    <w:r>
                                      <w:rPr>
                                        <w:b/>
                                        <w:bCs/>
                                        <w:color w:val="0000FF" w:themeColor="hyperlink"/>
                                        <w:szCs w:val="24"/>
                                        <w:lang w:eastAsia="lt-LT"/>
                                        <w:u w:val="single"/>
                                      </w:rPr>
                                      <w:t>(ES) 2023/956</w:t>
                                    </w:r>
                                  </w:fldSimple>
                                  <w:r>
                                    <w:rPr>
                                      <w:b/>
                                      <w:bCs/>
                                      <w:color w:val="000000"/>
                                      <w:szCs w:val="24"/>
                                      <w:lang w:eastAsia="lt-LT"/>
                                    </w:rPr>
                                    <w:t xml:space="preserve"> nustatytų pasienio anglies dioksido korekcinio mechanizmo reikalavimų pažeidimą </w:t>
                                  </w:r>
                                </w:sdtContent>
                              </w:sdt>
                            </w:p>
                            <w:sdt>
                              <w:sdtPr>
                                <w:alias w:val="110-3 str. 1 d."/>
                                <w:tag w:val="part_0cb0fba613d14583ad0eb588ee0ec488"/>
                                <w:lock w:val="sdtLocked"/>
                                <w:richText/>
                              </w:sdtPr>
                              <w:sdtContent>
                                <w:p>
                                  <w:pPr>
                                    <w:widowControl w:val="0"/>
                                    <w:tabs>
                                      <w:tab w:val="left" w:pos="993"/>
                                    </w:tabs>
                                    <w:suppressAutoHyphens/>
                                    <w:spacing w:line="276" w:lineRule="auto"/>
                                    <w:ind w:firstLine="720"/>
                                    <w:jc w:val="both"/>
                                  </w:pPr>
                                  <w:r>
                                    <w:rPr>
                                      <w:color w:val="000000"/>
                                    </w:rPr>
                                    <w:t xml:space="preserve">Reglamento </w:t>
                                  </w:r>
                                  <w:fldSimple w:instr="HYPERLINK http://eur-lex.europa.eu/legal-content/LIT/TXT/?uri=CELEX:32023R0956&amp;locale=lt \t _blank">
                                    <w:r>
                                      <w:rPr>
                                        <w:color w:val="0000FF" w:themeColor="hyperlink"/>
                                        <w:u w:val="single"/>
                                      </w:rPr>
                                      <w:t>(ES) 2023/956</w:t>
                                    </w:r>
                                  </w:fldSimple>
                                  <w:r>
                                    <w:rPr>
                                      <w:color w:val="000000"/>
                                    </w:rPr>
                                    <w:t xml:space="preserve"> 6 straipsnyje nustatytos pasienio anglies dioksido korekcinio mechanizmo (toliau – PADKM) PADKM deklaracijos nepateikimas laiku  užtraukia baudą nuo dešimties iki penkiasdešimties eurų už kiekvieną nepraneštą išmetamo šiltnamio efektą sukeliančių dujų (toliau – ŠESD) kiekio toną, lygią anglies dioksido tonos ekvivalentui (toliau – CO</w:t>
                                  </w:r>
                                  <w:r>
                                    <w:rPr>
                                      <w:color w:val="000000"/>
                                      <w:vertAlign w:val="subscript"/>
                                    </w:rPr>
                                    <w:t>2</w:t>
                                  </w:r>
                                  <w:r>
                                    <w:rPr>
                                      <w:color w:val="000000"/>
                                    </w:rPr>
                                    <w:t xml:space="preserve"> e.), arba  PADKM deklaracijos nepateikimas ilgiau kaip 6 mėnesius užtraukia baudą nuo penkiasdešimt iki devyniasdešimt eurų už kiekvieną nepraneštą išmetamo ŠESD kiekio toną CO</w:t>
                                  </w:r>
                                  <w:r>
                                    <w:rPr>
                                      <w:color w:val="000000"/>
                                      <w:vertAlign w:val="subscript"/>
                                    </w:rPr>
                                    <w:t>2</w:t>
                                  </w:r>
                                  <w:r>
                                    <w:rPr>
                                      <w:color w:val="000000"/>
                                    </w:rPr>
                                    <w:t> e.</w:t>
                                  </w:r>
                                </w:p>
                              </w:sdtContent>
                            </w:sdt>
                            <w:sdt>
                              <w:sdtPr>
                                <w:alias w:val="110-3 str. 2 d."/>
                                <w:tag w:val="part_4d7886f63b3540d3b5b430def9c7a1ab"/>
                                <w:lock w:val="sdtLocked"/>
                                <w:richText/>
                              </w:sdtPr>
                              <w:sdtContent>
                                <w:p>
                                  <w:pPr>
                                    <w:widowControl w:val="0"/>
                                    <w:tabs>
                                      <w:tab w:val="left" w:pos="993"/>
                                    </w:tabs>
                                    <w:suppressAutoHyphens/>
                                    <w:spacing w:line="276" w:lineRule="auto"/>
                                    <w:ind w:firstLine="720"/>
                                    <w:jc w:val="both"/>
                                  </w:pPr>
                                  <w:r>
                                    <w:rPr>
                                      <w:color w:val="000000"/>
                                    </w:rPr>
                                    <w:t xml:space="preserve">Pagal Reglamento </w:t>
                                  </w:r>
                                  <w:fldSimple w:instr="HYPERLINK http://eur-lex.europa.eu/legal-content/LIT/TXT/?uri=CELEX:32023R0956&amp;locale=lt \t _blank">
                                    <w:r>
                                      <w:rPr>
                                        <w:color w:val="0000FF" w:themeColor="hyperlink"/>
                                        <w:u w:val="single"/>
                                      </w:rPr>
                                      <w:t>(ES) 2023/956</w:t>
                                    </w:r>
                                  </w:fldSimple>
                                  <w:r>
                                    <w:rPr>
                                      <w:color w:val="000000"/>
                                    </w:rPr>
                                    <w:t xml:space="preserve"> 26 straipsnio 1 dalį įgaliotajam PADKM deklarantui  neatsisakius laiku PADKM sertifikatų, atitinkančių per praėjusius kalendorinius metus importuotoms prekėms būdingo išmesto ŠESD kiekio, užtraukia vieno šimto eurų baudą už kiekvieną neatsisakytą PADKM sertifikatą, baudą atitinkamai padidinant pagal Europos vartotojų kainų indeksą, kuris taikomas prekių importo metais.</w:t>
                                  </w:r>
                                </w:p>
                              </w:sdtContent>
                            </w:sdt>
                            <w:sdt>
                              <w:sdtPr>
                                <w:alias w:val="110-3 str. 3 d."/>
                                <w:tag w:val="part_779016fd6cbb437f85bc79dc77402a1e"/>
                                <w:lock w:val="sdtLocked"/>
                                <w:richText/>
                              </w:sdtPr>
                              <w:sdtContent>
                                <w:p>
                                  <w:pPr>
                                    <w:widowControl w:val="0"/>
                                    <w:tabs>
                                      <w:tab w:val="left" w:pos="993"/>
                                    </w:tabs>
                                    <w:suppressAutoHyphens/>
                                    <w:spacing w:line="276" w:lineRule="auto"/>
                                    <w:ind w:firstLine="720"/>
                                    <w:jc w:val="both"/>
                                  </w:pPr>
                                  <w:r>
                                    <w:rPr>
                                      <w:color w:val="000000"/>
                                      <w:szCs w:val="24"/>
                                    </w:rPr>
                                    <w:t>Prekių įvežimas į Europos Sąjungos muitų teritoriją asmens, kuris nėra įgaliotasis PADKM deklarantas, užtraukia baudą nuo trijų iki penkių kartų didesnę už šio straipsnio 2 dalyje nurodytą baudą, taikomą už kiekvieną neatsisakytą PADKM sertifikatą</w:t>
                                  </w:r>
                                  <w:r>
                                    <w:rPr>
                                      <w:szCs w:val="24"/>
                                    </w:rPr>
                                    <w:t xml:space="preserve">. </w:t>
                                  </w:r>
                                </w:p>
                              </w:sdtContent>
                            </w:sdt>
                            <w:sdt>
                              <w:sdtPr>
                                <w:alias w:val="110-3 str. 4 d."/>
                                <w:tag w:val="part_45b38cc56ee24a76b868bfb4f3e95211"/>
                                <w:lock w:val="sdtLocked"/>
                                <w:richText/>
                              </w:sdtPr>
                              <w:sdtContent>
                                <w:p>
                                  <w:pPr>
                                    <w:widowControl w:val="0"/>
                                    <w:tabs>
                                      <w:tab w:val="left" w:pos="993"/>
                                    </w:tabs>
                                    <w:suppressAutoHyphens/>
                                    <w:spacing w:line="276" w:lineRule="auto"/>
                                    <w:ind w:firstLine="720"/>
                                    <w:jc w:val="both"/>
                                  </w:pPr>
                                  <w:r>
                                    <w:rPr>
                                      <w:color w:val="333333"/>
                                      <w:szCs w:val="24"/>
                                    </w:rPr>
                                    <w:t>Baudos sumokėjimas neatleidžia įgaliotojo PADKM deklaranto nuo pareigos atsisakyti likusio skaičiaus PADKM sertifikatų atitinkamais metais.</w:t>
                                  </w:r>
                                  <w:r>
                                    <w:rPr>
                                      <w:szCs w:val="24"/>
                                    </w:rPr>
                                    <w:t>“</w:t>
                                  </w:r>
                                </w:p>
                                <w:p>
                                  <w:pPr>
                                    <w:widowControl w:val="0"/>
                                    <w:tabs>
                                      <w:tab w:val="left" w:pos="993"/>
                                    </w:tabs>
                                    <w:suppressAutoHyphens/>
                                    <w:spacing w:line="276" w:lineRule="auto"/>
                                    <w:ind w:firstLine="720"/>
                                    <w:jc w:val="both"/>
                                  </w:pPr>
                                </w:p>
                              </w:sdtContent>
                            </w:sdt>
                          </w:sdtContent>
                        </w:sdt>
                      </w:sdtContent>
                    </w:sdt>
                  </w:sdtContent>
                </w:sdt>
              </w:sdtContent>
            </w:sdt>
            <w:sdt>
              <w:sdtPr>
                <w:alias w:val="12 str."/>
                <w:tag w:val="part_2e204f6783da4483a9459f8806e7065e"/>
                <w:lock w:val="sdtLocked"/>
                <w:richText/>
              </w:sdtPr>
              <w:sdtContent>
                <w:p>
                  <w:pPr>
                    <w:widowControl w:val="0"/>
                    <w:tabs>
                      <w:tab w:val="left" w:pos="993"/>
                    </w:tabs>
                    <w:suppressAutoHyphens/>
                    <w:spacing w:line="276" w:lineRule="auto"/>
                    <w:ind w:firstLine="720"/>
                    <w:jc w:val="both"/>
                    <w:rPr>
                      <w:b/>
                      <w:bCs/>
                      <w:color w:val="000000"/>
                      <w:szCs w:val="24"/>
                    </w:rPr>
                  </w:pPr>
                  <w:sdt>
                    <w:sdtPr>
                      <w:alias w:val="Numeris"/>
                      <w:tag w:val="nr_2e204f6783da4483a9459f8806e7065e"/>
                      <w:lock w:val="sdtLocked"/>
                      <w:richText/>
                    </w:sdtPr>
                    <w:sdtContent>
                      <w:r>
                        <w:rPr>
                          <w:b/>
                          <w:bCs/>
                          <w:color w:val="000000"/>
                          <w:szCs w:val="24"/>
                        </w:rPr>
                        <w:t>12</w:t>
                      </w:r>
                    </w:sdtContent>
                  </w:sdt>
                  <w:r>
                    <w:rPr>
                      <w:b/>
                      <w:bCs/>
                      <w:color w:val="000000"/>
                      <w:szCs w:val="24"/>
                    </w:rPr>
                    <w:t xml:space="preserve"> straipsnis. </w:t>
                  </w:r>
                  <w:sdt>
                    <w:sdtPr>
                      <w:alias w:val="Pavadinimas"/>
                      <w:tag w:val="title_2e204f6783da4483a9459f8806e7065e"/>
                      <w:lock w:val="sdtLocked"/>
                      <w:richText/>
                    </w:sdtPr>
                    <w:sdtContent>
                      <w:r>
                        <w:rPr>
                          <w:b/>
                          <w:bCs/>
                          <w:color w:val="000000"/>
                          <w:szCs w:val="24"/>
                        </w:rPr>
                        <w:t>Įstatymo papildymas </w:t>
                      </w:r>
                      <w:r>
                        <w:rPr>
                          <w:b/>
                          <w:bCs/>
                          <w:color w:val="000000"/>
                          <w:szCs w:val="24"/>
                          <w:lang w:val="lt"/>
                        </w:rPr>
                        <w:t>110</w:t>
                      </w:r>
                      <w:r>
                        <w:rPr>
                          <w:b/>
                          <w:bCs/>
                          <w:color w:val="000000"/>
                          <w:szCs w:val="24"/>
                          <w:vertAlign w:val="superscript"/>
                          <w:lang w:val="lt"/>
                        </w:rPr>
                        <w:t xml:space="preserve">4 </w:t>
                      </w:r>
                      <w:r>
                        <w:rPr>
                          <w:b/>
                          <w:bCs/>
                          <w:color w:val="000000"/>
                          <w:szCs w:val="24"/>
                        </w:rPr>
                        <w:t>straipsniu</w:t>
                      </w:r>
                    </w:sdtContent>
                  </w:sdt>
                </w:p>
                <w:sdt>
                  <w:sdtPr>
                    <w:alias w:val="12 str. 1 d."/>
                    <w:tag w:val="part_c73d5778067346bba7a8264c6847a2bb"/>
                    <w:lock w:val="sdtLocked"/>
                    <w:richText/>
                  </w:sdtPr>
                  <w:sdtContent>
                    <w:p>
                      <w:pPr>
                        <w:widowControl w:val="0"/>
                        <w:tabs>
                          <w:tab w:val="left" w:pos="993"/>
                        </w:tabs>
                        <w:suppressAutoHyphens/>
                        <w:spacing w:line="276" w:lineRule="auto"/>
                        <w:ind w:firstLine="720"/>
                        <w:jc w:val="both"/>
                      </w:pPr>
                      <w:r>
                        <w:rPr>
                          <w:color w:val="000000"/>
                        </w:rPr>
                        <w:t xml:space="preserve">Papildyti Įstatymą </w:t>
                      </w:r>
                      <w:r>
                        <w:rPr>
                          <w:bCs/>
                          <w:color w:val="000000"/>
                          <w:lang w:val="lt"/>
                        </w:rPr>
                        <w:t>110</w:t>
                      </w:r>
                      <w:r>
                        <w:rPr>
                          <w:bCs/>
                          <w:color w:val="000000"/>
                          <w:vertAlign w:val="superscript"/>
                          <w:lang w:val="lt"/>
                        </w:rPr>
                        <w:t>4</w:t>
                      </w:r>
                      <w:r>
                        <w:rPr>
                          <w:b/>
                          <w:color w:val="000000"/>
                          <w:vertAlign w:val="superscript"/>
                          <w:lang w:val="lt"/>
                        </w:rPr>
                        <w:t xml:space="preserve"> </w:t>
                      </w:r>
                      <w:r>
                        <w:rPr>
                          <w:color w:val="000000"/>
                        </w:rPr>
                        <w:t>straipsniu:</w:t>
                      </w:r>
                    </w:p>
                    <w:sdt>
                      <w:sdtPr>
                        <w:alias w:val="citata"/>
                        <w:tag w:val="part_92e6e70a1de9427a83c36205aa7d6944"/>
                        <w:lock w:val="sdtLocked"/>
                        <w:richText/>
                      </w:sdtPr>
                      <w:sdtContent>
                        <w:sdt>
                          <w:sdtPr>
                            <w:alias w:val="110-4 str."/>
                            <w:tag w:val="part_6ce436abb98e4ffdaa6624f11f577d09"/>
                            <w:lock w:val="sdtLocked"/>
                            <w:richText/>
                          </w:sdtPr>
                          <w:sdtContent>
                            <w:p>
                              <w:pPr>
                                <w:widowControl w:val="0"/>
                                <w:tabs>
                                  <w:tab w:val="left" w:pos="993"/>
                                </w:tabs>
                                <w:suppressAutoHyphens/>
                                <w:spacing w:line="276" w:lineRule="auto"/>
                                <w:ind w:firstLine="720"/>
                                <w:jc w:val="both"/>
                                <w:rPr>
                                  <w:szCs w:val="24"/>
                                  <w:lang w:eastAsia="lt-LT"/>
                                </w:rPr>
                              </w:pPr>
                              <w:r>
                                <w:rPr>
                                  <w:szCs w:val="24"/>
                                  <w:lang w:eastAsia="lt-LT"/>
                                </w:rPr>
                                <w:t>„</w:t>
                              </w:r>
                              <w:sdt>
                                <w:sdtPr>
                                  <w:alias w:val="Numeris"/>
                                  <w:tag w:val="nr_6ce436abb98e4ffdaa6624f11f577d09"/>
                                  <w:lock w:val="sdtLocked"/>
                                  <w:richText/>
                                </w:sdtPr>
                                <w:sdtContent>
                                  <w:r>
                                    <w:rPr>
                                      <w:b/>
                                      <w:color w:val="000000"/>
                                      <w:szCs w:val="24"/>
                                      <w:lang w:val="lt" w:eastAsia="lt-LT"/>
                                    </w:rPr>
                                    <w:t>110</w:t>
                                  </w:r>
                                  <w:r>
                                    <w:rPr>
                                      <w:b/>
                                      <w:bCs/>
                                      <w:color w:val="000000"/>
                                      <w:szCs w:val="24"/>
                                      <w:vertAlign w:val="superscript"/>
                                      <w:lang w:val="lt" w:eastAsia="lt-LT"/>
                                    </w:rPr>
                                    <w:t>4</w:t>
                                  </w:r>
                                </w:sdtContent>
                              </w:sdt>
                              <w:r>
                                <w:rPr>
                                  <w:b/>
                                  <w:bCs/>
                                  <w:color w:val="000000"/>
                                  <w:szCs w:val="24"/>
                                  <w:lang w:eastAsia="lt-LT"/>
                                </w:rPr>
                                <w:t xml:space="preserve"> straipsnis. </w:t>
                              </w:r>
                              <w:sdt>
                                <w:sdtPr>
                                  <w:alias w:val="Pavadinimas"/>
                                  <w:tag w:val="title_6ce436abb98e4ffdaa6624f11f577d09"/>
                                  <w:lock w:val="sdtLocked"/>
                                  <w:richText/>
                                </w:sdtPr>
                                <w:sdtContent>
                                  <w:r>
                                    <w:rPr>
                                      <w:b/>
                                      <w:bCs/>
                                      <w:color w:val="000000"/>
                                      <w:szCs w:val="24"/>
                                      <w:lang w:eastAsia="lt-LT"/>
                                    </w:rPr>
                                    <w:t xml:space="preserve">Juridinių asmenų atsakomybė už Reglamente </w:t>
                                  </w:r>
                                  <w:fldSimple w:instr="HYPERLINK http://eur-lex.europa.eu/legal-content/LIT/TXT/?uri=CELEX:32023R1805&amp;locale=lt \t _blank">
                                    <w:r>
                                      <w:rPr>
                                        <w:b/>
                                        <w:bCs/>
                                        <w:color w:val="0000FF" w:themeColor="hyperlink"/>
                                        <w:szCs w:val="24"/>
                                        <w:lang w:eastAsia="lt-LT"/>
                                        <w:u w:val="single"/>
                                      </w:rPr>
                                      <w:t>(ES) 2023/1805</w:t>
                                    </w:r>
                                  </w:fldSimple>
                                  <w:r>
                                    <w:rPr>
                                      <w:b/>
                                      <w:bCs/>
                                      <w:color w:val="000000"/>
                                      <w:szCs w:val="24"/>
                                      <w:lang w:eastAsia="lt-LT"/>
                                    </w:rPr>
                                    <w:t xml:space="preserve"> nustatytų laive sunaudojamai energijai tenkančios taršos šiltnamio efektą sukeliančiomis dujomis intensyvumo reikalavimų pažeidimą</w:t>
                                  </w:r>
                                </w:sdtContent>
                              </w:sdt>
                            </w:p>
                            <w:sdt>
                              <w:sdtPr>
                                <w:alias w:val="110-4 str. 1 d."/>
                                <w:tag w:val="part_dcdd14d0bd8d49f6833eddb9036d893a"/>
                                <w:lock w:val="sdtLocked"/>
                                <w:richText/>
                              </w:sdtPr>
                              <w:sdtContent>
                                <w:p>
                                  <w:pPr>
                                    <w:widowControl w:val="0"/>
                                    <w:tabs>
                                      <w:tab w:val="left" w:pos="993"/>
                                    </w:tabs>
                                    <w:suppressAutoHyphens/>
                                    <w:spacing w:line="276" w:lineRule="auto"/>
                                    <w:ind w:firstLine="720"/>
                                    <w:jc w:val="both"/>
                                    <w:rPr>
                                      <w:color w:val="000000"/>
                                      <w:szCs w:val="24"/>
                                    </w:rPr>
                                  </w:pPr>
                                  <w:r>
                                    <w:rPr>
                                      <w:color w:val="000000"/>
                                      <w:szCs w:val="24"/>
                                    </w:rPr>
                                    <w:t xml:space="preserve">Reglamento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24 straipsnyje nustatyto reikalavimo laivybos bendrovei priklausančiame laive turėti galiojantį „FuelEU“ atitikties patvirtinimo dokumentą nevykdymas užtraukia baudą nuo trijų šimtų iki penkių šimtų šešiasdešimt eurų.</w:t>
                                  </w:r>
                                </w:p>
                              </w:sdtContent>
                            </w:sdt>
                            <w:sdt>
                              <w:sdtPr>
                                <w:alias w:val="110-4 str. 2 d."/>
                                <w:tag w:val="part_96698cfc9d894b0f90b376ae28881ce2"/>
                                <w:lock w:val="sdtLocked"/>
                                <w:richText/>
                              </w:sdtPr>
                              <w:sdtContent>
                                <w:p>
                                  <w:pPr>
                                    <w:widowControl w:val="0"/>
                                    <w:tabs>
                                      <w:tab w:val="left" w:pos="993"/>
                                    </w:tabs>
                                    <w:suppressAutoHyphens/>
                                    <w:spacing w:line="276" w:lineRule="auto"/>
                                    <w:ind w:firstLine="782"/>
                                    <w:jc w:val="both"/>
                                    <w:rPr>
                                      <w:color w:val="000000"/>
                                      <w:szCs w:val="24"/>
                                    </w:rPr>
                                  </w:pPr>
                                  <w:r>
                                    <w:rPr>
                                      <w:color w:val="000000"/>
                                      <w:szCs w:val="24"/>
                                    </w:rPr>
                                    <w:t xml:space="preserve">Reglamento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4 straipsnio 1 dalyje nustatyto reikalavimo laivybos bendrovei priklausančiame laive ataskaitiniu laikotarpiu neviršyti laive sunaudojamai energijai tenkančios šiltnamio efektą sukeliančių dujų taršos vidutinės metinės ribos, nustatytos Reglamento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4 straipsnio 2 dalyje, nevykdymas užtraukia baudą, kuri apskaičiuojama pagal Reglamento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23 straipsnio 2 dalyje nustatytą tvarką.</w:t>
                                  </w:r>
                                </w:p>
                              </w:sdtContent>
                            </w:sdt>
                            <w:sdt>
                              <w:sdtPr>
                                <w:alias w:val="110-4 str. 3 d."/>
                                <w:tag w:val="part_72d3fa051cb04524ac2e7983771d0791"/>
                                <w:lock w:val="sdtLocked"/>
                                <w:richText/>
                              </w:sdtPr>
                              <w:sdtContent>
                                <w:p>
                                  <w:pPr>
                                    <w:widowControl w:val="0"/>
                                    <w:tabs>
                                      <w:tab w:val="left" w:pos="993"/>
                                    </w:tabs>
                                    <w:suppressAutoHyphens/>
                                    <w:spacing w:line="276" w:lineRule="auto"/>
                                    <w:ind w:firstLine="720"/>
                                    <w:jc w:val="both"/>
                                  </w:pPr>
                                  <w:sdt>
                                    <w:sdtPr>
                                      <w:alias w:val="Numeris"/>
                                      <w:tag w:val="nr_72d3fa051cb04524ac2e7983771d0791"/>
                                      <w:lock w:val="sdtLocked"/>
                                      <w:richText/>
                                    </w:sdtPr>
                                    <w:sdtContent>
                                      <w:r>
                                        <w:rPr>
                                          <w:color w:val="000000"/>
                                          <w:szCs w:val="24"/>
                                        </w:rPr>
                                        <w:t>3</w:t>
                                      </w:r>
                                    </w:sdtContent>
                                  </w:sdt>
                                  <w:r>
                                    <w:rPr>
                                      <w:color w:val="000000"/>
                                      <w:szCs w:val="24"/>
                                    </w:rPr>
                                    <w:t xml:space="preserve">. Reglamento </w:t>
                                  </w:r>
                                  <w:fldSimple w:instr="HYPERLINK http://eur-lex.europa.eu/legal-content/LIT/TXT/?uri=CELEX:32023R1805&amp;locale=lt \t _blank">
                                    <w:r>
                                      <w:rPr>
                                        <w:color w:val="0000FF" w:themeColor="hyperlink"/>
                                        <w:szCs w:val="24"/>
                                        <w:u w:val="single"/>
                                      </w:rPr>
                                      <w:t>(ES) 2023/1805</w:t>
                                    </w:r>
                                  </w:fldSimple>
                                  <w:r>
                                    <w:rPr>
                                      <w:color w:val="000000"/>
                                      <w:szCs w:val="24"/>
                                    </w:rPr>
                                    <w:t xml:space="preserve"> 23 straipsnio 2 ir 3 dalyse nustatyto reikalavimo laivybos bendrovei sumokėti „FuelEU“ baudą nevykdymas užtraukia baudą nuo vieno tūkstančio iki trijų tūkstančių eurų.</w:t>
                                  </w:r>
                                  <w:r>
                                    <w:rPr>
                                      <w:szCs w:val="24"/>
                                    </w:rPr>
                                    <w:t>“</w:t>
                                  </w:r>
                                </w:p>
                                <w:p>
                                  <w:pPr>
                                    <w:rPr>
                                      <w:sz w:val="20"/>
                                    </w:rPr>
                                  </w:pPr>
                                </w:p>
                              </w:sdtContent>
                            </w:sdt>
                          </w:sdtContent>
                        </w:sdt>
                      </w:sdtContent>
                    </w:sdt>
                  </w:sdtContent>
                </w:sdt>
              </w:sdtContent>
            </w:sdt>
            <w:sdt>
              <w:sdtPr>
                <w:alias w:val="13 str."/>
                <w:tag w:val="part_afdef608cdc0411dbed603c169ba1326"/>
                <w:lock w:val="sdtLocked"/>
                <w:richText/>
              </w:sdtPr>
              <w:sdtContent>
                <w:p>
                  <w:pPr>
                    <w:shd w:val="clear" w:color="auto" w:fill="FFFFFF"/>
                    <w:tabs>
                      <w:tab w:val="left" w:pos="1276"/>
                    </w:tabs>
                    <w:suppressAutoHyphens/>
                    <w:spacing w:line="276" w:lineRule="auto"/>
                    <w:ind w:firstLine="720"/>
                    <w:jc w:val="both"/>
                  </w:pPr>
                  <w:sdt>
                    <w:sdtPr>
                      <w:alias w:val="Numeris"/>
                      <w:tag w:val="nr_afdef608cdc0411dbed603c169ba1326"/>
                      <w:lock w:val="sdtLocked"/>
                      <w:richText/>
                    </w:sdtPr>
                    <w:sdtContent>
                      <w:r>
                        <w:rPr>
                          <w:b/>
                          <w:bCs/>
                          <w:szCs w:val="24"/>
                          <w:lang w:eastAsia="en-GB"/>
                        </w:rPr>
                        <w:t>13</w:t>
                      </w:r>
                    </w:sdtContent>
                  </w:sdt>
                  <w:r>
                    <w:rPr>
                      <w:b/>
                      <w:bCs/>
                      <w:szCs w:val="24"/>
                      <w:lang w:eastAsia="en-GB"/>
                    </w:rPr>
                    <w:t xml:space="preserve"> straipsnis. </w:t>
                  </w:r>
                  <w:sdt>
                    <w:sdtPr>
                      <w:alias w:val="Pavadinimas"/>
                      <w:tag w:val="title_afdef608cdc0411dbed603c169ba1326"/>
                      <w:lock w:val="sdtLocked"/>
                      <w:richText/>
                    </w:sdtPr>
                    <w:sdtContent>
                      <w:r>
                        <w:rPr>
                          <w:b/>
                          <w:bCs/>
                          <w:szCs w:val="24"/>
                          <w:lang w:eastAsia="en-GB"/>
                        </w:rPr>
                        <w:t>Įstatymo papildymas 118</w:t>
                      </w:r>
                      <w:r>
                        <w:rPr>
                          <w:b/>
                          <w:bCs/>
                          <w:szCs w:val="24"/>
                          <w:vertAlign w:val="superscript"/>
                          <w:lang w:eastAsia="en-GB"/>
                        </w:rPr>
                        <w:t>2</w:t>
                      </w:r>
                      <w:r>
                        <w:rPr>
                          <w:b/>
                          <w:bCs/>
                          <w:szCs w:val="24"/>
                          <w:lang w:eastAsia="en-GB"/>
                        </w:rPr>
                        <w:t xml:space="preserve"> straipsniu</w:t>
                      </w:r>
                    </w:sdtContent>
                  </w:sdt>
                </w:p>
                <w:sdt>
                  <w:sdtPr>
                    <w:alias w:val="13 str. 1 d."/>
                    <w:tag w:val="part_86cd5a2a99ff4771b9237fcf838c0fdc"/>
                    <w:lock w:val="sdtLocked"/>
                    <w:richText/>
                  </w:sdtPr>
                  <w:sdtContent>
                    <w:p>
                      <w:pPr>
                        <w:shd w:val="clear" w:color="auto" w:fill="FFFFFF"/>
                        <w:suppressAutoHyphens/>
                        <w:spacing w:line="276" w:lineRule="auto"/>
                        <w:ind w:firstLine="720"/>
                        <w:jc w:val="both"/>
                        <w:textAlignment w:val="baseline"/>
                      </w:pPr>
                      <w:r>
                        <w:rPr>
                          <w:color w:val="000000"/>
                          <w:szCs w:val="24"/>
                        </w:rPr>
                        <w:t xml:space="preserve">Papildyti Įstatymą </w:t>
                      </w:r>
                      <w:r>
                        <w:rPr>
                          <w:szCs w:val="24"/>
                          <w:lang w:eastAsia="en-GB"/>
                        </w:rPr>
                        <w:t>118</w:t>
                      </w:r>
                      <w:r>
                        <w:rPr>
                          <w:szCs w:val="24"/>
                          <w:vertAlign w:val="superscript"/>
                          <w:lang w:eastAsia="en-GB"/>
                        </w:rPr>
                        <w:t>2</w:t>
                      </w:r>
                      <w:r>
                        <w:rPr>
                          <w:szCs w:val="24"/>
                          <w:lang w:eastAsia="en-GB"/>
                        </w:rPr>
                        <w:t xml:space="preserve"> </w:t>
                      </w:r>
                      <w:r>
                        <w:rPr>
                          <w:color w:val="000000"/>
                          <w:szCs w:val="24"/>
                        </w:rPr>
                        <w:t>straipsniu:</w:t>
                      </w:r>
                    </w:p>
                    <w:sdt>
                      <w:sdtPr>
                        <w:alias w:val="citata"/>
                        <w:tag w:val="part_491030275b8d42b2a74a4196dd49d367"/>
                        <w:lock w:val="sdtLocked"/>
                        <w:richText/>
                      </w:sdtPr>
                      <w:sdtContent>
                        <w:sdt>
                          <w:sdtPr>
                            <w:alias w:val="118-2 str."/>
                            <w:tag w:val="part_09abe95c74b34ae3bc2c6ab2de0445ac"/>
                            <w:lock w:val="sdtLocked"/>
                            <w:richText/>
                          </w:sdtPr>
                          <w:sdtContent>
                            <w:p>
                              <w:pPr>
                                <w:shd w:val="clear" w:color="auto" w:fill="FFFFFF"/>
                                <w:suppressAutoHyphens/>
                                <w:spacing w:line="276" w:lineRule="auto"/>
                                <w:ind w:firstLine="720"/>
                                <w:jc w:val="both"/>
                                <w:textAlignment w:val="baseline"/>
                              </w:pPr>
                              <w:r>
                                <w:t>„</w:t>
                              </w:r>
                              <w:sdt>
                                <w:sdtPr>
                                  <w:alias w:val="Numeris"/>
                                  <w:tag w:val="nr_09abe95c74b34ae3bc2c6ab2de0445ac"/>
                                  <w:lock w:val="sdtLocked"/>
                                  <w:richText/>
                                </w:sdtPr>
                                <w:sdtContent>
                                  <w:r>
                                    <w:rPr>
                                      <w:b/>
                                      <w:bCs/>
                                      <w:lang w:eastAsia="en-GB"/>
                                    </w:rPr>
                                    <w:t>118</w:t>
                                  </w:r>
                                  <w:r>
                                    <w:rPr>
                                      <w:b/>
                                      <w:bCs/>
                                      <w:vertAlign w:val="superscript"/>
                                      <w:lang w:eastAsia="en-GB"/>
                                    </w:rPr>
                                    <w:t>2</w:t>
                                  </w:r>
                                </w:sdtContent>
                              </w:sdt>
                              <w:r>
                                <w:rPr>
                                  <w:b/>
                                  <w:bCs/>
                                  <w:vertAlign w:val="superscript"/>
                                  <w:lang w:eastAsia="en-GB"/>
                                </w:rPr>
                                <w:t xml:space="preserve"> </w:t>
                              </w:r>
                              <w:r>
                                <w:rPr>
                                  <w:b/>
                                  <w:bCs/>
                                </w:rPr>
                                <w:t xml:space="preserve">straipsnis. </w:t>
                              </w:r>
                              <w:sdt>
                                <w:sdtPr>
                                  <w:alias w:val="Pavadinimas"/>
                                  <w:tag w:val="title_09abe95c74b34ae3bc2c6ab2de0445ac"/>
                                  <w:lock w:val="sdtLocked"/>
                                  <w:richText/>
                                </w:sdtPr>
                                <w:sdtContent>
                                  <w:r>
                                    <w:rPr>
                                      <w:b/>
                                      <w:bCs/>
                                    </w:rPr>
                                    <w:t xml:space="preserve">Juridinių asmenų atsakomybė už Reglamente </w:t>
                                  </w:r>
                                  <w:fldSimple w:instr="HYPERLINK http://eur-lex.europa.eu/legal-content/LIT/TXT/?uri=CELEX:33115R2023&amp;locale=lt \t _blank">
                                    <w:r>
                                      <w:rPr>
                                        <w:b/>
                                        <w:bCs/>
                                        <w:u w:val="single"/>
                                        <w:color w:val="0000FF" w:themeColor="hyperlink"/>
                                      </w:rPr>
                                      <w:t>(ES) Nr. 2023/1115</w:t>
                                    </w:r>
                                  </w:fldSimple>
                                  <w:r>
                                    <w:rPr>
                                      <w:b/>
                                      <w:bCs/>
                                    </w:rPr>
                                    <w:t xml:space="preserve"> nustatytų reikalavimų, susijusių su informacijos saugojimu ir teikimu Vyriausybės įgaliotoms kompetentingoms institucijoms,  išsamaus patikrinimo sistemos netaikymu arba šios sistemos reikalavimų pažeidimu, Reglamento </w:t>
                                  </w:r>
                                  <w:fldSimple w:instr="HYPERLINK http://eur-lex.europa.eu/legal-content/LIT/TXT/?uri=CELEX:33115R2023&amp;locale=lt \t _blank">
                                    <w:r>
                                      <w:rPr>
                                        <w:b/>
                                        <w:bCs/>
                                        <w:u w:val="single"/>
                                        <w:color w:val="0000FF" w:themeColor="hyperlink"/>
                                      </w:rPr>
                                      <w:t>(ES) Nr. 2023/1115</w:t>
                                    </w:r>
                                  </w:fldSimple>
                                  <w:r>
                                    <w:rPr>
                                      <w:b/>
                                      <w:bCs/>
                                    </w:rPr>
                                    <w:t xml:space="preserve"> I priede nurodytų produktų pateikimu, tiekimu rinkai, eksportu, pažeidimą</w:t>
                                  </w:r>
                                </w:sdtContent>
                              </w:sdt>
                            </w:p>
                            <w:sdt>
                              <w:sdtPr>
                                <w:alias w:val="118-2 str. 1 d."/>
                                <w:tag w:val="part_4752298bbebc45e9a96e28ea661b340f"/>
                                <w:lock w:val="sdtLocked"/>
                                <w:richText/>
                              </w:sdtPr>
                              <w:sdtContent>
                                <w:p>
                                  <w:pPr>
                                    <w:shd w:val="clear" w:color="auto" w:fill="FFFFFF"/>
                                    <w:suppressAutoHyphens/>
                                    <w:spacing w:line="276" w:lineRule="auto"/>
                                    <w:ind w:firstLine="720"/>
                                    <w:jc w:val="both"/>
                                    <w:textAlignment w:val="baseline"/>
                                  </w:pPr>
                                  <w:r>
                                    <w:t xml:space="preserve">Reglamente </w:t>
                                  </w:r>
                                  <w:fldSimple w:instr="HYPERLINK http://eur-lex.europa.eu/legal-content/LIT/TXT/?uri=CELEX:33115R2023&amp;locale=lt \t _blank">
                                    <w:r>
                                      <w:rPr>
                                        <w:u w:val="single"/>
                                        <w:color w:val="0000FF" w:themeColor="hyperlink"/>
                                      </w:rPr>
                                      <w:t>(ES) Nr. 2023/1115</w:t>
                                    </w:r>
                                  </w:fldSimple>
                                  <w:r>
                                    <w:t xml:space="preserve"> nustatytų informacijos saugojimo ir teikimo Vyriausybės įgaliotoms kompetentingoms institucijoms reikalavimų pažeidimas po rašytinio įspėjimo užtraukia baudą nuo šešių šimtų iki vieno tūkstančio eurų. Rašytinis įspėjimas taikomas, jei dar įmanoma atlikti taisomuosius veiksmus.</w:t>
                                  </w:r>
                                </w:p>
                              </w:sdtContent>
                            </w:sdt>
                            <w:sdt>
                              <w:sdtPr>
                                <w:alias w:val="118-2 str. 2 d."/>
                                <w:tag w:val="part_5648ab93a82a4335a67e5322c948e32e"/>
                                <w:lock w:val="sdtLocked"/>
                                <w:richText/>
                              </w:sdtPr>
                              <w:sdtContent>
                                <w:p>
                                  <w:pPr>
                                    <w:shd w:val="clear" w:color="auto" w:fill="FFFFFF"/>
                                    <w:suppressAutoHyphens/>
                                    <w:spacing w:line="276" w:lineRule="auto"/>
                                    <w:ind w:firstLine="720"/>
                                    <w:jc w:val="both"/>
                                    <w:textAlignment w:val="baseline"/>
                                  </w:pPr>
                                  <w:r>
                                    <w:rPr>
                                      <w:szCs w:val="24"/>
                                    </w:rPr>
                                    <w:t xml:space="preserve">Šio straipsnio pirmojoje dalyje numatytas pažeidimas, padarytas pakartotinai, užtraukia baudą, kurios dydis nuo 0,5 procentų iki 1 procento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(24) 5 straipsnio 1 dalyje nustatytą įmonių bendros apyvartos apskaičiavimą.</w:t>
                                  </w:r>
                                </w:p>
                              </w:sdtContent>
                            </w:sdt>
                            <w:sdt>
                              <w:sdtPr>
                                <w:alias w:val="118-2 str. 3 d."/>
                                <w:tag w:val="part_5cd4f14592b748289c590f97dd1714e8"/>
                                <w:lock w:val="sdtLocked"/>
                                <w:richText/>
                              </w:sdtPr>
                              <w:sdtContent>
                                <w:p>
                                  <w:pPr>
                                    <w:shd w:val="clear" w:color="auto" w:fill="FFFFFF"/>
                                    <w:suppressAutoHyphens/>
                                    <w:spacing w:line="276" w:lineRule="auto"/>
                                    <w:ind w:firstLine="720"/>
                                    <w:jc w:val="both"/>
                                    <w:textAlignment w:val="baseline"/>
                                  </w:pPr>
                                  <w:r>
                                    <w:t xml:space="preserve">Reglamente </w:t>
                                  </w:r>
                                  <w:fldSimple w:instr="HYPERLINK http://eur-lex.europa.eu/legal-content/LIT/TXT/?uri=CELEX:33115R2023&amp;locale=lt \t _blank">
                                    <w:r>
                                      <w:rPr>
                                        <w:u w:val="single"/>
                                        <w:color w:val="0000FF" w:themeColor="hyperlink"/>
                                      </w:rPr>
                                      <w:t>(ES) Nr. 2023/1115</w:t>
                                    </w:r>
                                  </w:fldSimple>
                                  <w:r>
                                    <w:t xml:space="preserve"> nustatytos išsamaus patikrinimo sistemos netaikymas arba šios sistemos reikalavimų pažeidimas po rašytinio įspėjimo užtraukia baudą, kurios dydis nuo 1 procento iki 2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u w:val="single"/>
                                        <w:color w:val="0000FF" w:themeColor="hyperlink"/>
                                      </w:rPr>
                                      <w:t>(EB) Nr. 139/2004</w:t>
                                    </w:r>
                                  </w:fldSimple>
                                  <w:r>
                                    <w:t xml:space="preserve"> (24) 5 straipsnio 1 dalyje nustatytą įmonių bendros apyvartos apskaičiavimą. Rašytinis įspėjimas taikomas, jei dar įmanoma atlikti taisomuosius veiksmus.</w:t>
                                  </w:r>
                                </w:p>
                              </w:sdtContent>
                            </w:sdt>
                            <w:sdt>
                              <w:sdtPr>
                                <w:alias w:val="118-2 str. 4 d."/>
                                <w:tag w:val="part_6d315916a374486191301cfbd2de3c15"/>
                                <w:lock w:val="sdtLocked"/>
                                <w:richText/>
                              </w:sdtPr>
                              <w:sdtContent>
                                <w:p>
                                  <w:pPr>
                                    <w:shd w:val="clear" w:color="auto" w:fill="FFFFFF"/>
                                    <w:suppressAutoHyphens/>
                                    <w:spacing w:line="276" w:lineRule="auto"/>
                                    <w:ind w:firstLine="720"/>
                                    <w:jc w:val="both"/>
                                    <w:textAlignment w:val="baseline"/>
                                  </w:pPr>
                                  <w:r>
                                    <w:rPr>
                                      <w:szCs w:val="24"/>
                                    </w:rPr>
                                    <w:t xml:space="preserve">Šio straipsnio trečiojoje dalyje numatytas pažeidimas, padarytas pakartotinai, užtraukia baudą, kurios dydis nuo 2 procentų iki 3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szCs w:val="24"/>
                                        <w:u w:val="single"/>
                                        <w:color w:val="0000FF" w:themeColor="hyperlink"/>
                                      </w:rPr>
                                      <w:t>(EB) Nr. 139/2004</w:t>
                                    </w:r>
                                  </w:fldSimple>
                                  <w:r>
                                    <w:rPr>
                                      <w:szCs w:val="24"/>
                                    </w:rPr>
                                    <w:t xml:space="preserve"> (24) 5 straipsnio 1 dalyje nustatytą įmonių bendros apyvartos apskaičiavimą.</w:t>
                                  </w:r>
                                </w:p>
                              </w:sdtContent>
                            </w:sdt>
                            <w:sdt>
                              <w:sdtPr>
                                <w:alias w:val="118-2 str. 5 d."/>
                                <w:tag w:val="part_7ae4fb86e27e448fa3eeb2072ab0399c"/>
                                <w:lock w:val="sdtLocked"/>
                                <w:richText/>
                              </w:sdtPr>
                              <w:sdtContent>
                                <w:p>
                                  <w:pPr>
                                    <w:shd w:val="clear" w:color="auto" w:fill="FFFFFF"/>
                                    <w:suppressAutoHyphens/>
                                    <w:spacing w:line="276" w:lineRule="auto"/>
                                    <w:ind w:firstLine="720"/>
                                    <w:jc w:val="both"/>
                                    <w:textAlignment w:val="baseline"/>
                                  </w:pPr>
                                  <w:r>
                                    <w:t xml:space="preserve">Reglamento </w:t>
                                  </w:r>
                                  <w:fldSimple w:instr="HYPERLINK http://eur-lex.europa.eu/legal-content/LIT/TXT/?uri=CELEX:33115R2023&amp;locale=lt \t _blank">
                                    <w:r>
                                      <w:rPr>
                                        <w:u w:val="single"/>
                                        <w:color w:val="0000FF" w:themeColor="hyperlink"/>
                                      </w:rPr>
                                      <w:t>(ES) Nr. 2023/1115</w:t>
                                    </w:r>
                                  </w:fldSimple>
                                  <w:r>
                                    <w:t xml:space="preserve"> I priede nurodytų produktų pateikimas arba tiekimas rinkai, arba eksportas pažeidžiant Reglamento </w:t>
                                  </w:r>
                                  <w:fldSimple w:instr="HYPERLINK http://eur-lex.europa.eu/legal-content/LIT/TXT/?uri=CELEX:33115R2023&amp;locale=lt \t _blank">
                                    <w:r>
                                      <w:rPr>
                                        <w:u w:val="single"/>
                                        <w:color w:val="0000FF" w:themeColor="hyperlink"/>
                                      </w:rPr>
                                      <w:t>(ES) Nr. 2023/1115</w:t>
                                    </w:r>
                                  </w:fldSimple>
                                  <w:r>
                                    <w:t xml:space="preserve"> 3 straipsnyje nustatytus reikalavimus, užtraukia baudą, kurios dydis nuo 3 procentų iki 4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u w:val="single"/>
                                        <w:color w:val="0000FF" w:themeColor="hyperlink"/>
                                      </w:rPr>
                                      <w:t>(EB) Nr. 139/2004</w:t>
                                    </w:r>
                                  </w:fldSimple>
                                  <w:r>
                                    <w:t xml:space="preserve"> (24) 5 straipsnio 1 dalyje nustatytą įmonių bendros apyvartos apskaičiavimą ir skiriamas Reglamento I priede nurodytų produktų konfiskavimas ir (arba) iš sandorio gautų pajamų konfiskavimas </w:t>
                                  </w:r>
                                  <w:r>
                                    <w:rPr>
                                      <w:color w:val="000000"/>
                                    </w:rPr>
                                    <w:t>–</w:t>
                                  </w:r>
                                  <w:r>
                                    <w:t xml:space="preserve"> jei produktai jau parduoti.</w:t>
                                  </w:r>
                                </w:p>
                              </w:sdtContent>
                            </w:sdt>
                            <w:sdt>
                              <w:sdtPr>
                                <w:alias w:val="118-2 str. 6 d."/>
                                <w:tag w:val="part_84ffc00c162144c1b42cf96b9d4d13db"/>
                                <w:lock w:val="sdtLocked"/>
                                <w:richText/>
                              </w:sdtPr>
                              <w:sdtContent>
                                <w:p>
                                  <w:pPr>
                                    <w:shd w:val="clear" w:color="auto" w:fill="FFFFFF"/>
                                    <w:suppressAutoHyphens/>
                                    <w:spacing w:line="276" w:lineRule="auto"/>
                                    <w:ind w:firstLine="720"/>
                                    <w:jc w:val="both"/>
                                    <w:textAlignment w:val="baseline"/>
                                  </w:pPr>
                                  <w:r>
                                    <w:t xml:space="preserve">Šio straipsnio penktojoje dalyje numatytas pažeidimas, padarytas pakartotinai, užtraukia baudą, kurios dydis nuo 4 procentų iki 8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u w:val="single"/>
                                        <w:color w:val="0000FF" w:themeColor="hyperlink"/>
                                      </w:rPr>
                                      <w:t>(EB) Nr. 139/2004</w:t>
                                    </w:r>
                                  </w:fldSimple>
                                  <w:r>
                                    <w:t xml:space="preserve"> (24) 5 straipsnio 1 dalyje nustatytą įmonių bendros apyvartos apskaičiavimą ir skiriamas Reglamento I priede nurodytų produktų konfiskavimas ir (arba) iš sandorio gautų pajamų konfiskavimas – jei produktai jau parduoti.</w:t>
                                  </w:r>
                                </w:p>
                              </w:sdtContent>
                            </w:sdt>
                            <w:sdt>
                              <w:sdtPr>
                                <w:alias w:val="118-2 str. 7 d."/>
                                <w:tag w:val="part_b0ac1401adfb415da5b6a10374022107"/>
                                <w:lock w:val="sdtLocked"/>
                                <w:richText/>
                              </w:sdtPr>
                              <w:sdtContent>
                                <w:p>
                                  <w:pPr>
                                    <w:shd w:val="clear" w:color="auto" w:fill="FFFFFF"/>
                                    <w:suppressAutoHyphens/>
                                    <w:spacing w:line="276" w:lineRule="auto"/>
                                    <w:ind w:firstLine="720"/>
                                    <w:jc w:val="both"/>
                                    <w:textAlignment w:val="baseline"/>
                                    <w:rPr>
                                      <w:lang w:eastAsia="en-GB"/>
                                    </w:rPr>
                                  </w:pPr>
                                  <w:r>
                                    <w:t xml:space="preserve">Už dvejus ir daugiau metų iš eilės pasikartojančius šio straipsnio šeštojoje dalyje nurodytus pažeidimus skiriamas laikinas (vienų metų) draudimas pateikti rinkai arba tiekti rinkai arba eksportuoti Reglamento </w:t>
                                  </w:r>
                                  <w:fldSimple w:instr="HYPERLINK http://eur-lex.europa.eu/legal-content/LIT/TXT/?uri=CELEX:33115R2023&amp;locale=lt \t _blank">
                                    <w:r>
                                      <w:rPr>
                                        <w:u w:val="single"/>
                                        <w:color w:val="0000FF" w:themeColor="hyperlink"/>
                                      </w:rPr>
                                      <w:t>(ES) Nr. 2023/1115</w:t>
                                    </w:r>
                                  </w:fldSimple>
                                  <w:r>
                                    <w:t xml:space="preserve"> I priede nurodytus produktus ir skiriamas laikinas (vienų metų) draudimas taikyti Reglamento </w:t>
                                  </w:r>
                                  <w:fldSimple w:instr="HYPERLINK http://eur-lex.europa.eu/legal-content/LIT/TXT/?uri=CELEX:33115R2023&amp;locale=lt \t _blank">
                                    <w:r>
                                      <w:rPr>
                                        <w:u w:val="single"/>
                                        <w:color w:val="0000FF" w:themeColor="hyperlink"/>
                                      </w:rPr>
                                      <w:t>(ES) Nr. 2023/1115</w:t>
                                    </w:r>
                                  </w:fldSimple>
                                  <w:r>
                                    <w:t xml:space="preserve"> 13 straipsnyje nustatytą supaprastintą išsamų patikrinimą.</w:t>
                                  </w:r>
                                  <w:r>
                                    <w:rPr>
                                      <w:lang w:eastAsia="en-GB"/>
                                    </w:rPr>
                                    <w:t>“</w:t>
                                  </w:r>
                                </w:p>
                                <w:p>
                                  <w:pPr>
                                    <w:shd w:val="clear" w:color="auto" w:fill="FFFFFF"/>
                                    <w:suppressAutoHyphens/>
                                    <w:spacing w:line="276" w:lineRule="auto"/>
                                    <w:ind w:firstLine="720"/>
                                    <w:jc w:val="both"/>
                                    <w:textAlignment w:val="baseline"/>
                                  </w:pPr>
                                </w:p>
                              </w:sdtContent>
                            </w:sdt>
                          </w:sdtContent>
                        </w:sdt>
                      </w:sdtContent>
                    </w:sdt>
                  </w:sdtContent>
                </w:sdt>
              </w:sdtContent>
            </w:sdt>
            <w:sdt>
              <w:sdtPr>
                <w:alias w:val="14 str."/>
                <w:tag w:val="part_6d7462ebd5b1430f847aeb8135a0cbf3"/>
                <w:lock w:val="sdtLocked"/>
                <w:richText/>
              </w:sdtPr>
              <w:sdtContent>
                <w:p>
                  <w:pPr>
                    <w:widowControl w:val="0"/>
                    <w:suppressAutoHyphens/>
                    <w:spacing w:line="276" w:lineRule="auto"/>
                    <w:ind w:firstLine="720"/>
                    <w:jc w:val="both"/>
                  </w:pPr>
                  <w:sdt>
                    <w:sdtPr>
                      <w:alias w:val="Numeris"/>
                      <w:tag w:val="nr_6d7462ebd5b1430f847aeb8135a0cbf3"/>
                      <w:lock w:val="sdtLocked"/>
                      <w:richText/>
                    </w:sdtPr>
                    <w:sdtContent>
                      <w:r>
                        <w:rPr>
                          <w:b/>
                          <w:bCs/>
                          <w:caps/>
                          <w:szCs w:val="24"/>
                        </w:rPr>
                        <w:t>14</w:t>
                      </w:r>
                    </w:sdtContent>
                  </w:sdt>
                  <w:r>
                    <w:rPr>
                      <w:b/>
                      <w:bCs/>
                      <w:caps/>
                      <w:szCs w:val="24"/>
                    </w:rPr>
                    <w:t xml:space="preserve"> </w:t>
                  </w:r>
                  <w:r>
                    <w:rPr>
                      <w:b/>
                      <w:bCs/>
                      <w:color w:val="000000"/>
                      <w:szCs w:val="24"/>
                    </w:rPr>
                    <w:t>straipsnis.</w:t>
                  </w:r>
                  <w:r>
                    <w:rPr>
                      <w:b/>
                      <w:bCs/>
                      <w:caps/>
                      <w:szCs w:val="24"/>
                    </w:rPr>
                    <w:t xml:space="preserve"> </w:t>
                  </w:r>
                  <w:sdt>
                    <w:sdtPr>
                      <w:alias w:val="Pavadinimas"/>
                      <w:tag w:val="title_6d7462ebd5b1430f847aeb8135a0cbf3"/>
                      <w:lock w:val="sdtLocked"/>
                      <w:richText/>
                    </w:sdtPr>
                    <w:sdtContent>
                      <w:r>
                        <w:rPr>
                          <w:b/>
                          <w:color w:val="000000"/>
                          <w:szCs w:val="24"/>
                          <w:lang w:val="lt"/>
                        </w:rPr>
                        <w:t>122</w:t>
                      </w:r>
                      <w:r>
                        <w:rPr>
                          <w:b/>
                          <w:color w:val="000000"/>
                          <w:szCs w:val="24"/>
                          <w:vertAlign w:val="superscript"/>
                          <w:lang w:val="lt"/>
                        </w:rPr>
                        <w:t>4</w:t>
                      </w:r>
                      <w:r>
                        <w:rPr>
                          <w:b/>
                          <w:szCs w:val="24"/>
                        </w:rPr>
                        <w:t xml:space="preserve"> </w:t>
                      </w:r>
                      <w:r>
                        <w:rPr>
                          <w:b/>
                          <w:bCs/>
                          <w:szCs w:val="24"/>
                        </w:rPr>
                        <w:t>straipsnio pakeitimas.</w:t>
                      </w:r>
                      <w:r>
                        <w:rPr>
                          <w:b/>
                          <w:bCs/>
                          <w:caps/>
                          <w:szCs w:val="24"/>
                        </w:rPr>
                        <w:t xml:space="preserve"> </w:t>
                      </w:r>
                    </w:sdtContent>
                  </w:sdt>
                </w:p>
                <w:sdt>
                  <w:sdtPr>
                    <w:alias w:val="14 str. 1 d."/>
                    <w:tag w:val="part_d7e1688c09ab4c85961ed99c88ed948e"/>
                    <w:lock w:val="sdtLocked"/>
                    <w:richText/>
                  </w:sdtPr>
                  <w:sdtContent>
                    <w:p>
                      <w:pPr>
                        <w:widowControl w:val="0"/>
                        <w:suppressAutoHyphens/>
                        <w:spacing w:line="276" w:lineRule="auto"/>
                        <w:ind w:firstLine="720"/>
                        <w:jc w:val="both"/>
                      </w:pPr>
                      <w:r>
                        <w:rPr>
                          <w:szCs w:val="24"/>
                          <w:lang w:val="lt"/>
                        </w:rPr>
                        <w:t xml:space="preserve">Pakeisti </w:t>
                      </w:r>
                      <w:r>
                        <w:rPr>
                          <w:color w:val="000000"/>
                          <w:szCs w:val="24"/>
                          <w:lang w:val="lt"/>
                        </w:rPr>
                        <w:t>122</w:t>
                      </w:r>
                      <w:r>
                        <w:rPr>
                          <w:color w:val="000000"/>
                          <w:szCs w:val="24"/>
                          <w:vertAlign w:val="superscript"/>
                          <w:lang w:val="lt"/>
                        </w:rPr>
                        <w:t>4</w:t>
                      </w:r>
                      <w:r>
                        <w:rPr>
                          <w:szCs w:val="24"/>
                          <w:lang w:val="lt"/>
                        </w:rPr>
                        <w:t xml:space="preserve"> straipsnio 1 dal</w:t>
                      </w:r>
                      <w:r>
                        <w:rPr>
                          <w:szCs w:val="24"/>
                        </w:rPr>
                        <w:t>į</w:t>
                      </w:r>
                      <w:r>
                        <w:rPr>
                          <w:szCs w:val="24"/>
                          <w:lang w:val="lt"/>
                        </w:rPr>
                        <w:t xml:space="preserve"> ir ją išdėstyti taip:</w:t>
                      </w:r>
                    </w:p>
                    <w:sdt>
                      <w:sdtPr>
                        <w:alias w:val="citata"/>
                        <w:tag w:val="part_0398f80e2ad84528ad68d914923c2ff5"/>
                        <w:lock w:val="sdtLocked"/>
                        <w:richText/>
                      </w:sdtPr>
                      <w:sdtContent>
                        <w:sdt>
                          <w:sdtPr>
                            <w:alias w:val="1 d."/>
                            <w:tag w:val="part_2bbeaf54d6604b9aa91156e4b5c220b7"/>
                            <w:lock w:val="sdtLocked"/>
                            <w:richText/>
                          </w:sdtPr>
                          <w:sdtContent>
                            <w:p>
                              <w:pPr>
                                <w:widowControl w:val="0"/>
                                <w:suppressAutoHyphens/>
                                <w:ind w:firstLine="720"/>
                                <w:jc w:val="both"/>
                              </w:pPr>
                              <w:r>
                                <w:t>„</w:t>
                              </w:r>
                              <w:r>
                                <w:rPr>
                                  <w:color w:val="000000"/>
                                </w:rPr>
                                <w:t xml:space="preserve">Invazinių rūšių naikinimo, izoliavimo ar gausos reguliavimo priemonių nevykdymas arba vykdymas pažeidžiant invazinių rūšių naudojimą, valdymą, gausos reguliavimą ir plitimo prevenciją reglamentuojančius teisės aktus ar Reglamentą </w:t>
                              </w:r>
                              <w:fldSimple w:instr="HYPERLINK http://eur-lex.europa.eu/legal-content/LIT/TXT/?uri=CELEX:33143R2014&amp;locale=lt \t _blank">
                                <w:r>
                                  <w:rPr>
                                    <w:color w:val="0000FF" w:themeColor="hyperlink"/>
                                    <w:u w:val="single"/>
                                  </w:rPr>
                                  <w:t>(ES) 1143/2014</w:t>
                                </w:r>
                              </w:fldSimple>
                              <w:r>
                                <w:rPr>
                                  <w:color w:val="000000"/>
                                </w:rPr>
                                <w:t xml:space="preserve"> po rašytinio įspėjimo, užtraukia baudą nuo dviejų šimtų iki dviejų tūkstančių penkių šimtų eurų.“</w:t>
                              </w:r>
                            </w:p>
                            <w:p>
                              <w:pPr>
                                <w:suppressAutoHyphens/>
                                <w:spacing w:line="360" w:lineRule="auto"/>
                                <w:ind w:firstLine="720"/>
                                <w:jc w:val="both"/>
                                <w:rPr>
                                  <w:b/>
                                  <w:color w:val="000000"/>
                                  <w:szCs w:val="24"/>
                                  <w:lang w:val="pt-BR" w:eastAsia="en-GB"/>
                                </w:rPr>
                              </w:pPr>
                            </w:p>
                          </w:sdtContent>
                        </w:sdt>
                      </w:sdtContent>
                    </w:sdt>
                  </w:sdtContent>
                </w:sdt>
              </w:sdtContent>
            </w:sdt>
            <w:sdt>
              <w:sdtPr>
                <w:alias w:val="15 str."/>
                <w:tag w:val="part_20323713140242a4b2ffad597e7ce99c"/>
                <w:lock w:val="sdtLocked"/>
                <w:richText/>
              </w:sdtPr>
              <w:sdtContent>
                <w:p>
                  <w:pPr>
                    <w:suppressAutoHyphens/>
                    <w:spacing w:line="276" w:lineRule="auto"/>
                    <w:ind w:firstLine="720"/>
                    <w:jc w:val="both"/>
                    <w:rPr>
                      <w:b/>
                      <w:bCs/>
                      <w:szCs w:val="24"/>
                    </w:rPr>
                  </w:pPr>
                  <w:sdt>
                    <w:sdtPr>
                      <w:alias w:val="Numeris"/>
                      <w:tag w:val="nr_20323713140242a4b2ffad597e7ce99c"/>
                      <w:lock w:val="sdtLocked"/>
                      <w:richText/>
                    </w:sdtPr>
                    <w:sdtContent>
                      <w:r>
                        <w:rPr>
                          <w:b/>
                          <w:bCs/>
                          <w:szCs w:val="24"/>
                        </w:rPr>
                        <w:t>15</w:t>
                      </w:r>
                    </w:sdtContent>
                  </w:sdt>
                  <w:r>
                    <w:rPr>
                      <w:b/>
                      <w:bCs/>
                      <w:szCs w:val="24"/>
                    </w:rPr>
                    <w:t xml:space="preserve"> straipsnis. </w:t>
                  </w:r>
                  <w:sdt>
                    <w:sdtPr>
                      <w:alias w:val="Pavadinimas"/>
                      <w:tag w:val="title_20323713140242a4b2ffad597e7ce99c"/>
                      <w:lock w:val="sdtLocked"/>
                      <w:richText/>
                    </w:sdtPr>
                    <w:sdtContent>
                      <w:r>
                        <w:rPr>
                          <w:b/>
                          <w:bCs/>
                          <w:szCs w:val="24"/>
                        </w:rPr>
                        <w:t>Įstatymo priedo pakeitimas</w:t>
                      </w:r>
                    </w:sdtContent>
                  </w:sdt>
                </w:p>
                <w:sdt>
                  <w:sdtPr>
                    <w:alias w:val="15 str. 1 d."/>
                    <w:tag w:val="part_bcacf84a26104269bdab77c89d904952"/>
                    <w:lock w:val="sdtLocked"/>
                    <w:richText/>
                  </w:sdtPr>
                  <w:sdtContent>
                    <w:p>
                      <w:pPr>
                        <w:suppressAutoHyphens/>
                        <w:spacing w:line="276" w:lineRule="auto"/>
                        <w:ind w:firstLine="720"/>
                        <w:jc w:val="both"/>
                        <w:rPr>
                          <w:szCs w:val="24"/>
                        </w:rPr>
                      </w:pPr>
                      <w:sdt>
                        <w:sdtPr>
                          <w:alias w:val="Numeris"/>
                          <w:tag w:val="nr_bcacf84a26104269bdab77c89d904952"/>
                          <w:lock w:val="sdtLocked"/>
                          <w:richText/>
                        </w:sdtPr>
                        <w:sdtContent>
                          <w:r>
                            <w:rPr>
                              <w:szCs w:val="24"/>
                            </w:rPr>
                            <w:t>1</w:t>
                          </w:r>
                        </w:sdtContent>
                      </w:sdt>
                      <w:r>
                        <w:rPr>
                          <w:szCs w:val="24"/>
                        </w:rPr>
                        <w:t>. Pakeisti priedo 13 punktą ir išdėstyti taip:</w:t>
                      </w:r>
                    </w:p>
                    <w:sdt>
                      <w:sdtPr>
                        <w:alias w:val="citata"/>
                        <w:tag w:val="part_79b3163c462b4de48c7d19b3d7fd6757"/>
                        <w:lock w:val="sdtLocked"/>
                        <w:richText/>
                      </w:sdtPr>
                      <w:sdtContent>
                        <w:sdt>
                          <w:sdtPr>
                            <w:alias w:val="13 d."/>
                            <w:tag w:val="part_3b1149b7535242f1b6688af213f7cf77"/>
                            <w:lock w:val="sdtLocked"/>
                            <w:richText/>
                          </w:sdtPr>
                          <w:sdtContent>
                            <w:p>
                              <w:pPr>
                                <w:suppressAutoHyphens/>
                                <w:spacing w:line="276" w:lineRule="auto"/>
                                <w:ind w:firstLine="720"/>
                                <w:jc w:val="both"/>
                              </w:pPr>
                              <w:r>
                                <w:rPr>
                                  <w:szCs w:val="24"/>
                                </w:rPr>
                                <w:t>„</w:t>
                              </w:r>
                              <w:sdt>
                                <w:sdtPr>
                                  <w:alias w:val="Numeris"/>
                                  <w:tag w:val="nr_3b1149b7535242f1b6688af213f7cf77"/>
                                  <w:lock w:val="sdtLocked"/>
                                  <w:richText/>
                                </w:sdtPr>
                                <w:sdtContent>
                                  <w:r>
                                    <w:rPr>
                                      <w:szCs w:val="24"/>
                                    </w:rPr>
                                    <w:t>13</w:t>
                                  </w:r>
                                </w:sdtContent>
                              </w:sdt>
                              <w:r>
                                <w:rPr>
                                  <w:szCs w:val="24"/>
                                </w:rPr>
                                <w:t xml:space="preserve">. 2017 m. gegužės 17 d. Europos Parlamento ir Tarybos reglamentas </w:t>
                              </w:r>
                              <w:fldSimple w:instr="HYPERLINK http://eur-lex.europa.eu/legal-content/LIT/TXT/?uri=CELEX:32017R0852&amp;locale=lt \t _blank">
                                <w:r>
                                  <w:rPr>
                                    <w:szCs w:val="24"/>
                                    <w:u w:val="single"/>
                                    <w:color w:val="0000FF" w:themeColor="hyperlink"/>
                                  </w:rPr>
                                  <w:t>(ES) 2017/852</w:t>
                                </w:r>
                              </w:fldSimple>
                              <w:r>
                                <w:rPr>
                                  <w:szCs w:val="24"/>
                                </w:rPr>
                                <w:t xml:space="preserve"> dėl gyvsidabrio, kuriuo panaikinamas Reglamentas </w:t>
                              </w:r>
                              <w:fldSimple w:instr="HYPERLINK http://eur-lex.europa.eu/legal-content/LIT/TXT/?uri=CELEX:32008R1102&amp;locale=lt \t _blank">
                                <w:r>
                                  <w:rPr>
                                    <w:szCs w:val="24"/>
                                    <w:u w:val="single"/>
                                    <w:color w:val="0000FF" w:themeColor="hyperlink"/>
                                  </w:rPr>
                                  <w:t>(EB) Nr. 1102/2008</w:t>
                                </w:r>
                              </w:fldSimple>
                              <w:r>
                                <w:rPr>
                                  <w:szCs w:val="24"/>
                                </w:rPr>
                                <w:t>,</w:t>
                              </w:r>
                              <w:r>
                                <w:rPr>
                                  <w:b/>
                                  <w:szCs w:val="24"/>
                                </w:rPr>
                                <w:t xml:space="preserve"> </w:t>
                              </w:r>
                              <w:r>
                                <w:rPr>
                                  <w:bCs/>
                                  <w:szCs w:val="24"/>
                                </w:rPr>
                                <w:t xml:space="preserve">su paskutiniais pakeitimais, padarytais </w:t>
                              </w:r>
                              <w:r>
                                <w:rPr>
                                  <w:bCs/>
                                  <w:color w:val="000000"/>
                                  <w:szCs w:val="24"/>
                                </w:rPr>
                                <w:t xml:space="preserve">2024 m. birželio 13 d. Europos Parlamento ir Tarybos reglamentu </w:t>
                              </w:r>
                              <w:fldSimple w:instr="HYPERLINK http://eur-lex.europa.eu/legal-content/LIT/TXT/?uri=CELEX:32024R1849&amp;locale=lt \t _blank">
                                <w:r>
                                  <w:rPr>
                                    <w:bCs/>
                                    <w:color w:val="0000FF" w:themeColor="hyperlink"/>
                                    <w:szCs w:val="24"/>
                                    <w:u w:val="single"/>
                                  </w:rPr>
                                  <w:t>(ES) 2024/1849</w:t>
                                </w:r>
                              </w:fldSimple>
                              <w:r>
                                <w:rPr>
                                  <w:bCs/>
                                  <w:color w:val="000000"/>
                                  <w:szCs w:val="24"/>
                                </w:rPr>
                                <w:t xml:space="preserve">, kuriuo iš dalies keičiamas reglamentas </w:t>
                              </w:r>
                              <w:fldSimple w:instr="HYPERLINK http://eur-lex.europa.eu/legal-content/LIT/TXT/?uri=CELEX:32017R0852&amp;locale=lt \t _blank">
                                <w:r>
                                  <w:rPr>
                                    <w:bCs/>
                                    <w:color w:val="0000FF" w:themeColor="hyperlink"/>
                                    <w:szCs w:val="24"/>
                                    <w:u w:val="single"/>
                                  </w:rPr>
                                  <w:t>(ES) 2017/852</w:t>
                                </w:r>
                              </w:fldSimple>
                              <w:r>
                                <w:rPr>
                                  <w:bCs/>
                                  <w:color w:val="000000"/>
                                  <w:szCs w:val="24"/>
                                </w:rPr>
                                <w:t xml:space="preserve"> dėl gyvsidabrio, kiek tai susiję su dantų amalgama ir kitais produktais, kurių sudėtyje yra gyvsidabrio ir kuriems taikomi eksporto, importo ir gamybos apribojimai</w:t>
                              </w:r>
                              <w:r>
                                <w:rPr>
                                  <w:bCs/>
                                  <w:color w:val="000000"/>
                                  <w:szCs w:val="24"/>
                                </w:rPr>
                                <w:t>.“</w:t>
                              </w:r>
                            </w:p>
                          </w:sdtContent>
                        </w:sdt>
                      </w:sdtContent>
                    </w:sdt>
                  </w:sdtContent>
                </w:sdt>
                <w:sdt>
                  <w:sdtPr>
                    <w:alias w:val="15 str. 2 d."/>
                    <w:tag w:val="part_5a0aaf7e3d834f68ac3a4878e5a49f23"/>
                    <w:lock w:val="sdtLocked"/>
                    <w:richText/>
                  </w:sdtPr>
                  <w:sdtContent>
                    <w:p>
                      <w:pPr>
                        <w:suppressAutoHyphens/>
                        <w:spacing w:line="276" w:lineRule="auto"/>
                        <w:ind w:firstLine="720"/>
                        <w:jc w:val="both"/>
                      </w:pPr>
                      <w:sdt>
                        <w:sdtPr>
                          <w:alias w:val="Numeris"/>
                          <w:tag w:val="nr_5a0aaf7e3d834f68ac3a4878e5a49f23"/>
                          <w:lock w:val="sdtLocked"/>
                          <w:richText/>
                        </w:sdtPr>
                        <w:sdtContent>
                          <w:r>
                            <w:rPr>
                              <w:color w:val="000000"/>
                              <w:szCs w:val="24"/>
                            </w:rPr>
                            <w:t>2</w:t>
                          </w:r>
                        </w:sdtContent>
                      </w:sdt>
                      <w:r>
                        <w:rPr>
                          <w:color w:val="000000"/>
                          <w:szCs w:val="24"/>
                        </w:rPr>
                        <w:t>. Papildyti Įstatymo priedą 16</w:t>
                      </w:r>
                      <w:r>
                        <w:rPr>
                          <w:color w:val="000000"/>
                          <w:szCs w:val="24"/>
                          <w:vertAlign w:val="superscript"/>
                        </w:rPr>
                        <w:t>1</w:t>
                      </w:r>
                      <w:r>
                        <w:rPr>
                          <w:color w:val="000000"/>
                          <w:szCs w:val="24"/>
                        </w:rPr>
                        <w:t xml:space="preserve"> punktu:</w:t>
                      </w:r>
                    </w:p>
                    <w:sdt>
                      <w:sdtPr>
                        <w:alias w:val="citata"/>
                        <w:tag w:val="part_7b639a482ad24090adcefbe832fa1e24"/>
                        <w:lock w:val="sdtLocked"/>
                        <w:richText/>
                      </w:sdtPr>
                      <w:sdtContent>
                        <w:sdt>
                          <w:sdtPr>
                            <w:alias w:val="16-1 d."/>
                            <w:tag w:val="part_024bebffbb424fc68a6d2f3c6e3e7e4a"/>
                            <w:lock w:val="sdtLocked"/>
                            <w:richText/>
                          </w:sdtPr>
                          <w:sdtContent>
                            <w:p>
                              <w:pPr>
                                <w:suppressAutoHyphens/>
                                <w:spacing w:line="276" w:lineRule="auto"/>
                                <w:ind w:firstLine="720"/>
                                <w:jc w:val="both"/>
                              </w:pPr>
                              <w:r>
                                <w:rPr>
                                  <w:color w:val="000000"/>
                                  <w:szCs w:val="24"/>
                                  <w:lang w:eastAsia="en-GB"/>
                                </w:rPr>
                                <w:t>„</w:t>
                              </w:r>
                              <w:sdt>
                                <w:sdtPr>
                                  <w:alias w:val="Numeris"/>
                                  <w:tag w:val="nr_024bebffbb424fc68a6d2f3c6e3e7e4a"/>
                                  <w:lock w:val="sdtLocked"/>
                                  <w:richText/>
                                </w:sdtPr>
                                <w:sdtContent>
                                  <w:r>
                                    <w:rPr>
                                      <w:color w:val="000000"/>
                                      <w:szCs w:val="24"/>
                                    </w:rPr>
                                    <w:t>16</w:t>
                                  </w:r>
                                  <w:r>
                                    <w:rPr>
                                      <w:color w:val="000000"/>
                                      <w:szCs w:val="24"/>
                                      <w:vertAlign w:val="superscript"/>
                                    </w:rPr>
                                    <w:t>1</w:t>
                                  </w:r>
                                </w:sdtContent>
                              </w:sdt>
                              <w:r>
                                <w:rPr>
                                  <w:color w:val="000000"/>
                                  <w:szCs w:val="24"/>
                                  <w:lang w:eastAsia="en-GB"/>
                                </w:rPr>
                                <w:t xml:space="preserve">. 2023 m. gegužės 10 d. </w:t>
                              </w:r>
                              <w:r>
                                <w:rPr>
                                  <w:szCs w:val="24"/>
                                </w:rPr>
                                <w:t xml:space="preserve">Europos Parlamento ir Tarybos reglamentas </w:t>
                              </w:r>
                              <w:fldSimple w:instr="HYPERLINK http://eur-lex.europa.eu/legal-content/LIT/TXT/?uri=CELEX:32023R0956&amp;locale=lt \t _blank">
                                <w:r>
                                  <w:rPr>
                                    <w:szCs w:val="24"/>
                                    <w:u w:val="single"/>
                                    <w:color w:val="0000FF" w:themeColor="hyperlink"/>
                                  </w:rPr>
                                  <w:t>(ES) 2023/956</w:t>
                                </w:r>
                              </w:fldSimple>
                              <w:r>
                                <w:rPr>
                                  <w:szCs w:val="24"/>
                                </w:rPr>
                                <w:t> kuriuo nustatomas pasienio anglies dioksido korekcinis mechanizmas</w:t>
                              </w:r>
                              <w:r>
                                <w:rPr>
                                  <w:color w:val="333333"/>
                                  <w:szCs w:val="24"/>
                                </w:rPr>
                                <w:t>.</w:t>
                              </w:r>
                              <w:r>
                                <w:rPr>
                                  <w:color w:val="000000"/>
                                  <w:szCs w:val="24"/>
                                </w:rPr>
                                <w:t>“</w:t>
                              </w:r>
                            </w:p>
                          </w:sdtContent>
                        </w:sdt>
                      </w:sdtContent>
                    </w:sdt>
                  </w:sdtContent>
                </w:sdt>
                <w:sdt>
                  <w:sdtPr>
                    <w:alias w:val="15 str. 3 d."/>
                    <w:tag w:val="part_5afb62c60897412f93ae979849f93471"/>
                    <w:lock w:val="sdtLocked"/>
                    <w:richText/>
                  </w:sdtPr>
                  <w:sdtContent>
                    <w:p>
                      <w:pPr>
                        <w:shd w:val="clear" w:color="auto" w:fill="FFFFFF"/>
                        <w:suppressAutoHyphens/>
                        <w:spacing w:line="276" w:lineRule="auto"/>
                        <w:ind w:firstLine="720"/>
                        <w:jc w:val="both"/>
                      </w:pPr>
                      <w:sdt>
                        <w:sdtPr>
                          <w:alias w:val="Numeris"/>
                          <w:tag w:val="nr_5afb62c60897412f93ae979849f93471"/>
                          <w:lock w:val="sdtLocked"/>
                          <w:richText/>
                        </w:sdtPr>
                        <w:sdtContent>
                          <w:r>
                            <w:rPr>
                              <w:color w:val="000000"/>
                              <w:szCs w:val="24"/>
                              <w:lang w:eastAsia="en-GB"/>
                            </w:rPr>
                            <w:t>3</w:t>
                          </w:r>
                        </w:sdtContent>
                      </w:sdt>
                      <w:r>
                        <w:rPr>
                          <w:color w:val="000000"/>
                          <w:szCs w:val="24"/>
                          <w:lang w:eastAsia="en-GB"/>
                        </w:rPr>
                        <w:t xml:space="preserve">. Papildyti Įstatymo priedą </w:t>
                      </w:r>
                      <w:r>
                        <w:rPr>
                          <w:color w:val="000000"/>
                          <w:szCs w:val="24"/>
                        </w:rPr>
                        <w:t>16</w:t>
                      </w:r>
                      <w:r>
                        <w:rPr>
                          <w:color w:val="000000"/>
                          <w:szCs w:val="24"/>
                          <w:vertAlign w:val="superscript"/>
                        </w:rPr>
                        <w:t>2</w:t>
                      </w:r>
                      <w:r>
                        <w:rPr>
                          <w:color w:val="000000"/>
                          <w:szCs w:val="24"/>
                        </w:rPr>
                        <w:t xml:space="preserve"> </w:t>
                      </w:r>
                      <w:r>
                        <w:rPr>
                          <w:color w:val="000000"/>
                          <w:szCs w:val="24"/>
                          <w:lang w:eastAsia="en-GB"/>
                        </w:rPr>
                        <w:t>punktu:</w:t>
                      </w:r>
                    </w:p>
                    <w:sdt>
                      <w:sdtPr>
                        <w:alias w:val="citata"/>
                        <w:tag w:val="part_966bf6a7084a42bbac5891a43b1bef81"/>
                        <w:lock w:val="sdtLocked"/>
                        <w:richText/>
                      </w:sdtPr>
                      <w:sdtContent>
                        <w:sdt>
                          <w:sdtPr>
                            <w:alias w:val="16-2 d."/>
                            <w:tag w:val="part_58c94f1c05154d9694868bc216e32a1c"/>
                            <w:lock w:val="sdtLocked"/>
                            <w:richText/>
                          </w:sdtPr>
                          <w:sdtContent>
                            <w:p>
                              <w:pPr>
                                <w:shd w:val="clear" w:color="auto" w:fill="FFFFFF"/>
                                <w:suppressAutoHyphens/>
                                <w:spacing w:line="276" w:lineRule="auto"/>
                                <w:ind w:firstLine="720"/>
                                <w:jc w:val="both"/>
                              </w:pPr>
                              <w:r>
                                <w:rPr>
                                  <w:color w:val="000000"/>
                                  <w:szCs w:val="24"/>
                                  <w:lang w:eastAsia="en-GB"/>
                                </w:rPr>
                                <w:t>„</w:t>
                              </w:r>
                              <w:sdt>
                                <w:sdtPr>
                                  <w:alias w:val="Numeris"/>
                                  <w:tag w:val="nr_58c94f1c05154d9694868bc216e32a1c"/>
                                  <w:lock w:val="sdtLocked"/>
                                  <w:richText/>
                                </w:sdtPr>
                                <w:sdtContent>
                                  <w:r>
                                    <w:rPr>
                                      <w:color w:val="000000"/>
                                      <w:szCs w:val="24"/>
                                    </w:rPr>
                                    <w:t>16</w:t>
                                  </w:r>
                                  <w:r>
                                    <w:rPr>
                                      <w:color w:val="000000"/>
                                      <w:szCs w:val="24"/>
                                      <w:vertAlign w:val="superscript"/>
                                    </w:rPr>
                                    <w:t>2</w:t>
                                  </w:r>
                                </w:sdtContent>
                              </w:sdt>
                              <w:r>
                                <w:rPr>
                                  <w:color w:val="000000"/>
                                  <w:szCs w:val="24"/>
                                  <w:lang w:eastAsia="en-GB"/>
                                </w:rPr>
                                <w:t xml:space="preserve">. </w:t>
                              </w:r>
                              <w:r>
                                <w:rPr>
                                  <w:szCs w:val="24"/>
                                </w:rPr>
                                <w:t xml:space="preserve">2023 m. gegužės 31 d. Europos Parlamento ir Tarybos reglamentas </w:t>
                              </w:r>
                              <w:fldSimple w:instr="HYPERLINK http://eur-lex.europa.eu/legal-content/LIT/TXT/?uri=CELEX:33115R2023&amp;locale=lt \t _blank">
                                <w:r>
                                  <w:rPr>
                                    <w:szCs w:val="24"/>
                                    <w:u w:val="single"/>
                                    <w:color w:val="0000FF" w:themeColor="hyperlink"/>
                                  </w:rPr>
                                  <w:t>(ES) Nr. 2023/1115</w:t>
                                </w:r>
                              </w:fldSimple>
                              <w:r>
                                <w:rPr>
                                  <w:szCs w:val="24"/>
                                </w:rPr>
                                <w:t xml:space="preserve"> dėl tam tikrų su miškų naikinimu ir alinimu siejamų biržos prekių ir produktų tiekimo Sąjungos rinkai ir jų eksporto iš Sąjungos, kuriuo panaikinimas Reglamentas </w:t>
                              </w:r>
                              <w:fldSimple w:instr="HYPERLINK http://eur-lex.europa.eu/legal-content/LIT/TXT/?uri=CELEX:32010R0995&amp;locale=lt \t _blank">
                                <w:r>
                                  <w:rPr>
                                    <w:szCs w:val="24"/>
                                    <w:u w:val="single"/>
                                    <w:color w:val="0000FF" w:themeColor="hyperlink"/>
                                  </w:rPr>
                                  <w:t>(ES) Nr. 995/2010</w:t>
                                </w:r>
                              </w:fldSimple>
                              <w:r>
                                <w:rPr>
                                  <w:szCs w:val="24"/>
                                </w:rPr>
                                <w:t>.</w:t>
                              </w:r>
                              <w:r>
                                <w:rPr>
                                  <w:color w:val="000000"/>
                                  <w:szCs w:val="24"/>
                                  <w:lang w:eastAsia="en-GB"/>
                                </w:rPr>
                                <w:t>“</w:t>
                              </w:r>
                            </w:p>
                          </w:sdtContent>
                        </w:sdt>
                      </w:sdtContent>
                    </w:sdt>
                  </w:sdtContent>
                </w:sdt>
                <w:sdt>
                  <w:sdtPr>
                    <w:alias w:val="15 str. 4 d."/>
                    <w:tag w:val="part_25a1d21778164e7d8f75a2749d21ca2f"/>
                    <w:lock w:val="sdtLocked"/>
                    <w:richText/>
                  </w:sdtPr>
                  <w:sdtContent>
                    <w:p>
                      <w:pPr>
                        <w:suppressAutoHyphens/>
                        <w:spacing w:line="276" w:lineRule="auto"/>
                        <w:ind w:firstLine="720"/>
                        <w:jc w:val="both"/>
                      </w:pPr>
                      <w:sdt>
                        <w:sdtPr>
                          <w:alias w:val="Numeris"/>
                          <w:tag w:val="nr_25a1d21778164e7d8f75a2749d21ca2f"/>
                          <w:lock w:val="sdtLocked"/>
                          <w:richText/>
                        </w:sdtPr>
                        <w:sdtContent>
                          <w:r>
                            <w:rPr>
                              <w:color w:val="333333"/>
                              <w:szCs w:val="24"/>
                            </w:rPr>
                            <w:t>4</w:t>
                          </w:r>
                        </w:sdtContent>
                      </w:sdt>
                      <w:r>
                        <w:rPr>
                          <w:color w:val="333333"/>
                          <w:szCs w:val="24"/>
                        </w:rPr>
                        <w:t>.</w:t>
                      </w:r>
                      <w:r>
                        <w:rPr>
                          <w:b/>
                          <w:bCs/>
                          <w:color w:val="333333"/>
                          <w:szCs w:val="24"/>
                        </w:rPr>
                        <w:t xml:space="preserve"> </w:t>
                      </w:r>
                      <w:r>
                        <w:rPr>
                          <w:color w:val="000000"/>
                          <w:szCs w:val="24"/>
                        </w:rPr>
                        <w:t>Papildyti Įstatymo priedą 16</w:t>
                      </w:r>
                      <w:r>
                        <w:rPr>
                          <w:color w:val="000000"/>
                          <w:szCs w:val="24"/>
                          <w:vertAlign w:val="superscript"/>
                        </w:rPr>
                        <w:t>3</w:t>
                      </w:r>
                      <w:r>
                        <w:rPr>
                          <w:color w:val="000000"/>
                          <w:szCs w:val="24"/>
                        </w:rPr>
                        <w:t xml:space="preserve"> punktu:</w:t>
                      </w:r>
                      <w:r>
                        <w:rPr>
                          <w:b/>
                          <w:bCs/>
                          <w:color w:val="333333"/>
                          <w:szCs w:val="24"/>
                        </w:rPr>
                        <w:t xml:space="preserve"> </w:t>
                      </w:r>
                    </w:p>
                    <w:sdt>
                      <w:sdtPr>
                        <w:alias w:val="citata"/>
                        <w:tag w:val="part_20b10eaf40024f489435983342fa4aff"/>
                        <w:lock w:val="sdtLocked"/>
                        <w:richText/>
                      </w:sdtPr>
                      <w:sdtContent>
                        <w:sdt>
                          <w:sdtPr>
                            <w:alias w:val="16-3 d."/>
                            <w:tag w:val="part_0f9dc04ae693424495b4919e9f396d26"/>
                            <w:lock w:val="sdtLocked"/>
                            <w:richText/>
                          </w:sdtPr>
                          <w:sdtContent>
                            <w:p>
                              <w:pPr>
                                <w:suppressAutoHyphens/>
                                <w:spacing w:line="276" w:lineRule="auto"/>
                                <w:ind w:firstLine="720"/>
                                <w:jc w:val="both"/>
                              </w:pPr>
                              <w:r>
                                <w:rPr>
                                  <w:color w:val="000000"/>
                                  <w:szCs w:val="24"/>
                                  <w:lang w:eastAsia="en-GB"/>
                                </w:rPr>
                                <w:t>„</w:t>
                              </w:r>
                              <w:sdt>
                                <w:sdtPr>
                                  <w:alias w:val="Numeris"/>
                                  <w:tag w:val="nr_0f9dc04ae693424495b4919e9f396d26"/>
                                  <w:lock w:val="sdtLocked"/>
                                  <w:richText/>
                                </w:sdtPr>
                                <w:sdtContent>
                                  <w:r>
                                    <w:rPr>
                                      <w:color w:val="000000"/>
                                      <w:szCs w:val="24"/>
                                    </w:rPr>
                                    <w:t>16</w:t>
                                  </w:r>
                                  <w:r>
                                    <w:rPr>
                                      <w:color w:val="000000"/>
                                      <w:szCs w:val="24"/>
                                      <w:vertAlign w:val="superscript"/>
                                    </w:rPr>
                                    <w:t>3</w:t>
                                  </w:r>
                                </w:sdtContent>
                              </w:sdt>
                              <w:r>
                                <w:rPr>
                                  <w:color w:val="000000"/>
                                  <w:szCs w:val="24"/>
                                  <w:lang w:eastAsia="en-GB"/>
                                </w:rPr>
                                <w:t xml:space="preserve">. </w:t>
                              </w:r>
                              <w:r>
                                <w:rPr>
                                  <w:color w:val="333333"/>
                                  <w:szCs w:val="24"/>
                                </w:rPr>
                                <w:t>2023 m. rugsėjo 13 d.</w:t>
                              </w:r>
                              <w:r>
                                <w:rPr>
                                  <w:color w:val="000000"/>
                                  <w:szCs w:val="24"/>
                                  <w:lang w:eastAsia="en-GB"/>
                                </w:rPr>
                                <w:t xml:space="preserve"> </w:t>
                              </w:r>
                              <w:r>
                                <w:rPr>
                                  <w:szCs w:val="24"/>
                                </w:rPr>
                                <w:t xml:space="preserve">Europos Parlamento ir Tarybos reglamentas </w:t>
                              </w:r>
                              <w:fldSimple w:instr="HYPERLINK http://eur-lex.europa.eu/legal-content/LIT/TXT/?uri=CELEX:32023R1805&amp;locale=lt \t _blank">
                                <w:r>
                                  <w:rPr>
                                    <w:szCs w:val="24"/>
                                    <w:u w:val="single"/>
                                    <w:color w:val="0000FF" w:themeColor="hyperlink"/>
                                  </w:rPr>
                                  <w:t>(ES) 2023/1805</w:t>
                                </w:r>
                              </w:fldSimple>
                              <w:r>
                                <w:rPr>
                                  <w:szCs w:val="24"/>
                                </w:rPr>
                                <w:t> </w:t>
                              </w:r>
                              <w:r>
                                <w:rPr>
                                  <w:color w:val="333333"/>
                                  <w:szCs w:val="24"/>
                                </w:rPr>
                                <w:t xml:space="preserve">dėl atsinaujinančiųjų energijos išteklių ir mažo anglies dioksido pėdsako kuro naudojimo jūrų transporto sektoriuje, kuriuo iš dalies keičiama Direktyva </w:t>
                              </w:r>
                              <w:fldSimple w:instr="HYPERLINK http://eur-lex.europa.eu/legal-content/LIT/TXT/?uri=CELEX:32009L0016&amp;locale=lt \t _blank">
                                <w:r>
                                  <w:rPr>
                                    <w:color w:val="0000FF" w:themeColor="hyperlink"/>
                                    <w:szCs w:val="24"/>
                                    <w:u w:val="single"/>
                                  </w:rPr>
                                  <w:t>2009/16/EB</w:t>
                                </w:r>
                              </w:fldSimple>
                              <w:r>
                                <w:rPr>
                                  <w:color w:val="333333"/>
                                  <w:szCs w:val="24"/>
                                </w:rPr>
                                <w:t>.</w:t>
                              </w:r>
                              <w:r>
                                <w:rPr>
                                  <w:color w:val="000000"/>
                                  <w:szCs w:val="24"/>
                                </w:rPr>
                                <w:t>“</w:t>
                              </w:r>
                            </w:p>
                          </w:sdtContent>
                        </w:sdt>
                      </w:sdtContent>
                    </w:sdt>
                  </w:sdtContent>
                </w:sdt>
                <w:sdt>
                  <w:sdtPr>
                    <w:alias w:val="15 str. 5 d."/>
                    <w:tag w:val="part_25ed2ccad05e481b9443788cdc1c800e"/>
                    <w:lock w:val="sdtLocked"/>
                    <w:richText/>
                  </w:sdtPr>
                  <w:sdtContent>
                    <w:p>
                      <w:pPr>
                        <w:suppressAutoHyphens/>
                        <w:spacing w:line="276" w:lineRule="auto"/>
                        <w:ind w:firstLine="720"/>
                        <w:jc w:val="both"/>
                      </w:pPr>
                      <w:sdt>
                        <w:sdtPr>
                          <w:alias w:val="Numeris"/>
                          <w:tag w:val="nr_25ed2ccad05e481b9443788cdc1c800e"/>
                          <w:lock w:val="sdtLocked"/>
                          <w:richText/>
                        </w:sdtPr>
                        <w:sdtContent>
                          <w:r>
                            <w:rPr>
                              <w:color w:val="333333"/>
                              <w:szCs w:val="24"/>
                            </w:rPr>
                            <w:t>5</w:t>
                          </w:r>
                        </w:sdtContent>
                      </w:sdt>
                      <w:r>
                        <w:rPr>
                          <w:color w:val="333333"/>
                          <w:szCs w:val="24"/>
                        </w:rPr>
                        <w:t xml:space="preserve">. </w:t>
                      </w:r>
                      <w:r>
                        <w:rPr>
                          <w:color w:val="000000"/>
                          <w:szCs w:val="24"/>
                        </w:rPr>
                        <w:t>Papildyti Įstatymo priedą 16</w:t>
                      </w:r>
                      <w:r>
                        <w:rPr>
                          <w:color w:val="000000"/>
                          <w:szCs w:val="24"/>
                          <w:vertAlign w:val="superscript"/>
                        </w:rPr>
                        <w:t>4</w:t>
                      </w:r>
                      <w:r>
                        <w:rPr>
                          <w:color w:val="000000"/>
                          <w:szCs w:val="24"/>
                        </w:rPr>
                        <w:t xml:space="preserve"> punktu:</w:t>
                      </w:r>
                      <w:r>
                        <w:rPr>
                          <w:color w:val="333333"/>
                          <w:szCs w:val="24"/>
                        </w:rPr>
                        <w:t xml:space="preserve"> </w:t>
                      </w:r>
                    </w:p>
                    <w:sdt>
                      <w:sdtPr>
                        <w:alias w:val="citata"/>
                        <w:tag w:val="part_ec06cff1fccc49b0836047f39d9d4c6b"/>
                        <w:lock w:val="sdtLocked"/>
                        <w:richText/>
                      </w:sdtPr>
                      <w:sdtContent>
                        <w:sdt>
                          <w:sdtPr>
                            <w:alias w:val="16-4 d."/>
                            <w:tag w:val="part_f94785c6fb3b4b5e8cbb9c3a6de46527"/>
                            <w:lock w:val="sdtLocked"/>
                            <w:richText/>
                          </w:sdtPr>
                          <w:sdtContent>
                            <w:p>
                              <w:pPr>
                                <w:suppressAutoHyphens/>
                                <w:spacing w:line="276" w:lineRule="auto"/>
                                <w:ind w:firstLine="720"/>
                                <w:jc w:val="both"/>
                              </w:pPr>
                              <w:r>
                                <w:rPr>
                                  <w:color w:val="000000"/>
                                  <w:szCs w:val="24"/>
                                  <w:lang w:eastAsia="en-GB"/>
                                </w:rPr>
                                <w:t>„</w:t>
                              </w:r>
                              <w:sdt>
                                <w:sdtPr>
                                  <w:alias w:val="Numeris"/>
                                  <w:tag w:val="nr_f94785c6fb3b4b5e8cbb9c3a6de46527"/>
                                  <w:lock w:val="sdtLocked"/>
                                  <w:richText/>
                                </w:sdtPr>
                                <w:sdtContent>
                                  <w:r>
                                    <w:rPr>
                                      <w:color w:val="000000"/>
                                      <w:szCs w:val="24"/>
                                      <w:lang w:eastAsia="en-GB"/>
                                    </w:rPr>
                                    <w:t>16</w:t>
                                  </w:r>
                                  <w:r>
                                    <w:rPr>
                                      <w:color w:val="000000"/>
                                      <w:szCs w:val="24"/>
                                      <w:vertAlign w:val="superscript"/>
                                      <w:lang w:eastAsia="en-GB"/>
                                    </w:rPr>
                                    <w:t>4</w:t>
                                  </w:r>
                                </w:sdtContent>
                              </w:sdt>
                              <w:r>
                                <w:rPr>
                                  <w:color w:val="000000"/>
                                  <w:szCs w:val="24"/>
                                  <w:lang w:eastAsia="en-GB"/>
                                </w:rPr>
                                <w:t xml:space="preserve">. </w:t>
                              </w:r>
                              <w:r>
                                <w:rPr>
                                  <w:color w:val="333333"/>
                                  <w:szCs w:val="24"/>
                                </w:rPr>
                                <w:t xml:space="preserve">2023 m. rugsėjo 13 d. </w:t>
                              </w:r>
                              <w:r>
                                <w:rPr>
                                  <w:szCs w:val="24"/>
                                </w:rPr>
                                <w:t xml:space="preserve">Europos Parlamento ir Tarybos reglamentas </w:t>
                              </w:r>
                              <w:fldSimple w:instr="HYPERLINK http://eur-lex.europa.eu/legal-content/LIT/TXT/?uri=CELEX:32023R1805&amp;locale=lt \t _blank">
                                <w:r>
                                  <w:rPr>
                                    <w:szCs w:val="24"/>
                                    <w:u w:val="single"/>
                                    <w:color w:val="0000FF" w:themeColor="hyperlink"/>
                                  </w:rPr>
                                  <w:t>(ES) 2023/1805</w:t>
                                </w:r>
                              </w:fldSimple>
                              <w:r>
                                <w:rPr>
                                  <w:szCs w:val="24"/>
                                </w:rPr>
                                <w:t> </w:t>
                              </w:r>
                              <w:r>
                                <w:rPr>
                                  <w:color w:val="333333"/>
                                  <w:szCs w:val="24"/>
                                </w:rPr>
                                <w:t xml:space="preserve">dėl atsinaujinančiųjų energijos išteklių ir mažo anglies dioksido pėdsako kuro naudojimo jūrų transporto sektoriuje, kuriuo iš dalies keičiama Direktyva </w:t>
                              </w:r>
                              <w:fldSimple w:instr="HYPERLINK http://eur-lex.europa.eu/legal-content/LIT/TXT/?uri=CELEX:32009L0016&amp;locale=lt \t _blank">
                                <w:r>
                                  <w:rPr>
                                    <w:color w:val="0000FF" w:themeColor="hyperlink"/>
                                    <w:szCs w:val="24"/>
                                    <w:u w:val="single"/>
                                  </w:rPr>
                                  <w:t>2009/16/EB</w:t>
                                </w:r>
                              </w:fldSimple>
                              <w:r>
                                <w:rPr>
                                  <w:color w:val="333333"/>
                                  <w:szCs w:val="24"/>
                                </w:rPr>
                                <w:t>.</w:t>
                              </w:r>
                              <w:r>
                                <w:rPr>
                                  <w:color w:val="000000"/>
                                  <w:szCs w:val="24"/>
                                </w:rPr>
                                <w:t>“</w:t>
                              </w:r>
                            </w:p>
                          </w:sdtContent>
                        </w:sdt>
                      </w:sdtContent>
                    </w:sdt>
                  </w:sdtContent>
                </w:sdt>
                <w:sdt>
                  <w:sdtPr>
                    <w:alias w:val="15 str. 6 d."/>
                    <w:tag w:val="part_e458af54fd614561a4c6e676eec78f68"/>
                    <w:lock w:val="sdtLocked"/>
                    <w:richText/>
                  </w:sdtPr>
                  <w:sdtContent>
                    <w:p>
                      <w:pPr>
                        <w:suppressAutoHyphens/>
                        <w:spacing w:line="276" w:lineRule="auto"/>
                        <w:ind w:firstLine="720"/>
                        <w:jc w:val="both"/>
                      </w:pPr>
                      <w:sdt>
                        <w:sdtPr>
                          <w:alias w:val="Numeris"/>
                          <w:tag w:val="nr_e458af54fd614561a4c6e676eec78f68"/>
                          <w:lock w:val="sdtLocked"/>
                          <w:richText/>
                        </w:sdtPr>
                        <w:sdtContent>
                          <w:r>
                            <w:rPr>
                              <w:color w:val="000000"/>
                              <w:szCs w:val="24"/>
                              <w:lang w:eastAsia="en-GB"/>
                            </w:rPr>
                            <w:t>6</w:t>
                          </w:r>
                        </w:sdtContent>
                      </w:sdt>
                      <w:r>
                        <w:rPr>
                          <w:color w:val="000000"/>
                          <w:szCs w:val="24"/>
                          <w:lang w:eastAsia="en-GB"/>
                        </w:rPr>
                        <w:t>. Papildyti Įstatymo priedą 18 punktu:</w:t>
                      </w:r>
                    </w:p>
                    <w:sdt>
                      <w:sdtPr>
                        <w:alias w:val="citata"/>
                        <w:tag w:val="part_d1f1a43c3a9b4e0197e5818512d38ce7"/>
                        <w:lock w:val="sdtLocked"/>
                        <w:richText/>
                      </w:sdtPr>
                      <w:sdtContent>
                        <w:sdt>
                          <w:sdtPr>
                            <w:alias w:val="18 d."/>
                            <w:tag w:val="part_c0041038a8db45e9924d798b50caadf1"/>
                            <w:lock w:val="sdtLocked"/>
                            <w:richText/>
                          </w:sdtPr>
                          <w:sdtContent>
                            <w:p>
                              <w:pPr>
                                <w:shd w:val="clear" w:color="auto" w:fill="FFFFFF"/>
                                <w:suppressAutoHyphens/>
                                <w:spacing w:line="276" w:lineRule="auto"/>
                                <w:ind w:firstLine="720"/>
                                <w:jc w:val="both"/>
                              </w:pPr>
                              <w:r>
                                <w:rPr>
                                  <w:color w:val="000000"/>
                                  <w:szCs w:val="24"/>
                                  <w:lang w:eastAsia="en-GB"/>
                                </w:rPr>
                                <w:t>„</w:t>
                              </w:r>
                              <w:sdt>
                                <w:sdtPr>
                                  <w:alias w:val="Numeris"/>
                                  <w:tag w:val="nr_c0041038a8db45e9924d798b50caadf1"/>
                                  <w:lock w:val="sdtLocked"/>
                                  <w:richText/>
                                </w:sdtPr>
                                <w:sdtContent>
                                  <w:r>
                                    <w:rPr>
                                      <w:color w:val="000000"/>
                                      <w:szCs w:val="24"/>
                                      <w:lang w:eastAsia="en-GB"/>
                                    </w:rPr>
                                    <w:t>18</w:t>
                                  </w:r>
                                </w:sdtContent>
                              </w:sdt>
                              <w:r>
                                <w:rPr>
                                  <w:color w:val="000000"/>
                                  <w:szCs w:val="24"/>
                                  <w:lang w:eastAsia="en-GB"/>
                                </w:rPr>
                                <w:t xml:space="preserve">. 2024 m. vasario 7 d. Europos Parlamento ir Tarybos reglamentas </w:t>
                              </w:r>
                              <w:fldSimple w:instr="HYPERLINK http://eur-lex.europa.eu/legal-content/LIT/TXT/?uri=CELEX:32024R0590&amp;locale=lt \t _blank">
                                <w:r>
                                  <w:rPr>
                                    <w:color w:val="0000FF" w:themeColor="hyperlink"/>
                                    <w:szCs w:val="24"/>
                                    <w:lang w:eastAsia="en-GB"/>
                                    <w:u w:val="single"/>
                                  </w:rPr>
                                  <w:t>(ES) 2024/590</w:t>
                                </w:r>
                              </w:fldSimple>
                              <w:r>
                                <w:rPr>
                                  <w:color w:val="000000"/>
                                  <w:szCs w:val="24"/>
                                  <w:lang w:eastAsia="en-GB"/>
                                </w:rPr>
                                <w:t xml:space="preserve"> dėl ozono sluoksnį ardančių medžiagų, kuriuo panaikinamas Reglamentas </w:t>
                              </w:r>
                              <w:fldSimple w:instr="HYPERLINK http://eur-lex.europa.eu/legal-content/LIT/TXT/?uri=CELEX:32009R1005&amp;locale=lt \t _blank">
                                <w:r>
                                  <w:rPr>
                                    <w:color w:val="0000FF" w:themeColor="hyperlink"/>
                                    <w:szCs w:val="24"/>
                                    <w:lang w:eastAsia="en-GB"/>
                                    <w:u w:val="single"/>
                                  </w:rPr>
                                  <w:t>(EB) Nr. 1005/2009</w:t>
                                </w:r>
                              </w:fldSimple>
                              <w:r>
                                <w:rPr>
                                  <w:color w:val="000000"/>
                                  <w:szCs w:val="24"/>
                                  <w:lang w:eastAsia="en-GB"/>
                                </w:rPr>
                                <w:t>.“</w:t>
                              </w:r>
                            </w:p>
                          </w:sdtContent>
                        </w:sdt>
                      </w:sdtContent>
                    </w:sdt>
                  </w:sdtContent>
                </w:sdt>
                <w:sdt>
                  <w:sdtPr>
                    <w:alias w:val="15 str. 7 d."/>
                    <w:tag w:val="part_4bc09899e08a449ca630bc1e81a1c817"/>
                    <w:lock w:val="sdtLocked"/>
                    <w:richText/>
                  </w:sdtPr>
                  <w:sdtContent>
                    <w:p>
                      <w:pPr>
                        <w:suppressAutoHyphens/>
                        <w:spacing w:line="276" w:lineRule="auto"/>
                        <w:ind w:firstLine="720"/>
                        <w:jc w:val="both"/>
                        <w:rPr>
                          <w:color w:val="000000"/>
                          <w:szCs w:val="24"/>
                          <w:lang w:eastAsia="en-GB"/>
                        </w:rPr>
                      </w:pPr>
                      <w:sdt>
                        <w:sdtPr>
                          <w:alias w:val="Numeris"/>
                          <w:tag w:val="nr_4bc09899e08a449ca630bc1e81a1c817"/>
                          <w:lock w:val="sdtLocked"/>
                          <w:richText/>
                        </w:sdtPr>
                        <w:sdtContent>
                          <w:r>
                            <w:rPr>
                              <w:color w:val="000000"/>
                              <w:szCs w:val="24"/>
                              <w:lang w:eastAsia="en-GB"/>
                            </w:rPr>
                            <w:t>7</w:t>
                          </w:r>
                        </w:sdtContent>
                      </w:sdt>
                      <w:r>
                        <w:rPr>
                          <w:color w:val="000000"/>
                          <w:szCs w:val="24"/>
                          <w:lang w:eastAsia="en-GB"/>
                        </w:rPr>
                        <w:t xml:space="preserve">. Papildyti Įstatymo priedą 19  punktu:</w:t>
                      </w:r>
                    </w:p>
                    <w:sdt>
                      <w:sdtPr>
                        <w:alias w:val="citata"/>
                        <w:tag w:val="part_858e9b0ae1d34812bbfa0f8079864fb0"/>
                        <w:lock w:val="sdtLocked"/>
                        <w:richText/>
                      </w:sdtPr>
                      <w:sdtContent>
                        <w:sdt>
                          <w:sdtPr>
                            <w:alias w:val="19 d."/>
                            <w:tag w:val="part_68afef3ca59d4737b3def4c41ed6dbec"/>
                            <w:lock w:val="sdtLocked"/>
                            <w:richText/>
                          </w:sdtPr>
                          <w:sdtContent>
                            <w:p>
                              <w:pPr>
                                <w:suppressAutoHyphens/>
                                <w:spacing w:line="276" w:lineRule="auto"/>
                                <w:ind w:firstLine="720"/>
                                <w:jc w:val="both"/>
                              </w:pPr>
                              <w:r>
                                <w:rPr>
                                  <w:color w:val="000000"/>
                                  <w:szCs w:val="24"/>
                                  <w:lang w:eastAsia="en-GB"/>
                                </w:rPr>
                                <w:t>„</w:t>
                              </w:r>
                              <w:sdt>
                                <w:sdtPr>
                                  <w:alias w:val="Numeris"/>
                                  <w:tag w:val="nr_68afef3ca59d4737b3def4c41ed6dbec"/>
                                  <w:lock w:val="sdtLocked"/>
                                  <w:richText/>
                                </w:sdtPr>
                                <w:sdtContent>
                                  <w:r>
                                    <w:rPr>
                                      <w:color w:val="000000"/>
                                      <w:szCs w:val="24"/>
                                      <w:lang w:eastAsia="en-GB"/>
                                    </w:rPr>
                                    <w:t>19</w:t>
                                  </w:r>
                                </w:sdtContent>
                              </w:sdt>
                              <w:r>
                                <w:rPr>
                                  <w:color w:val="000000"/>
                                  <w:szCs w:val="24"/>
                                  <w:lang w:eastAsia="en-GB"/>
                                </w:rPr>
                                <w:t xml:space="preserve">. </w:t>
                              </w:r>
                              <w:r>
                                <w:rPr>
                                  <w:color w:val="000000"/>
                                  <w:szCs w:val="24"/>
                                </w:rPr>
                                <w:t xml:space="preserve">2024 m. balandžio 11 d Europos Parlamento ir Tarybos reglamento </w:t>
                              </w:r>
                              <w:fldSimple w:instr="HYPERLINK http://eur-lex.europa.eu/legal-content/LIT/TXT/?uri=CELEX:32024R1157&amp;locale=lt \t _blank">
                                <w:r>
                                  <w:rPr>
                                    <w:color w:val="0000FF" w:themeColor="hyperlink"/>
                                    <w:szCs w:val="24"/>
                                    <w:u w:val="single"/>
                                  </w:rPr>
                                  <w:t>(ES) 2024/1157</w:t>
                                </w:r>
                              </w:fldSimple>
                              <w:r>
                                <w:rPr>
                                  <w:color w:val="000000"/>
                                  <w:szCs w:val="24"/>
                                </w:rPr>
                                <w:t xml:space="preserve"> dėl atliekų vežimo, kuriuo iš dalies keičiami reglamentai </w:t>
                              </w:r>
                              <w:fldSimple w:instr="HYPERLINK http://eur-lex.europa.eu/legal-content/LIT/TXT/?uri=CELEX:32013R1257&amp;locale=lt \t _blank">
                                <w:r>
                                  <w:rPr>
                                    <w:color w:val="0000FF" w:themeColor="hyperlink"/>
                                    <w:szCs w:val="24"/>
                                    <w:u w:val="single"/>
                                  </w:rPr>
                                  <w:t>(ES) Nr. 1257/2013</w:t>
                                </w:r>
                              </w:fldSimple>
                              <w:r>
                                <w:rPr>
                                  <w:color w:val="000000"/>
                                  <w:szCs w:val="24"/>
                                </w:rPr>
                                <w:t xml:space="preserve"> ir </w:t>
                              </w:r>
                              <w:fldSimple w:instr="HYPERLINK http://eur-lex.europa.eu/legal-content/LIT/TXT/?uri=CELEX:32020R1056&amp;locale=lt \t _blank">
                                <w:r>
                                  <w:rPr>
                                    <w:color w:val="0000FF" w:themeColor="hyperlink"/>
                                    <w:szCs w:val="24"/>
                                    <w:u w:val="single"/>
                                  </w:rPr>
                                  <w:t>(ES) 2020/1056</w:t>
                                </w:r>
                              </w:fldSimple>
                              <w:r>
                                <w:rPr>
                                  <w:color w:val="000000"/>
                                  <w:szCs w:val="24"/>
                                </w:rPr>
                                <w:t xml:space="preserve"> ir panaikinamas Reglamentas </w:t>
                              </w:r>
                              <w:fldSimple w:instr="HYPERLINK http://eur-lex.europa.eu/legal-content/LIT/TXT/?uri=CELEX:32006R1013&amp;locale=lt \t _blank">
                                <w:r>
                                  <w:rPr>
                                    <w:color w:val="0000FF" w:themeColor="hyperlink"/>
                                    <w:szCs w:val="24"/>
                                    <w:u w:val="single"/>
                                  </w:rPr>
                                  <w:t>(EB) Nr. 1013/2006</w:t>
                                </w:r>
                              </w:fldSimple>
                              <w:r>
                                <w:rPr>
                                  <w:color w:val="000000"/>
                                  <w:szCs w:val="24"/>
                                </w:rPr>
                                <w:t>.“</w:t>
                              </w:r>
                            </w:p>
                          </w:sdtContent>
                        </w:sdt>
                      </w:sdtContent>
                    </w:sdt>
                  </w:sdtContent>
                </w:sdt>
                <w:sdt>
                  <w:sdtPr>
                    <w:alias w:val="15 str. 8 d."/>
                    <w:tag w:val="part_ff80d36f1d8d439a9c53420f66500e7f"/>
                    <w:lock w:val="sdtLocked"/>
                    <w:richText/>
                  </w:sdtPr>
                  <w:sdtContent>
                    <w:p>
                      <w:pPr>
                        <w:suppressAutoHyphens/>
                        <w:spacing w:line="276" w:lineRule="auto"/>
                        <w:ind w:firstLine="720"/>
                        <w:jc w:val="both"/>
                      </w:pPr>
                      <w:sdt>
                        <w:sdtPr>
                          <w:alias w:val="Numeris"/>
                          <w:tag w:val="nr_ff80d36f1d8d439a9c53420f66500e7f"/>
                          <w:lock w:val="sdtLocked"/>
                          <w:richText/>
                        </w:sdtPr>
                        <w:sdtContent>
                          <w:r>
                            <w:rPr>
                              <w:color w:val="333333"/>
                              <w:szCs w:val="24"/>
                            </w:rPr>
                            <w:t>8</w:t>
                          </w:r>
                        </w:sdtContent>
                      </w:sdt>
                      <w:r>
                        <w:rPr>
                          <w:color w:val="333333"/>
                          <w:szCs w:val="24"/>
                        </w:rPr>
                        <w:t xml:space="preserve">. </w:t>
                      </w:r>
                      <w:r>
                        <w:rPr>
                          <w:color w:val="000000"/>
                          <w:szCs w:val="24"/>
                        </w:rPr>
                        <w:t xml:space="preserve">Papildyti Įstatymo priedą </w:t>
                      </w:r>
                      <w:r>
                        <w:rPr>
                          <w:color w:val="000000"/>
                          <w:szCs w:val="24"/>
                          <w:lang w:eastAsia="en-GB"/>
                        </w:rPr>
                        <w:t>20</w:t>
                      </w:r>
                      <w:r>
                        <w:rPr>
                          <w:color w:val="000000"/>
                          <w:szCs w:val="24"/>
                        </w:rPr>
                        <w:t xml:space="preserve"> punktu:</w:t>
                      </w:r>
                      <w:r>
                        <w:rPr>
                          <w:color w:val="333333"/>
                          <w:szCs w:val="24"/>
                        </w:rPr>
                        <w:t xml:space="preserve"> </w:t>
                      </w:r>
                    </w:p>
                    <w:sdt>
                      <w:sdtPr>
                        <w:alias w:val="citata"/>
                        <w:tag w:val="part_c4d9225fa94d4ac28908d5e5f2cb3509"/>
                        <w:lock w:val="sdtLocked"/>
                        <w:richText/>
                      </w:sdtPr>
                      <w:sdtContent>
                        <w:sdt>
                          <w:sdtPr>
                            <w:alias w:val="20 d."/>
                            <w:tag w:val="part_f481c460cde041f0aa5da5072114a442"/>
                            <w:lock w:val="sdtLocked"/>
                            <w:richText/>
                          </w:sdtPr>
                          <w:sdtContent>
                            <w:p>
                              <w:pPr>
                                <w:suppressAutoHyphens/>
                                <w:spacing w:line="276" w:lineRule="auto"/>
                                <w:ind w:firstLine="720"/>
                                <w:jc w:val="both"/>
                              </w:pPr>
                              <w:r>
                                <w:rPr>
                                  <w:color w:val="000000"/>
                                  <w:szCs w:val="24"/>
                                  <w:lang w:eastAsia="en-GB"/>
                                </w:rPr>
                                <w:t>„</w:t>
                              </w:r>
                              <w:sdt>
                                <w:sdtPr>
                                  <w:alias w:val="Numeris"/>
                                  <w:tag w:val="nr_f481c460cde041f0aa5da5072114a442"/>
                                  <w:lock w:val="sdtLocked"/>
                                  <w:richText/>
                                </w:sdtPr>
                                <w:sdtContent>
                                  <w:r>
                                    <w:rPr>
                                      <w:color w:val="000000"/>
                                      <w:szCs w:val="24"/>
                                      <w:lang w:eastAsia="en-GB"/>
                                    </w:rPr>
                                    <w:t>20</w:t>
                                  </w:r>
                                </w:sdtContent>
                              </w:sdt>
                              <w:r>
                                <w:rPr>
                                  <w:color w:val="000000"/>
                                  <w:szCs w:val="24"/>
                                  <w:lang w:eastAsia="en-GB"/>
                                </w:rPr>
                                <w:t xml:space="preserve">. </w:t>
                              </w:r>
                              <w:r>
                                <w:rPr>
                                  <w:szCs w:val="24"/>
                                </w:rPr>
                                <w:t xml:space="preserve">2024 m. balandžio 11 d. Europos Parlamento ir Tarybos Direktyvos </w:t>
                              </w:r>
                              <w:fldSimple w:instr="HYPERLINK http://eur-lex.europa.eu/legal-content/LIT/TXT/?uri=CELEX:32024L1203&amp;locale=lt \t _blank">
                                <w:r>
                                  <w:rPr>
                                    <w:szCs w:val="24"/>
                                    <w:u w:val="single"/>
                                    <w:color w:val="0000FF" w:themeColor="hyperlink"/>
                                  </w:rPr>
                                  <w:t>(ES) 2024/1203</w:t>
                                </w:r>
                              </w:fldSimple>
                              <w:r>
                                <w:rPr>
                                  <w:szCs w:val="24"/>
                                </w:rPr>
                                <w:t xml:space="preserve"> dėl aplinkos apsaugos baudžiamosios teisės priemonėmis, kuria pakeičiamos direktyvos </w:t>
                              </w:r>
                              <w:fldSimple w:instr="HYPERLINK http://eur-lex.europa.eu/legal-content/LIT/TXT/?uri=CELEX:32008L0099&amp;locale=lt \t _blank">
                                <w:r>
                                  <w:rPr>
                                    <w:szCs w:val="24"/>
                                    <w:u w:val="single"/>
                                    <w:color w:val="0000FF" w:themeColor="hyperlink"/>
                                  </w:rPr>
                                  <w:t>2008/99/EB</w:t>
                                </w:r>
                              </w:fldSimple>
                              <w:r>
                                <w:rPr>
                                  <w:szCs w:val="24"/>
                                </w:rPr>
                                <w:t xml:space="preserve"> ir </w:t>
                              </w:r>
                              <w:fldSimple w:instr="HYPERLINK http://eur-lex.europa.eu/legal-content/LIT/TXT/?uri=CELEX:32009L0123&amp;locale=lt \t _blank">
                                <w:r>
                                  <w:rPr>
                                    <w:szCs w:val="24"/>
                                    <w:u w:val="single"/>
                                    <w:color w:val="0000FF" w:themeColor="hyperlink"/>
                                  </w:rPr>
                                  <w:t>2009/123/EB</w:t>
                                </w:r>
                              </w:fldSimple>
                              <w:r>
                                <w:rPr>
                                  <w:color w:val="333333"/>
                                  <w:szCs w:val="24"/>
                                </w:rPr>
                                <w:t>.</w:t>
                              </w:r>
                              <w:r>
                                <w:rPr>
                                  <w:color w:val="000000"/>
                                  <w:szCs w:val="24"/>
                                </w:rPr>
                                <w:t>“</w:t>
                              </w:r>
                            </w:p>
                            <w:p>
                              <w:pPr>
                                <w:suppressAutoHyphens/>
                                <w:spacing w:line="276" w:lineRule="auto"/>
                                <w:ind w:firstLine="720"/>
                                <w:jc w:val="both"/>
                                <w:rPr>
                                  <w:b/>
                                  <w:bCs/>
                                  <w:color w:val="000000"/>
                                  <w:szCs w:val="24"/>
                                  <w:lang w:eastAsia="en-GB"/>
                                </w:rPr>
                              </w:pPr>
                            </w:p>
                          </w:sdtContent>
                        </w:sdt>
                      </w:sdtContent>
                    </w:sdt>
                  </w:sdtContent>
                </w:sdt>
              </w:sdtContent>
            </w:sdt>
            <w:sdt>
              <w:sdtPr>
                <w:alias w:val="16 str."/>
                <w:tag w:val="part_84b0015b67944d458070b366e7c98027"/>
                <w:lock w:val="sdtLocked"/>
                <w:richText/>
              </w:sdtPr>
              <w:sdtContent>
                <w:p>
                  <w:pPr>
                    <w:tabs>
                      <w:tab w:val="left" w:pos="851"/>
                    </w:tabs>
                    <w:suppressAutoHyphens/>
                    <w:spacing w:line="276" w:lineRule="auto"/>
                    <w:ind w:firstLine="720"/>
                    <w:jc w:val="both"/>
                  </w:pPr>
                  <w:sdt>
                    <w:sdtPr>
                      <w:alias w:val="Numeris"/>
                      <w:tag w:val="nr_84b0015b67944d458070b366e7c98027"/>
                      <w:lock w:val="sdtLocked"/>
                      <w:richText/>
                    </w:sdtPr>
                    <w:sdtContent>
                      <w:r>
                        <w:rPr>
                          <w:b/>
                          <w:bCs/>
                          <w:color w:val="000000"/>
                          <w:szCs w:val="24"/>
                        </w:rPr>
                        <w:t>16</w:t>
                      </w:r>
                    </w:sdtContent>
                  </w:sdt>
                  <w:r>
                    <w:rPr>
                      <w:b/>
                      <w:bCs/>
                      <w:color w:val="000000"/>
                      <w:szCs w:val="24"/>
                    </w:rPr>
                    <w:t xml:space="preserve"> straipsnis. </w:t>
                  </w:r>
                  <w:sdt>
                    <w:sdtPr>
                      <w:alias w:val="Pavadinimas"/>
                      <w:tag w:val="title_84b0015b67944d458070b366e7c98027"/>
                      <w:lock w:val="sdtLocked"/>
                      <w:richText/>
                    </w:sdtPr>
                    <w:sdtContent>
                      <w:r>
                        <w:rPr>
                          <w:b/>
                          <w:bCs/>
                          <w:color w:val="000000"/>
                          <w:szCs w:val="24"/>
                        </w:rPr>
                        <w:t xml:space="preserve">Įstatymo įsigaliojimas, įgyvendinimas ir taikymas </w:t>
                      </w:r>
                    </w:sdtContent>
                  </w:sdt>
                </w:p>
                <w:sdt>
                  <w:sdtPr>
                    <w:alias w:val="16 str. 1 d."/>
                    <w:tag w:val="part_cd3322912e694e4fafb95e7aacdb0155"/>
                    <w:lock w:val="sdtLocked"/>
                    <w:richText/>
                  </w:sdtPr>
                  <w:sdtContent>
                    <w:p>
                      <w:pPr>
                        <w:suppressAutoHyphens/>
                        <w:spacing w:line="276" w:lineRule="auto"/>
                        <w:ind w:firstLine="720"/>
                        <w:jc w:val="both"/>
                      </w:pPr>
                      <w:sdt>
                        <w:sdtPr>
                          <w:alias w:val="Numeris"/>
                          <w:tag w:val="nr_cd3322912e694e4fafb95e7aacdb0155"/>
                          <w:lock w:val="sdtLocked"/>
                          <w:richText/>
                        </w:sdtPr>
                        <w:sdtContent>
                          <w:r>
                            <w:rPr>
                              <w:color w:val="000000"/>
                              <w:szCs w:val="24"/>
                            </w:rPr>
                            <w:t>1</w:t>
                          </w:r>
                        </w:sdtContent>
                      </w:sdt>
                      <w:r>
                        <w:rPr>
                          <w:color w:val="000000"/>
                          <w:szCs w:val="24"/>
                        </w:rPr>
                        <w:t xml:space="preserve">. Šis įstatymas, išskyrus 3, 6, 10, 11 ir 13 straipsnius, įsigalioja 2025 m.  lapkričio 1 d.</w:t>
                      </w:r>
                    </w:p>
                  </w:sdtContent>
                </w:sdt>
                <w:sdt>
                  <w:sdtPr>
                    <w:alias w:val="16 str. 2 d."/>
                    <w:tag w:val="part_acd5c6f80bf04b74a38da752d4fa1560"/>
                    <w:lock w:val="sdtLocked"/>
                    <w:richText/>
                  </w:sdtPr>
                  <w:sdtContent>
                    <w:p>
                      <w:pPr>
                        <w:suppressAutoHyphens/>
                        <w:spacing w:line="276" w:lineRule="auto"/>
                        <w:ind w:firstLine="720"/>
                        <w:jc w:val="both"/>
                        <w:rPr>
                          <w:color w:val="000000"/>
                          <w:szCs w:val="24"/>
                        </w:rPr>
                      </w:pPr>
                      <w:sdt>
                        <w:sdtPr>
                          <w:alias w:val="Numeris"/>
                          <w:tag w:val="nr_acd5c6f80bf04b74a38da752d4fa1560"/>
                          <w:lock w:val="sdtLocked"/>
                          <w:richText/>
                        </w:sdtPr>
                        <w:sdtContent>
                          <w:r>
                            <w:rPr>
                              <w:color w:val="000000"/>
                              <w:szCs w:val="24"/>
                            </w:rPr>
                            <w:t>2</w:t>
                          </w:r>
                        </w:sdtContent>
                      </w:sdt>
                      <w:r>
                        <w:rPr>
                          <w:color w:val="000000"/>
                          <w:szCs w:val="24"/>
                        </w:rPr>
                        <w:t>. Šio įstatymo 3, 11 ir 13 straipsniai įsigalioja 2026 m. sausio 1 d.</w:t>
                      </w:r>
                    </w:p>
                  </w:sdtContent>
                </w:sdt>
                <w:sdt>
                  <w:sdtPr>
                    <w:alias w:val="16 str. 3 d."/>
                    <w:tag w:val="part_706354344096463395f2fdb218bb0b32"/>
                    <w:lock w:val="sdtLocked"/>
                    <w:richText/>
                  </w:sdtPr>
                  <w:sdtContent>
                    <w:p>
                      <w:pPr>
                        <w:suppressAutoHyphens/>
                        <w:spacing w:line="276" w:lineRule="auto"/>
                        <w:ind w:firstLine="720"/>
                        <w:jc w:val="both"/>
                        <w:rPr>
                          <w:color w:val="000000"/>
                          <w:szCs w:val="24"/>
                        </w:rPr>
                      </w:pPr>
                      <w:sdt>
                        <w:sdtPr>
                          <w:alias w:val="Numeris"/>
                          <w:tag w:val="nr_706354344096463395f2fdb218bb0b32"/>
                          <w:lock w:val="sdtLocked"/>
                          <w:richText/>
                        </w:sdtPr>
                        <w:sdtContent>
                          <w:r>
                            <w:rPr>
                              <w:color w:val="000000"/>
                              <w:szCs w:val="24"/>
                            </w:rPr>
                            <w:t>3</w:t>
                          </w:r>
                        </w:sdtContent>
                      </w:sdt>
                      <w:r>
                        <w:rPr>
                          <w:color w:val="000000"/>
                          <w:szCs w:val="24"/>
                        </w:rPr>
                        <w:t>. Šio įstatymo 10 ir 12 straipsniai įsigalioja 2026 m. rugpjūčio 1 d.</w:t>
                      </w:r>
                    </w:p>
                  </w:sdtContent>
                </w:sdt>
                <w:sdt>
                  <w:sdtPr>
                    <w:alias w:val="16 str. 4 d."/>
                    <w:tag w:val="part_00a2e52f94d645508d03e9503d96c518"/>
                    <w:lock w:val="sdtLocked"/>
                    <w:richText/>
                  </w:sdtPr>
                  <w:sdtContent>
                    <w:p>
                      <w:pPr>
                        <w:suppressAutoHyphens/>
                        <w:spacing w:line="276" w:lineRule="auto"/>
                        <w:ind w:firstLine="720"/>
                        <w:jc w:val="both"/>
                      </w:pPr>
                      <w:sdt>
                        <w:sdtPr>
                          <w:alias w:val="Numeris"/>
                          <w:tag w:val="nr_00a2e52f94d645508d03e9503d96c518"/>
                          <w:lock w:val="sdtLocked"/>
                          <w:richText/>
                        </w:sdtPr>
                        <w:sdtContent>
                          <w:r>
                            <w:rPr>
                              <w:color w:val="000000"/>
                              <w:szCs w:val="24"/>
                            </w:rPr>
                            <w:t>4</w:t>
                          </w:r>
                        </w:sdtContent>
                      </w:sdt>
                      <w:r>
                        <w:rPr>
                          <w:color w:val="000000"/>
                          <w:szCs w:val="24"/>
                        </w:rPr>
                        <w:t>. Šio įstatymo  6 straipsnis įsigalioja 2026 m. gegužės 21 d.</w:t>
                      </w:r>
                    </w:p>
                  </w:sdtContent>
                </w:sdt>
                <w:sdt>
                  <w:sdtPr>
                    <w:alias w:val="16 str. 5 d."/>
                    <w:tag w:val="part_c68a488ff0104a29afed7245bb9582c2"/>
                    <w:lock w:val="sdtLocked"/>
                    <w:richText/>
                  </w:sdtPr>
                  <w:sdtContent>
                    <w:p>
                      <w:pPr>
                        <w:suppressAutoHyphens/>
                        <w:spacing w:line="276" w:lineRule="auto"/>
                        <w:ind w:firstLine="720"/>
                        <w:jc w:val="both"/>
                      </w:pPr>
                      <w:sdt>
                        <w:sdtPr>
                          <w:alias w:val="Numeris"/>
                          <w:tag w:val="nr_c68a488ff0104a29afed7245bb9582c2"/>
                          <w:lock w:val="sdtLocked"/>
                          <w:richText/>
                        </w:sdtPr>
                        <w:sdtContent>
                          <w:r>
                            <w:rPr>
                              <w:color w:val="000000"/>
                              <w:szCs w:val="24"/>
                            </w:rPr>
                            <w:t>5</w:t>
                          </w:r>
                        </w:sdtContent>
                      </w:sdt>
                      <w:r>
                        <w:rPr>
                          <w:color w:val="000000"/>
                          <w:szCs w:val="24"/>
                        </w:rPr>
                        <w:t xml:space="preserve">. Lietuvos Respublikos Vyriausybė iki 2025 m.  spalio 31 d. priima šio įstatymo įgyvendinamąjį teisės aktą.</w:t>
                      </w:r>
                    </w:p>
                  </w:sdtContent>
                </w:sdt>
                <w:sdt>
                  <w:sdtPr>
                    <w:alias w:val="16 str. 6 d."/>
                    <w:tag w:val="part_9966d3e60ac24594a2a340f88ad8f5cc"/>
                    <w:lock w:val="sdtLocked"/>
                    <w:richText/>
                  </w:sdtPr>
                  <w:sdtContent>
                    <w:p>
                      <w:pPr>
                        <w:suppressAutoHyphens/>
                        <w:spacing w:line="276" w:lineRule="auto"/>
                        <w:ind w:firstLine="720"/>
                        <w:jc w:val="both"/>
                      </w:pPr>
                      <w:sdt>
                        <w:sdtPr>
                          <w:alias w:val="Numeris"/>
                          <w:tag w:val="nr_9966d3e60ac24594a2a340f88ad8f5cc"/>
                          <w:lock w:val="sdtLocked"/>
                          <w:richText/>
                        </w:sdtPr>
                        <w:sdtContent>
                          <w:r>
                            <w:rPr>
                              <w:szCs w:val="24"/>
                            </w:rPr>
                            <w:t>6</w:t>
                          </w:r>
                        </w:sdtContent>
                      </w:sdt>
                      <w:r>
                        <w:rPr>
                          <w:szCs w:val="24"/>
                        </w:rPr>
                        <w:t xml:space="preserve">. Iki 2026 m. liepos 31 d. pradėtos </w:t>
                      </w:r>
                      <w:r>
                        <w:rPr>
                          <w:color w:val="000000"/>
                          <w:szCs w:val="24"/>
                        </w:rPr>
                        <w:t xml:space="preserve">atsakomybės už Lietuvos Respublikos aplinkos apsaugos įstatymo </w:t>
                      </w:r>
                      <w:r>
                        <w:rPr>
                          <w:color w:val="000000"/>
                          <w:szCs w:val="24"/>
                          <w:lang w:val="lt"/>
                        </w:rPr>
                        <w:t>110</w:t>
                      </w:r>
                      <w:r>
                        <w:rPr>
                          <w:color w:val="000000"/>
                          <w:szCs w:val="24"/>
                          <w:vertAlign w:val="superscript"/>
                          <w:lang w:val="lt"/>
                        </w:rPr>
                        <w:t>2</w:t>
                      </w:r>
                      <w:r>
                        <w:rPr>
                          <w:color w:val="000000"/>
                          <w:szCs w:val="24"/>
                        </w:rPr>
                        <w:t xml:space="preserve"> straipsnyje nustatytus pažeidimus taikymo procedūros, įskaitant pažeidimų nagrinėjimo ir nuobaudų skyrimo procedūras, baigiamos vadovaujantis iki </w:t>
                      </w:r>
                      <w:r>
                        <w:rPr>
                          <w:szCs w:val="24"/>
                        </w:rPr>
                        <w:t xml:space="preserve">2026 m. liepos 31 d. galiojusiomis </w:t>
                      </w:r>
                      <w:r>
                        <w:rPr>
                          <w:color w:val="000000"/>
                          <w:szCs w:val="24"/>
                        </w:rPr>
                        <w:t xml:space="preserve">šio įstatymo  teisinio reguliavimo nuostatomis.</w:t>
                      </w:r>
                    </w:p>
                    <w:p>
                      <w:pPr>
                        <w:suppressAutoHyphens/>
                        <w:spacing w:line="276" w:lineRule="auto"/>
                        <w:jc w:val="both"/>
                        <w:rPr>
                          <w:i/>
                          <w:szCs w:val="24"/>
                        </w:rPr>
                      </w:pPr>
                    </w:p>
                    <w:p>
                      <w:pPr>
                        <w:suppressAutoHyphens/>
                        <w:spacing w:line="276" w:lineRule="auto"/>
                        <w:jc w:val="both"/>
                        <w:rPr>
                          <w:i/>
                          <w:szCs w:val="24"/>
                        </w:rPr>
                      </w:pPr>
                    </w:p>
                  </w:sdtContent>
                </w:sdt>
              </w:sdtContent>
            </w:sdt>
          </w:sdtContent>
        </w:sdt>
        <w:sdt>
          <w:sdtPr>
            <w:alias w:val="signatura"/>
            <w:tag w:val="part_f359cf2e8aed4ff9bea58ce99939d5d3"/>
            <w:lock w:val="sdtLocked"/>
            <w:richText/>
          </w:sdtPr>
          <w:sdtContent>
            <w:p>
              <w:pPr>
                <w:suppressAutoHyphens/>
                <w:spacing w:line="276" w:lineRule="auto"/>
                <w:jc w:val="both"/>
                <w:rPr>
                  <w:i/>
                  <w:szCs w:val="24"/>
                </w:rPr>
              </w:pPr>
              <w:r>
                <w:rPr>
                  <w:i/>
                  <w:szCs w:val="24"/>
                </w:rPr>
                <w:t>Skelbiu šį Lietuvos Respublikos Seimo priimtą įstatymą.</w:t>
              </w:r>
            </w:p>
            <w:p>
              <w:pPr>
                <w:suppressAutoHyphens/>
                <w:spacing w:line="276" w:lineRule="auto"/>
                <w:jc w:val="both"/>
                <w:rPr>
                  <w:i/>
                  <w:szCs w:val="24"/>
                </w:rPr>
              </w:pPr>
            </w:p>
            <w:p>
              <w:pPr>
                <w:tabs>
                  <w:tab w:val="right" w:pos="9356"/>
                </w:tabs>
                <w:suppressAutoHyphens/>
                <w:spacing w:line="276" w:lineRule="auto"/>
                <w:ind w:left="142" w:hanging="142"/>
                <w:rPr>
                  <w:szCs w:val="24"/>
                </w:rPr>
              </w:pPr>
            </w:p>
            <w:p>
              <w:pPr>
                <w:tabs>
                  <w:tab w:val="right" w:pos="9356"/>
                </w:tabs>
                <w:suppressAutoHyphens/>
                <w:spacing w:line="276" w:lineRule="auto"/>
                <w:ind w:left="142" w:hanging="142"/>
              </w:pPr>
              <w:r>
                <w:rPr>
                  <w:szCs w:val="24"/>
                  <w:lang w:val="en-US"/>
                </w:rPr>
                <w:t>Respublikos Prezidentas</w:t>
              </w:r>
            </w:p>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pgMar w:top="709" w:right="851" w:bottom="1134" w:left="1701" w:header="706" w:footer="706"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endnote>
  <w:endnote w:type="continuationSeparator" w:id="0">
    <w:p>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rPr>
          <w:color w:val="000000"/>
        </w:rPr>
        <w:separator/>
      </w:r>
    </w:p>
  </w:footnote>
  <w:footnote w:type="continuationSeparator" w:id="0">
    <w:p>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jc w:val="center"/>
    </w:pPr>
    <w:r>
      <w:fldChar w:fldCharType="begin"/>
    </w:r>
    <w:r>
      <w:instrText>PAGE   \* MERGEFORMAT</w:instrText>
    </w:r>
    <w:r>
      <w:fldChar w:fldCharType="separate"/>
    </w:r>
    <w:r>
      <w:t>2</w:t>
    </w:r>
    <w:r>
      <w:fldChar w:fldCharType="end"/>
    </w:r>
  </w:p>
  <w:p>
    <w:pPr>
      <w:tabs>
        <w:tab w:val="center" w:pos="4153"/>
        <w:tab w:val="right" w:pos="8306"/>
      </w:tabs>
      <w:suppressAutoHyphen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63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12AE33ED-3DE1-4F06-B354-4D732ACEB50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_Flow_SignoffStatus xmlns="f5aad5d0-9c26-490e-8743-a6c7ceabd501" xsi:nil="true"/>
    <lcf76f155ced4ddcb4097134ff3c332f xmlns="f5aad5d0-9c26-490e-8743-a6c7ceabd50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eeb721f4efddd2f5ae96ea1bf450421d">
  <xsd:schema xmlns:xsd="http://www.w3.org/2001/XMLSchema" xmlns:xs="http://www.w3.org/2001/XMLSchema" xmlns:p="http://schemas.microsoft.com/office/2006/metadata/properties" xmlns:ns2="19cf09c5-daa1-4028-a0ff-74a0be4ec5cc" xmlns:ns3="f5aad5d0-9c26-490e-8743-a6c7ceabd501" targetNamespace="http://schemas.microsoft.com/office/2006/metadata/properties" ma:root="true" ma:fieldsID="d02cc487d103c2f8f08ac2b497f33df8" ns2:_="" ns3:_="">
    <xsd:import namespace="19cf09c5-daa1-4028-a0ff-74a0be4ec5cc"/>
    <xsd:import namespace="f5aad5d0-9c26-490e-8743-a6c7ceabd50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_Flow_SignoffStatus" minOccurs="0"/>
                <xsd:element ref="ns3:MediaServiceDateTaken"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80311e4-4963-4d7c-9e39-8ca237d581ef}"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_Flow_SignoffStatus" ma:index="21" nillable="true" ma:displayName="Sign-off status" ma:internalName="Sign_x002d_off_x0020_status">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69b43abf437b4fc2a2e292bfb729239d" PartId="a34fcbd8b36445fa84740e7dccc6e4ee">
    <Part Type="skirsnis" Title="LIETUVOS RESPUBLIKOS APLINKOS APSAUGOS ĮSTATYMO NR. I-2223 1, 37, 40¹, 47, 87, 109¹, 110, 122⁴ STRAIPSNIŲ IR PRIEDO PAKEITIMO, ĮSTATYMO PAPILDYMO 110², 110³, 110⁴, 118² STRAIPSNIAIS  IR 110² STRAIPSNIO PRIPAŽINIMO NETEKUSIU GALIOS ĮSTATYMAS" DocPartId="0d504df4d32a4e9298493a65c81a5139" PartId="d96545c4ccb34dcb8d4e272142784325">
      <Part Type="straipsnis" Nr="1" Abbr="1 str." Title="1 straipsnio pakeitimas" DocPartId="639dab6c281c437fb8b3b45cf0e42367" PartId="49621039765c49a8a60fea6845a5e6c6">
        <Part Type="strDalis" Nr="1" Abbr="1 str. 1 d." DocPartId="da259927c84041e5b6b20a9d0a408677" PartId="428fb66dd0b5468d9ac0066220338232">
          <Part Type="citata" DocPartId="8c93a683849548e790827d5c43edb974" PartId="6e7796731f964980b5fe8b63c0de3d27">
            <Part Type="strPunktas" Nr="38" Abbr="38 p." DocPartId="c898d8da8a2044eab8b446c07e54a3b8" PartId="eda13828fe0d42b7869ee3c75363f367"/>
          </Part>
        </Part>
      </Part>
      <Part Type="straipsnis" Nr="2" Abbr="2 str." Title="37 straipsnio pakeitimas" DocPartId="daa35d053ed64a5fa3755f3750b32426" PartId="176ab85bfad6452ca6113a8e7e96ac72">
        <Part Type="strDalis" Nr="1" Abbr="2 str. 1 d." DocPartId="c5bc5c03113c486fa73c8ec48c6a192e" PartId="4fee005deedd49c6866c45d6737fb55b">
          <Part Type="citata" DocPartId="97956559c3164d52bd2d458204ed66d0" PartId="6de5386be73549859860537e8ad99ce1">
            <Part Type="strPunktas" Nr="1" Abbr="1 p." DocPartId="5a7deddb2608446fac7ae374832b085c" PartId="cfdbed8e25724b0c88e4e923fb2482c7"/>
          </Part>
        </Part>
        <Part Type="strDalis" Nr="2" Abbr="2 str. 2 d." DocPartId="c2f315e089cd4212adaf68a54a5f83c2" PartId="e11c53c78dfb45eea4d0b2a186980e73">
          <Part Type="citata" DocPartId="75e3fe4f363d4b7f814b8c842eb524ff" PartId="79016bd9187443d3b8ec91fb574330de">
            <Part Type="strPunktas" Nr="6" Abbr="6 p." DocPartId="e5822339411c4962a44cf6df8b5a0fdf" PartId="87b094738d9948b4af84e3683419a015"/>
          </Part>
        </Part>
        <Part Type="strDalis" Nr="3" Abbr="2 str. 3 d." DocPartId="79f26515be314fc197be103cbdf265ed" PartId="266eb39bbcc74403bf36042e52f876f3">
          <Part Type="citata" DocPartId="0df081facb7640c0aec7fe29ec3a8124" PartId="3b30367179d74522a83f794cbfb2e5f3">
            <Part Type="strPunktas" Nr="10" Abbr="10 p." DocPartId="2ed0016c62794c1e8b3c0580c0c24216" PartId="81e85b7fb55046419668c121b5f8e9ca"/>
          </Part>
        </Part>
      </Part>
      <Part Type="straipsnis" Nr="3" Abbr="3 str." Title="37 straipsnio pakeitimas" DocPartId="3e087a1a7a6c49c0955ea59131951d36" PartId="65b7983ee236425c83b11d678187d814">
        <Part Type="strDalis" Nr="1" Abbr="3 str. 1 d." DocPartId="91990ae315794d848beef3e93b3ffa2f" PartId="2bfe2d1088a74aea844698cf04c3cafc">
          <Part Type="citata" DocPartId="06bfa99381da4b7abbfbf4c4240376e6" PartId="e73151b10382412992d57469f6efe33d">
            <Part Type="strPunktas" Nr="1" Abbr="1 p." DocPartId="540653fb581f477da94afd580d4567a0" PartId="1f26a701aae24c168d5a0c2b7d060c40"/>
          </Part>
        </Part>
      </Part>
      <Part Type="straipsnis" Nr="4" Abbr="4 str." Title="40¹ straipsnio pakeitimas" DocPartId="60e4b983df9a45f58a51b9a542459165" PartId="d1c16f37dc7244a69947cb3b9c746c6d">
        <Part Type="strDalis" Nr="1" Abbr="4 str. 1 d." DocPartId="8af9f077d2f84ffaa7cb30111cf1adb5" PartId="5cca71260bc3435796c4f2d74b0d4a37">
          <Part Type="citata" DocPartId="78720a1a18cb48078e4f983caca35141" PartId="3e8a68cb750744a78621d5085661d7a2">
            <Part Type="strDalis" Nr="1" Abbr="1 d." DocPartId="a6bd8147c70644b1997a23b7cd4f719a" PartId="844b6335610f43ca93d9e17a90898068"/>
          </Part>
        </Part>
      </Part>
      <Part Type="straipsnis" Nr="5" Abbr="5 str." Title="47 straipsnio pakeitimas" DocPartId="9cdefe311ac74debacf1c20a8e9b0f51" PartId="855e752cc38a49d2b93a9ee9d2aa639d">
        <Part Type="strDalis" Nr="1" Abbr="5 str. 1 d." DocPartId="c20b3d7adfee4957a923e585f08b143f" PartId="364576c348be416da1e4efef085da4a7">
          <Part Type="citata" DocPartId="1169972a3c3c4463ba2faa4e44e5efae" PartId="6e972e47587b4196ae244f73099bf19a">
            <Part Type="straipsnis" Nr="47" Abbr="47 str." Title="Rašytinis įspėjimas" DocPartId="38363d850d73446ba21f5836af60e111" PartId="b935bafbe7804fceaea14798eeed4918">
              <Part Type="strDalis" Nr="1" Abbr="47 str. 1 d." DocPartId="a29501ccfe624ae7b00dd03cc742fb5a" PartId="de7ec39213834e838e7290e62ba89957"/>
              <Part Type="strDalis" Nr="2" Abbr="47 str. 2 d." DocPartId="bcf51beec2c741c7883db4bbc48270c0" PartId="bb61931b22df4d3a921e9d33b636e25e"/>
              <Part Type="strDalis" Nr="3" Abbr="47 str. 3 d." DocPartId="f55e698752564cd3acf4dee87d5d1701" PartId="5b0313eb58ba4fc8b89b98860271c58f"/>
            </Part>
          </Part>
        </Part>
      </Part>
      <Part Type="straipsnis" Nr="6" Abbr="6 str." Title="87 straipsnio pakeitimas" DocPartId="784a6a89a16e438dab409cf31b1614cb" PartId="84f5f98e5bc04d1e8e591b365e6c6d7b">
        <Part Type="strDalis" Nr="1" Abbr="6 str. 1 d." DocPartId="30329fee3257415dbadfdd491c94a12c" PartId="2cdf52a443fd4bb6b02f3dd72ae0c28e">
          <Part Type="citata" DocPartId="ac91b16034d84a1a8c42b6b78785d117" PartId="ca2450793b074d46a4aed11453e361c2">
            <Part Type="straipsnis" Nr="87" Abbr="87 str." Title="Juridinių asmenų atsakomybė už reikalavimų, susijusių su atliekų įvežimu, importu, išvežimu, eksportu, pažeidimą" DocPartId="ccece5aa19174c539882f9ab039c70ed" PartId="2b82c04acbda46f782653c9f83b0d2e7">
              <Part Type="strDalis" Nr="1" Abbr="87 str. 1 d." DocPartId="5c3f8cc2b27d40e88b62a26bab8ad178" PartId="5ad9f631bbcb42549431b5bd9d973497"/>
              <Part Type="strDalis" Nr="2" Abbr="87 str. 2 d." DocPartId="2d9a3c741ea74086beba4b7f469983f4" PartId="e21b5edd1ff94a72b4c8cf38d974b674"/>
              <Part Type="strDalis" Nr="3" Abbr="87 str. 3 d." DocPartId="4456aec93cc647c28e17b7f69cbb6429" PartId="7a1941097e164e139db394011723fd4b"/>
              <Part Type="strDalis" Nr="4" Abbr="87 str. 4 d." DocPartId="666272b5660d43a5a988d0a9c52f27a7" PartId="3ad36ce626ba4a4ca67fe6141c1d69e5"/>
            </Part>
          </Part>
        </Part>
      </Part>
      <Part Type="straipsnis" Nr="7" Abbr="7 str." Title="109¹ straipsnio pakeitimas" DocPartId="e687b81a352640babda4e2e91b7c7e50" PartId="7c2301e698e844c9b63505f443e99921">
        <Part Type="strDalis" Nr="1" Abbr="7 str. 1 d." DocPartId="51ae6c9a6b8141178e8c4978ac49fd1f" PartId="b828f36ff08b41cb8d87e58152b0f8ae">
          <Part Type="citata" DocPartId="0c76b1273b5a44e6a984d3a99687d8e2" PartId="f23875e0e42d4b2488fe14d43629bf0f">
            <Part Type="strDalis" Nr="1" Abbr="1 d." DocPartId="b19ce167f36a43ddbb844118be23bfd8" PartId="2510b1334cd448b3b57fb23defd23485"/>
          </Part>
        </Part>
      </Part>
      <Part Type="straipsnis" Nr="8" Abbr="8 str." Title="110 straipsnio pakeitimas" DocPartId="38ff4df4216e450899d84ce79f38df50" PartId="ccc0213bd7ef45a4bbf031448c9b0859">
        <Part Type="strDalis" Nr="1" Abbr="8 str. 1 d." DocPartId="d50b2294593b46be9e880d42111ad2db" PartId="0e9ab81fed1747d99e4bb265dc70f555">
          <Part Type="citata" DocPartId="5ce6bec551e64180b1eaf64fa9685b15" PartId="0994abd2cc314938a4ef0e1af3cbc71a">
            <Part Type="straipsnis" Nr="110" Abbr="110 str." Title="Juridinių asmenų atsakomybė už ozono sluoksnį ardančių medžiagų ir (arba) produktų ir įrangos, kuriuose yra šių medžiagų arba kurių veikimas nuo jų priklauso, tvarkymo reikalavimų pažeidimą" DocPartId="f297794faef3417b9254f1a329099705" PartId="53a1bba44904467db09514ed0cf54b35">
              <Part Type="strDalis" Nr="1" Abbr="110 str. 1 d." DocPartId="15c7c3722683411593a28238dba243b9" PartId="7c17d15ee1e84a6dbc8e9e01032488be"/>
              <Part Type="strDalis" Nr="2" Abbr="110 str. 2 d." DocPartId="d125520d0b8f49c7a71128ddd07ac8be" PartId="8663f1fafa5547ce87eeab0c9c9452a3"/>
              <Part Type="strDalis" Nr="3" Abbr="110 str. 3 d." DocPartId="28ada7fd983f4160967ee80370849673" PartId="3eab26a616974139ae3c832680bcb348"/>
              <Part Type="strDalis" Nr="4" Abbr="110 str. 4 d." DocPartId="7d4ceac646bf406b842b50c24da0b97a" PartId="da8f0690aa0448d4a509e2b209a93191"/>
              <Part Type="strDalis" Nr="5" Abbr="110 str. 5 d." DocPartId="35a36625d8b04966b26b36f1e1bfec79" PartId="d27234acf2c74e5d828aa810e9366eb8"/>
              <Part Type="strDalis" Nr="6" Abbr="110 str. 6 d." DocPartId="3c89189c3eda48ccb5ae409111f1141a" PartId="386be8b652ec413eb2a82e27e62f1399"/>
              <Part Type="strDalis" Nr="7" Abbr="110 str. 7 d." DocPartId="95245fc03e424f80b78c25aadb230bb7" PartId="ad42a3e22e6c4319839e7885d6a211a0"/>
              <Part Type="strDalis" Nr="8" Abbr="110 str. 8 d." DocPartId="c0e4be74bf0a456d9beef523d9885ea9" PartId="48fea7fdd7e34f8183bfed0e83ae7b75"/>
              <Part Type="strDalis" Nr="9" Abbr="110 str. 9 d." DocPartId="1b388980f34c4e21b4e1bf8bdce4f489" PartId="41e29205fce747db8c59e96c61994145"/>
              <Part Type="strDalis" Nr="10" Abbr="110 str. 10 d." DocPartId="98526adf32394c4682f96a6be42f3b1b" PartId="7e8999c34e324cf38da747ea3e19288a"/>
              <Part Type="strDalis" Nr="11" Abbr="110 str. 11 d." DocPartId="3b90f8741cc74ba8808325cdfe8f411f" PartId="9fec53dd0b23427191d7fce9bda7250c"/>
              <Part Type="strDalis" Nr="12" Abbr="110 str. 12 d." DocPartId="581f1b8f82ca4921bff42b20a303953b" PartId="7bf08ca150f0421686458294bdd2c991"/>
            </Part>
          </Part>
        </Part>
      </Part>
      <Part Type="straipsnis" Nr="9" Abbr="9 str." Title="Įstatymo papildymas 110² straipsniu" DocPartId="ac9299c6f8d148f08eb6a7782de4911f" PartId="c3595c5e3d924252a6275a01ecb78fb7">
        <Part Type="strDalis" Nr="1" Abbr="9 str. 1 d." DocPartId="669d86e1f2b04c9792eda3e2d5d520f8" PartId="2574db929a7a4fe6aeb019ab3e97fe7f">
          <Part Type="citata" DocPartId="2e4770f5c24b4c5c87a881cc993fa8e0" PartId="4ce62573543d4299a967b4d62da838a8">
            <Part Type="straipsnis" Nr="110-2" Abbr="110-2 str." Title="Juridinių asmenų atsakomybė už Reglamente (ES) 2023/956 nustatytų pasienio anglies dioksido korekcinio mechanizmo reikalavimų pažeidimą" DocPartId="946e1d6887f94bd3b60ba1059b032e49" PartId="a9fae6e8b2a5474093b0ff762b8b3752">
              <Part Type="strDalis" Nr="1" Abbr="110-2 str. 1 d." DocPartId="e196d6dd6aed4e5f81c43b905f7cafff" PartId="cb395d64fe754a118e61f1ce9ba65a95"/>
              <Part Type="strDalis" Nr="2" Abbr="110-2 str. 2 d." DocPartId="fd953064e4b540df9b6ff45bb779ee89" PartId="5bd430d110a24a5484347d2f47acc046"/>
            </Part>
          </Part>
        </Part>
      </Part>
      <Part Type="straipsnis" Nr="10" Abbr="10 str." Title="110² straipsnio pripažinimas netekusiu galios" DocPartId="0b2c84ee24be4038a598499fd1a07d64" PartId="5fff1e01b4e94f239a3cf2b2f290c5fe">
        <Part Type="strDalis" Nr="1" Abbr="10 str. 1 d." DocPartId="774f64427d0c4041a6a458ab7aecc158" PartId="c1b0d69a162d4a6592d66580fa714149"/>
      </Part>
      <Part Type="straipsnis" Nr="11" Abbr="11 str." Title="Įstatymo papildymas 110³ straipsniu" DocPartId="3a92222393fd4ec1accda27ea86d2609" PartId="005c537876d1400bb0b655dbd189f3de">
        <Part Type="strDalis" Nr="1" Abbr="11 str. 1 d." DocPartId="d933b92c5c584320a1569e2416581090" PartId="402abc03f1324c719c3710a7ad55bb66">
          <Part Type="citata" DocPartId="fd5f9e0da74d4367a331e6fe931682b4" PartId="fb55864a79f44b4698f69da5e7dae9c2">
            <Part Type="straipsnis" Nr="110-3" Abbr="110-3 str." Title="Juridinių asmenų atsakomybė už Reglamente (ES) 2023/956 nustatytų pasienio anglies dioksido korekcinio mechanizmo reikalavimų pažeidimą" DocPartId="f2c5eb9338234da3bfb1c3ea402c60eb" PartId="34994c527ed2468ab5e41ca8deb08fcb">
              <Part Type="strDalis" Nr="1" Abbr="110-3 str. 1 d." DocPartId="9cff90aa391d465d9b65e0a5612c4ea6" PartId="0cb0fba613d14583ad0eb588ee0ec488"/>
              <Part Type="strDalis" Nr="2" Abbr="110-3 str. 2 d." DocPartId="e57141a89ada45c0ae5ab018ef9e62ce" PartId="4d7886f63b3540d3b5b430def9c7a1ab"/>
              <Part Type="strDalis" Nr="3" Abbr="110-3 str. 3 d." DocPartId="f3fb83926da0419889dbe0fd04ac3396" PartId="779016fd6cbb437f85bc79dc77402a1e"/>
              <Part Type="strDalis" Nr="4" Abbr="110-3 str. 4 d." DocPartId="436109c8018e45b4aab4992ded9cbed6" PartId="45b38cc56ee24a76b868bfb4f3e95211"/>
            </Part>
          </Part>
        </Part>
      </Part>
      <Part Type="straipsnis" Nr="12" Abbr="12 str." Title="Įstatymo papildymas 110⁴ straipsniu" DocPartId="ce422fb083da4f2c9ac00420f995f38b" PartId="2e204f6783da4483a9459f8806e7065e">
        <Part Type="strDalis" Nr="1" Abbr="12 str. 1 d." DocPartId="9309b37bfa6545bdaf960fd18a45f906" PartId="c73d5778067346bba7a8264c6847a2bb">
          <Part Type="citata" DocPartId="0f100ae8931848c9bd57f08f936c6fc6" PartId="92e6e70a1de9427a83c36205aa7d6944">
            <Part Type="straipsnis" Nr="110-4" Abbr="110-4 str." Title="Juridinių asmenų atsakomybė už Reglamente (ES) 2023/1805 nustatytų laive sunaudojamai energijai tenkančios taršos šiltnamio efektą sukeliančiomis dujomis intensyvumo reikalavimų pažeidimą" DocPartId="6ea848d1da634e819e8f41c24911f177" PartId="6ce436abb98e4ffdaa6624f11f577d09">
              <Part Type="strDalis" Nr="1" Abbr="110-4 str. 1 d." DocPartId="277606c431954aed864a2919618dbf83" PartId="dcdd14d0bd8d49f6833eddb9036d893a"/>
              <Part Type="strDalis" Nr="2" Abbr="110-4 str. 2 d." DocPartId="01925181dcde455f90af86f762e1e51d" PartId="96698cfc9d894b0f90b376ae28881ce2"/>
              <Part Type="strDalis" Nr="3" Abbr="110-4 str. 3 d." DocPartId="4d11b0fb05024c3daab0d576fd57165d" PartId="72d3fa051cb04524ac2e7983771d0791"/>
            </Part>
          </Part>
        </Part>
      </Part>
      <Part Type="straipsnis" Nr="13" Abbr="13 str." Title="Įstatymo papildymas 118² straipsniu" DocPartId="9a5bdcfd8f994f6aa4f859da7a5d3919" PartId="afdef608cdc0411dbed603c169ba1326">
        <Part Type="strDalis" Nr="1" Abbr="13 str. 1 d." DocPartId="39e41fa8d2e54a58b7e5c968deacbd47" PartId="86cd5a2a99ff4771b9237fcf838c0fdc">
          <Part Type="citata" DocPartId="d1837c96572740d49c5b73294c259e20" PartId="491030275b8d42b2a74a4196dd49d367">
            <Part Type="straipsnis" Nr="118-2" Abbr="118-2 str." Title="Juridinių asmenų atsakomybė už Reglamente (ES) Nr. 2023/1115 nustatytų reikalavimų, susijusių su informacijos saugojimu ir teikimu Vyriausybės įgaliotoms kompetentingoms institucijoms, išsamaus patikrinimo sistemos netaikymu arba šios sistemos reikalavimų pažeidimu, Reglamento (ES) Nr. 2023/1115 I priede nurodytų produktų pateikimu, tiekimu rinkai, eksportu, pažeidimą" DocPartId="a51eb125350b4b2f8caf7875437b9391" PartId="09abe95c74b34ae3bc2c6ab2de0445ac">
              <Part Type="strDalis" Nr="1" Abbr="118-2 str. 1 d." DocPartId="a172801a6da147ca9bab0b9c4ef8612b" PartId="4752298bbebc45e9a96e28ea661b340f"/>
              <Part Type="strDalis" Nr="2" Abbr="118-2 str. 2 d." DocPartId="e0b8f6724f9846c4b5ad41aed7d0e65b" PartId="5648ab93a82a4335a67e5322c948e32e"/>
              <Part Type="strDalis" Nr="3" Abbr="118-2 str. 3 d." DocPartId="316ff39725ea486bbd0618d3f621fac6" PartId="5cd4f14592b748289c590f97dd1714e8"/>
              <Part Type="strDalis" Nr="4" Abbr="118-2 str. 4 d." DocPartId="c4c13fa03357489ca0f116a1102ce67d" PartId="6d315916a374486191301cfbd2de3c15"/>
              <Part Type="strDalis" Nr="5" Abbr="118-2 str. 5 d." DocPartId="61471ac1baa147a2b44e0fd6b450be54" PartId="7ae4fb86e27e448fa3eeb2072ab0399c"/>
              <Part Type="strDalis" Nr="6" Abbr="118-2 str. 6 d." DocPartId="0d4cd77d7d97423fb62b87bb6524cbdd" PartId="84ffc00c162144c1b42cf96b9d4d13db"/>
              <Part Type="strDalis" Nr="7" Abbr="118-2 str. 7 d." DocPartId="801198aa9b524ac3873b203cbd7e1d1b" PartId="b0ac1401adfb415da5b6a10374022107"/>
            </Part>
          </Part>
        </Part>
      </Part>
      <Part Type="straipsnis" Nr="14" Abbr="14 str." Title="122⁴ straipsnio pakeitimas." DocPartId="97610f381172434b991875edb2376624" PartId="6d7462ebd5b1430f847aeb8135a0cbf3">
        <Part Type="strDalis" Nr="1" Abbr="14 str. 1 d." DocPartId="740d98fc4d3c464081956e8413c279d8" PartId="d7e1688c09ab4c85961ed99c88ed948e">
          <Part Type="citata" DocPartId="de533adf23d645f7a7daed71cc52edd5" PartId="0398f80e2ad84528ad68d914923c2ff5">
            <Part Type="strDalis" Nr="1" Abbr="1 d." DocPartId="a6d8bc35dc11444da88b8c5e507d073f" PartId="2bbeaf54d6604b9aa91156e4b5c220b7"/>
          </Part>
        </Part>
      </Part>
      <Part Type="straipsnis" Nr="15" Abbr="15 str." Title="Įstatymo priedo pakeitimas" DocPartId="24c063895bfd4fe786e2a71c21b2aff3" PartId="20323713140242a4b2ffad597e7ce99c">
        <Part Type="strDalis" Nr="1" Abbr="15 str. 1 d." DocPartId="4c3ca57091434d30b0a6b8f03f84c3fd" PartId="bcacf84a26104269bdab77c89d904952">
          <Part Type="citata" DocPartId="ce3000bfe06f4dd095cae394da4097d8" PartId="79b3163c462b4de48c7d19b3d7fd6757">
            <Part Type="strDalis" Nr="13" Abbr="13 d." DocPartId="8eaf4564476643e581c29f9b5eb5d283" PartId="3b1149b7535242f1b6688af213f7cf77"/>
          </Part>
        </Part>
        <Part Type="strDalis" Nr="2" Abbr="15 str. 2 d." DocPartId="ca8b3f7096274efbad49fa0e98b27e60" PartId="5a0aaf7e3d834f68ac3a4878e5a49f23">
          <Part Type="citata" DocPartId="3cc756270c6f4bf8b4e8ae346e8f6b3b" PartId="7b639a482ad24090adcefbe832fa1e24">
            <Part Type="strDalis" Nr="16-1" Abbr="16-1 d." DocPartId="90f9f2829f5844df98ab45fbceb0db21" PartId="024bebffbb424fc68a6d2f3c6e3e7e4a"/>
          </Part>
        </Part>
        <Part Type="strDalis" Nr="3" Abbr="15 str. 3 d." DocPartId="811dd8d945234a7abc93286924380102" PartId="5afb62c60897412f93ae979849f93471">
          <Part Type="citata" DocPartId="6884b924fd594d90ad9cf9447c821b89" PartId="966bf6a7084a42bbac5891a43b1bef81">
            <Part Type="strDalis" Nr="16-2" Abbr="16-2 d." DocPartId="e48826328ad54f9b91f5f30c020fb3c4" PartId="58c94f1c05154d9694868bc216e32a1c"/>
          </Part>
        </Part>
        <Part Type="strDalis" Nr="4" Abbr="15 str. 4 d." DocPartId="b3d3fe0a3ea0443e9d3e86480981e9d9" PartId="25a1d21778164e7d8f75a2749d21ca2f">
          <Part Type="citata" DocPartId="3f2a4dee96924f9aba1b4b253cbf6e93" PartId="20b10eaf40024f489435983342fa4aff">
            <Part Type="strDalis" Nr="16-3" Abbr="16-3 d." DocPartId="72af085c98924e809be1846bdb007f09" PartId="0f9dc04ae693424495b4919e9f396d26"/>
          </Part>
        </Part>
        <Part Type="strDalis" Nr="5" Abbr="15 str. 5 d." DocPartId="5c1fa1dbd106479481e7aea15a9f400f" PartId="25ed2ccad05e481b9443788cdc1c800e">
          <Part Type="citata" DocPartId="ee82c875bbd84490a4f281b83a335b9a" PartId="ec06cff1fccc49b0836047f39d9d4c6b">
            <Part Type="strDalis" Nr="16-4" Abbr="16-4 d." DocPartId="f67b886548bd4ddca4cb9016b0cccf3b" PartId="f94785c6fb3b4b5e8cbb9c3a6de46527"/>
          </Part>
        </Part>
        <Part Type="strDalis" Nr="6" Abbr="15 str. 6 d." DocPartId="198f3d8c19974ae188c6e6349f8418f6" PartId="e458af54fd614561a4c6e676eec78f68">
          <Part Type="citata" DocPartId="ae434f0c4c1e4b25899422be6d4692c5" PartId="d1f1a43c3a9b4e0197e5818512d38ce7">
            <Part Type="strDalis" Nr="18" Abbr="18 d." DocPartId="a003d35e53d2457a96286f66917ae32a" PartId="c0041038a8db45e9924d798b50caadf1"/>
          </Part>
        </Part>
        <Part Type="strDalis" Nr="7" Abbr="15 str. 7 d." DocPartId="6f006ec552e14de294ed27e9c5ffb9b6" PartId="4bc09899e08a449ca630bc1e81a1c817">
          <Part Type="citata" DocPartId="3416b71fa0854ccebfe60276cc19cd2b" PartId="858e9b0ae1d34812bbfa0f8079864fb0">
            <Part Type="strDalis" Nr="19" Abbr="19 d." DocPartId="53047f09368347ccb7e8e5c22ec53ec4" PartId="68afef3ca59d4737b3def4c41ed6dbec"/>
          </Part>
        </Part>
        <Part Type="strDalis" Nr="8" Abbr="15 str. 8 d." DocPartId="633b5a676d1442e483ad426eeee772d3" PartId="ff80d36f1d8d439a9c53420f66500e7f">
          <Part Type="citata" DocPartId="426f2244c3ea427da67781acd2433fb0" PartId="c4d9225fa94d4ac28908d5e5f2cb3509">
            <Part Type="strDalis" Nr="20" Abbr="20 d." DocPartId="2dccf7fc25ed45adbf4e4831f9911635" PartId="f481c460cde041f0aa5da5072114a442"/>
          </Part>
        </Part>
      </Part>
      <Part Type="straipsnis" Nr="16" Abbr="16 str." Title="Įstatymo įsigaliojimas, įgyvendinimas ir taikymas" DocPartId="a2229f8689d448f19c653d04532a1e3e" PartId="84b0015b67944d458070b366e7c98027">
        <Part Type="strDalis" Nr="1" Abbr="16 str. 1 d." DocPartId="4560592faeb44642a577fdd077bb42bc" PartId="cd3322912e694e4fafb95e7aacdb0155"/>
        <Part Type="strDalis" Nr="2" Abbr="16 str. 2 d." DocPartId="a81522d857db442db1af570d1efde203" PartId="acd5c6f80bf04b74a38da752d4fa1560"/>
        <Part Type="strDalis" Nr="3" Abbr="16 str. 3 d." DocPartId="440cd629f91d4676997010b9a2bb00c2" PartId="706354344096463395f2fdb218bb0b32"/>
        <Part Type="strDalis" Nr="4" Abbr="16 str. 4 d." DocPartId="b5744bce48924ad0b4710a3998b5776f" PartId="00a2e52f94d645508d03e9503d96c518"/>
        <Part Type="strDalis" Nr="5" Abbr="16 str. 5 d." DocPartId="8e6e03d1ee34449bb93e52ee4f142676" PartId="c68a488ff0104a29afed7245bb9582c2"/>
        <Part Type="strDalis" Nr="6" Abbr="16 str. 6 d." DocPartId="7f5c4111bf6547cb9a00d2f3740ad11f" PartId="9966d3e60ac24594a2a340f88ad8f5cc"/>
      </Part>
    </Part>
    <Part Type="signatura" DocPartId="68f438c566bf4523b3217c883844f015" PartId="f359cf2e8aed4ff9bea58ce99939d5d3"/>
  </Part>
</Parts>
</file>

<file path=customXml/itemProps1.xml><?xml version="1.0" encoding="utf-8"?>
<ds:datastoreItem xmlns:ds="http://schemas.openxmlformats.org/officeDocument/2006/customXml" ds:itemID="{C91F1920-5FA5-4D0D-9211-0837D775256D}">
  <ds:schemaRefs>
    <ds:schemaRef ds:uri="http://schemas.microsoft.com/office/2006/metadata/properties"/>
    <ds:schemaRef ds:uri="http://schemas.microsoft.com/office/infopath/2007/PartnerControls"/>
    <ds:schemaRef ds:uri="7bb085ab-3043-4b05-8326-2e92dab27c7e"/>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36FEC82D-E311-4FB0-BF48-300D431260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cf09c5-daa1-4028-a0ff-74a0be4ec5cc"/>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48A339F-12D5-451B-AADB-36378906B649}">
  <ds:schemaRefs>
    <ds:schemaRef ds:uri="http://schemas.microsoft.com/sharepoint/v3/contenttype/forms"/>
  </ds:schemaRefs>
</ds:datastoreItem>
</file>

<file path=customXml/itemProps4.xml><?xml version="1.0" encoding="utf-8"?>
<ds:datastoreItem xmlns:ds="http://schemas.openxmlformats.org/officeDocument/2006/customXml" ds:itemID="{405300CB-8920-4003-A05C-17E027F20D09}">
  <ds:schemaRefs>
    <ds:schemaRef ds:uri="http://schemas.openxmlformats.org/officeDocument/2006/bibliography"/>
  </ds:schemaRefs>
</ds:datastoreItem>
</file>

<file path=customXml/itemProps5.xml><?xml version="1.0" encoding="utf-8"?>
<ds:datastoreItem xmlns:ds="http://schemas.openxmlformats.org/officeDocument/2006/customXml" ds:itemID="{08938FAD-09AD-414D-B238-F1EA9C5EA3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3278</Words>
  <Characters>23343</Characters>
  <Application>Microsoft Office Word</Application>
  <DocSecurity>4</DocSecurity>
  <Lines>382</Lines>
  <Paragraphs>127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26494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Dovilė Navickienė</dc:creator>
  <lastModifiedBy>adlibuser</lastModifiedBy>
  <dcterms:modified xsi:type="dcterms:W3CDTF">2025-06-10T10:23:00Z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