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e9970e42d394b64a4015ac3faae48e6"/>
        <w:lock w:val="sdtLocked"/>
        <w:richText/>
      </w:sdtPr>
      <w:sdtContent>
        <w:p w14:paraId="4BE9CBAD" w14:textId="77777777">
          <w:pPr>
            <w:widowControl w:val="0"/>
            <w:suppressLineNumbers/>
            <w:tabs>
              <w:tab w:val="center" w:pos="4819"/>
              <w:tab w:val="right" w:pos="9638"/>
            </w:tabs>
            <w:suppressAutoHyphens/>
            <w:ind w:firstLine="7797"/>
            <w:rPr>
              <w:rFonts w:ascii="Thorndale" w:eastAsia="HG Mincho Light J" w:hAnsi="Thorndale"/>
              <w:b/>
              <w:bCs/>
              <w:color w:val="000000"/>
              <w:szCs w:val="24"/>
              <w:highlight w:val="yellow"/>
              <w:lang w:eastAsia="ar-SA"/>
            </w:rPr>
          </w:pPr>
        </w:p>
        <w:p w14:paraId="63378769" w14:textId="77777777">
          <w:pPr>
            <w:widowControl w:val="0"/>
            <w:suppressLineNumbers/>
            <w:tabs>
              <w:tab w:val="center" w:pos="4819"/>
              <w:tab w:val="right" w:pos="9638"/>
            </w:tabs>
            <w:suppressAutoHyphens/>
            <w:ind w:firstLine="7797"/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>Projektas</w:t>
          </w:r>
        </w:p>
        <w:p w14:paraId="64529FA2" w14:textId="77777777">
          <w:pPr>
            <w:widowControl w:val="0"/>
            <w:suppressLineNumbers/>
            <w:tabs>
              <w:tab w:val="center" w:pos="4819"/>
              <w:tab w:val="right" w:pos="9638"/>
            </w:tabs>
            <w:suppressAutoHyphens/>
            <w:jc w:val="right"/>
            <w:rPr>
              <w:rFonts w:ascii="Thorndale" w:eastAsia="HG Mincho Light J" w:hAnsi="Thorndale"/>
              <w:color w:val="000000"/>
              <w:szCs w:val="24"/>
              <w:lang w:eastAsia="ar-SA"/>
            </w:rPr>
          </w:pPr>
        </w:p>
        <w:p w14:paraId="6464D7A7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val="en-US"/>
            </w:rPr>
            <w:drawing>
              <wp:inline distT="0" distB="0" distL="0" distR="0" wp14:anchorId="16BF7ABA" wp14:editId="4AD40112">
                <wp:extent cx="847725" cy="865505"/>
                <wp:effectExtent l="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7725" cy="8655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BB1FBB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 w14:paraId="46131B83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ŠIAULIŲ MIESTO SAVIVALDYBĖS TARYBA</w:t>
          </w:r>
        </w:p>
        <w:p w14:paraId="66133D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 w14:paraId="0B2FA5C0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 w14:paraId="3DF677F0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SPRENDIMAS</w:t>
          </w:r>
        </w:p>
        <w:p w14:paraId="33640D14" w14:textId="77777777">
          <w:pPr>
            <w:widowControl w:val="0"/>
            <w:suppressAutoHyphens/>
            <w:jc w:val="center"/>
            <w:rPr>
              <w:rFonts w:eastAsia="Arial"/>
              <w:b/>
              <w:bCs/>
              <w:color w:val="000000"/>
              <w:szCs w:val="24"/>
              <w:lang w:eastAsia="ar-SA"/>
            </w:rPr>
          </w:pPr>
          <w:r>
            <w:rPr>
              <w:rFonts w:eastAsia="Arial"/>
              <w:b/>
              <w:color w:val="000000"/>
              <w:szCs w:val="24"/>
              <w:lang w:eastAsia="ar-SA"/>
            </w:rPr>
            <w:t xml:space="preserve">DĖL </w:t>
          </w:r>
          <w:r>
            <w:rPr>
              <w:rFonts w:eastAsia="Arial"/>
              <w:b/>
              <w:bCs/>
              <w:color w:val="000000"/>
              <w:szCs w:val="24"/>
              <w:lang w:eastAsia="ar-SA"/>
            </w:rPr>
            <w:t>ŠIAULIŲ MIESTO SAVIVALDYBĖS NUSIKALTIMŲ PREVENCIJOS</w:t>
          </w:r>
        </w:p>
        <w:p w14:paraId="20567868" w14:textId="77777777">
          <w:pPr>
            <w:widowControl w:val="0"/>
            <w:suppressAutoHyphens/>
            <w:jc w:val="center"/>
            <w:rPr>
              <w:rFonts w:eastAsia="Arial"/>
              <w:b/>
              <w:bCs/>
              <w:color w:val="000000"/>
              <w:szCs w:val="24"/>
              <w:lang w:eastAsia="ar-SA"/>
            </w:rPr>
          </w:pPr>
          <w:r>
            <w:rPr>
              <w:rFonts w:eastAsia="Arial"/>
              <w:b/>
              <w:bCs/>
              <w:color w:val="000000"/>
              <w:szCs w:val="24"/>
              <w:lang w:eastAsia="ar-SA"/>
            </w:rPr>
            <w:t>2026–2028 M. PROGRAMOS PATVIRTINIMO</w:t>
          </w:r>
        </w:p>
        <w:p w14:paraId="3055F3D7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</w:p>
        <w:p w14:paraId="6C785293" w14:textId="315AA3CF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  <w:r>
            <w:rPr>
              <w:rFonts w:eastAsia="HG Mincho Light J"/>
              <w:color w:val="000000"/>
              <w:szCs w:val="24"/>
              <w:lang w:eastAsia="ar-SA"/>
            </w:rPr>
            <w:t>2025 m.</w:t>
            <w:tab/>
            <w:t xml:space="preserve">      d. Nr. T-   </w:t>
          </w:r>
        </w:p>
        <w:p w14:paraId="5F04B894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  <w:r>
            <w:rPr>
              <w:rFonts w:eastAsia="HG Mincho Light J"/>
              <w:color w:val="000000"/>
              <w:szCs w:val="24"/>
              <w:lang w:eastAsia="ar-SA"/>
            </w:rPr>
            <w:t>Šiauliai</w:t>
          </w:r>
        </w:p>
        <w:p w14:paraId="5329E440" w14:textId="77777777">
          <w:pPr>
            <w:widowControl w:val="0"/>
            <w:suppressAutoHyphens/>
            <w:jc w:val="both"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a2979b366ebd416eafb0964456255d6f"/>
            <w:lock w:val="sdtLocked"/>
            <w:richText/>
          </w:sdtPr>
          <w:sdtContent>
            <w:p w14:paraId="092646F7" w14:textId="3411944E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pacing w:val="40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 xml:space="preserve">Vadovaudamasi Lietuvos Respublikos vietos savivaldos įstatymo 6 straipsnio 34 punktu, 15 straipsnio 4 dalimi, atsižvelgdama į Saugios savivaldybės koncepciją, patvirtintą Lietuvos Respublikos Vyriausybės 2011 m. vasario 17 d. nutarimu Nr. 184 „Dėl Saugios savivaldybės koncepcijos patvirtinimo“,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shd w:val="clear" w:color="auto" w:fill="FFFFFF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f831e37d2af643b887635d7f2f79691c"/>
            <w:lock w:val="sdtLocked"/>
            <w:richText/>
          </w:sdtPr>
          <w:sdtContent>
            <w:p w14:paraId="1C7D31CC" w14:textId="77777777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f831e37d2af643b887635d7f2f79691c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>. Patvirtinti Šiaulių miesto savivaldybės nusikaltimų prevencijos 2026–2028 m. programą (pridedama).</w:t>
              </w:r>
            </w:p>
          </w:sdtContent>
        </w:sdt>
        <w:sdt>
          <w:sdtPr>
            <w:alias w:val="2 p."/>
            <w:tag w:val="part_0c68be6c5ed348de9c85bcfed259d4eb"/>
            <w:lock w:val="sdtLocked"/>
            <w:richText/>
          </w:sdtPr>
          <w:sdtContent>
            <w:p w14:paraId="09EC1E34" w14:textId="77777777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0c68be6c5ed348de9c85bcfed259d4eb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ar-SA"/>
                </w:rPr>
                <w:t>. Nustatyti, kad šis sprendimas įsigalioja nuo 2026 m. sausio 1 d.</w:t>
              </w:r>
            </w:p>
            <w:p w14:paraId="424F621E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A73FFB2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F2557F5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2d11c9521b9457584edfa3fb976ec93"/>
            <w:lock w:val="sdtLocked"/>
            <w:richText/>
          </w:sdtPr>
          <w:sdtContent>
            <w:p w14:paraId="66AC3B6D" w14:textId="0161BBC9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Savivaldybės meras</w:t>
                <w:tab/>
                <w:tab/>
                <w:tab/>
                <w:tab/>
                <w:tab/>
              </w:r>
            </w:p>
            <w:p w14:paraId="13BE40E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113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070FA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endnote>
  <w:endnote w:type="continuationSeparator" w:id="0">
    <w:p w14:paraId="37CCC92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Calibri"/>
    <w:charset w:val="00"/>
    <w:family w:val="auto"/>
    <w:pitch w:val="variable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675254" w14:textId="77777777">
    <w:pPr>
      <w:widowControl w:val="0"/>
      <w:suppressLineNumbers/>
      <w:tabs>
        <w:tab w:val="center" w:pos="5385"/>
        <w:tab w:val="right" w:pos="10771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F5BC87" w14:textId="77777777">
    <w:pPr>
      <w:widowControl w:val="0"/>
      <w:suppressLineNumbers/>
      <w:tabs>
        <w:tab w:val="center" w:pos="5385"/>
        <w:tab w:val="right" w:pos="10771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CA2308" w14:textId="77777777">
    <w:pPr>
      <w:widowControl w:val="0"/>
      <w:suppressLineNumbers/>
      <w:tabs>
        <w:tab w:val="center" w:pos="5385"/>
        <w:tab w:val="right" w:pos="10771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9D493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footnote>
  <w:footnote w:type="continuationSeparator" w:id="0">
    <w:p w14:paraId="212FD73A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AF0A48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BE40F4" w14:textId="77777777">
    <w:pPr>
      <w:widowControl w:val="0"/>
      <w:suppressLineNumbers/>
      <w:tabs>
        <w:tab w:val="center" w:pos="4819"/>
        <w:tab w:val="right" w:pos="9638"/>
      </w:tabs>
      <w:suppressAutoHyphens/>
      <w:jc w:val="center"/>
      <w:rPr>
        <w:rFonts w:ascii="Thorndale" w:eastAsia="HG Mincho Light J" w:hAnsi="Thorndale"/>
        <w:color w:val="000000"/>
        <w:szCs w:val="24"/>
        <w:lang w:eastAsia="ar-SA"/>
      </w:rPr>
    </w:pPr>
  </w:p>
  <w:p w14:paraId="13BE40F5" w14:textId="77777777">
    <w:pPr>
      <w:widowControl w:val="0"/>
      <w:suppressLineNumbers/>
      <w:tabs>
        <w:tab w:val="center" w:pos="4819"/>
        <w:tab w:val="right" w:pos="9638"/>
      </w:tabs>
      <w:suppressAutoHyphens/>
      <w:jc w:val="center"/>
      <w:rPr>
        <w:rFonts w:ascii="Thorndale" w:eastAsia="HG Mincho Light J" w:hAnsi="Thorndale"/>
        <w:color w:val="000000"/>
        <w:szCs w:val="24"/>
        <w:lang w:eastAsia="ar-SA"/>
      </w:rPr>
    </w:pPr>
    <w:r>
      <w:rPr>
        <w:rFonts w:ascii="Thorndale" w:eastAsia="HG Mincho Light J" w:hAnsi="Thorndale"/>
        <w:color w:val="000000"/>
        <w:szCs w:val="24"/>
        <w:lang w:eastAsia="ar-SA"/>
      </w:rPr>
      <w:fldChar w:fldCharType="begin"/>
    </w:r>
    <w:r>
      <w:rPr>
        <w:rFonts w:ascii="Thorndale" w:eastAsia="HG Mincho Light J" w:hAnsi="Thorndale"/>
        <w:color w:val="000000"/>
        <w:szCs w:val="24"/>
        <w:lang w:eastAsia="ar-SA"/>
      </w:rPr>
      <w:instrText xml:space="preserve"> PAGE   \* MERGEFORMAT </w:instrText>
    </w:r>
    <w:r>
      <w:rPr>
        <w:rFonts w:ascii="Thorndale" w:eastAsia="HG Mincho Light J" w:hAnsi="Thorndale"/>
        <w:color w:val="000000"/>
        <w:szCs w:val="24"/>
        <w:lang w:eastAsia="ar-SA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ar-SA"/>
      </w:rPr>
      <w:t>2</w:t>
    </w:r>
    <w:r>
      <w:rPr>
        <w:rFonts w:ascii="Thorndale" w:eastAsia="HG Mincho Light J" w:hAnsi="Thorndale"/>
        <w:color w:val="000000"/>
        <w:szCs w:val="24"/>
        <w:lang w:eastAsia="ar-SA"/>
      </w:rPr>
      <w:fldChar w:fldCharType="end"/>
    </w:r>
  </w:p>
  <w:p w14:paraId="13BE40F6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0D180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5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A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13BE40DB"/>
  <w15:docId w15:val="{E746A4DE-1B28-4DED-8BD3-34244C20F40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89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0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9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1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8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1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264a6e1f9044779885f835bf30d301b" PartId="5e9970e42d394b64a4015ac3faae48e6">
    <Part Type="preambule" DocPartId="d4bfb1a18689496b872f77d618c1e617" PartId="a2979b366ebd416eafb0964456255d6f"/>
    <Part Type="punktas" Nr="1" Abbr="1 p." DocPartId="c9069849277e409f808a22e93a04c0cc" PartId="f831e37d2af643b887635d7f2f79691c"/>
    <Part Type="punktas" Nr="2" Abbr="2 p." DocPartId="64035f80a8a34e62993e31cf58d0a7fd" PartId="0c68be6c5ed348de9c85bcfed259d4eb"/>
    <Part Type="signatura" DocPartId="61cc9755232d4ed59512038fe5bbb231" PartId="c2d11c9521b9457584edfa3fb976ec93"/>
  </Part>
</Parts>
</file>

<file path=customXml/itemProps1.xml><?xml version="1.0" encoding="utf-8"?>
<ds:datastoreItem xmlns:ds="http://schemas.openxmlformats.org/officeDocument/2006/customXml" ds:itemID="{EA8C5D55-605E-4070-96BC-A3A374759B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3E4FF48-DFC6-469A-9C8A-036295CC5A4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</Words>
  <Characters>642</Characters>
  <Application>Microsoft Office Word</Application>
  <DocSecurity>4</DocSecurity>
  <Lines>24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Savivaldybės administracija</Company>
  <LinksUpToDate>false</LinksUpToDate>
  <CharactersWithSpaces>724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2025-11-18T09:25:00Z</dcterms:created>
  <dc:creator>Musejukas Rimantas</dc:creator>
  <lastModifiedBy>adlibuser</lastModifiedBy>
  <lastPrinted>2016-09-15T10:13:00Z</lastPrinted>
  <dcterms:modified xsi:type="dcterms:W3CDTF">2025-11-18T09:25:00Z</dcterms:modified>
  <revision>2</revision>
  <dc:title/>
</coreProperties>
</file>