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4dc7df104e34de6a8790e5838b21764"/>
        <w:lock w:val="sdtLocked"/>
        <w:richText/>
      </w:sdtPr>
      <w:sdtContent>
        <w:p w14:paraId="7655AD9F" w14:textId="43B985DD">
          <w:pPr>
            <w:widowControl w:val="0"/>
            <w:tabs>
              <w:tab w:val="left" w:pos="0"/>
              <w:tab w:val="center" w:pos="4986"/>
              <w:tab w:val="right" w:pos="9972"/>
            </w:tabs>
            <w:suppressAutoHyphens/>
            <w:jc w:val="right"/>
            <w:rPr>
              <w:rFonts w:eastAsia="HG Mincho Light J"/>
              <w:b/>
              <w:color w:val="000000"/>
              <w:szCs w:val="24"/>
              <w:lang w:eastAsia="lt-LT"/>
            </w:rPr>
          </w:pPr>
          <w:r>
            <w:rPr>
              <w:rFonts w:eastAsia="HG Mincho Light J"/>
              <w:b/>
              <w:color w:val="000000"/>
              <w:szCs w:val="24"/>
              <w:lang w:eastAsia="lt-LT"/>
            </w:rPr>
            <w:tab/>
            <w:t>Projektas</w:t>
          </w:r>
        </w:p>
        <w:p w14:paraId="4FF29F54" w14:textId="77777777">
          <w:pPr>
            <w:widowControl w:val="0"/>
            <w:suppressAutoHyphens/>
            <w:rPr>
              <w:rFonts w:eastAsia="HG Mincho Light J"/>
              <w:color w:val="000000"/>
              <w:szCs w:val="24"/>
              <w:lang w:eastAsia="lt-LT"/>
            </w:rPr>
          </w:pPr>
        </w:p>
        <w:p w14:paraId="29D73FF2" w14:textId="77777777">
          <w:pPr>
            <w:widowControl w:val="0"/>
            <w:suppressAutoHyphens/>
            <w:rPr>
              <w:rFonts w:eastAsia="HG Mincho Light J"/>
              <w:color w:val="000000"/>
              <w:szCs w:val="24"/>
              <w:lang w:eastAsia="lt-LT"/>
            </w:rPr>
          </w:pPr>
        </w:p>
        <w:p w14:paraId="41BCE601" w14:textId="77777777">
          <w:pPr>
            <w:widowControl w:val="0"/>
            <w:suppressAutoHyphens/>
            <w:jc w:val="center"/>
            <w:rPr>
              <w:rFonts w:eastAsia="HG Mincho Light J"/>
              <w:b/>
              <w:color w:val="000000"/>
              <w:szCs w:val="24"/>
              <w:lang w:eastAsia="lt-LT"/>
            </w:rPr>
          </w:pPr>
          <w:r>
            <w:rPr>
              <w:rFonts w:eastAsia="HG Mincho Light J"/>
              <w:b/>
              <w:color w:val="000000"/>
              <w:szCs w:val="24"/>
              <w:lang w:eastAsia="lt-LT"/>
            </w:rPr>
            <w:t>ŠIAULIŲ MIESTO SAVIVALDYBĖS TARYBA</w:t>
          </w:r>
        </w:p>
        <w:p w14:paraId="06D08BF5" w14:textId="77777777">
          <w:pPr>
            <w:widowControl w:val="0"/>
            <w:suppressAutoHyphens/>
            <w:jc w:val="center"/>
            <w:rPr>
              <w:rFonts w:eastAsia="HG Mincho Light J"/>
              <w:b/>
              <w:color w:val="000000"/>
              <w:szCs w:val="24"/>
              <w:lang w:eastAsia="lt-LT"/>
            </w:rPr>
          </w:pPr>
        </w:p>
        <w:p w14:paraId="0995F672" w14:textId="77777777">
          <w:pPr>
            <w:widowControl w:val="0"/>
            <w:suppressAutoHyphens/>
            <w:jc w:val="center"/>
            <w:rPr>
              <w:rFonts w:eastAsia="HG Mincho Light J"/>
              <w:b/>
              <w:color w:val="000000"/>
              <w:szCs w:val="24"/>
              <w:lang w:eastAsia="lt-LT"/>
            </w:rPr>
          </w:pPr>
          <w:r>
            <w:rPr>
              <w:rFonts w:eastAsia="HG Mincho Light J"/>
              <w:b/>
              <w:color w:val="000000"/>
              <w:szCs w:val="24"/>
              <w:lang w:eastAsia="lt-LT"/>
            </w:rPr>
            <w:t>SPRENDIMAS</w:t>
          </w:r>
        </w:p>
        <w:p w14:paraId="591C2EFB" w14:textId="77777777">
          <w:pPr>
            <w:widowControl w:val="0"/>
            <w:suppressAutoHyphens/>
            <w:jc w:val="center"/>
            <w:rPr>
              <w:rFonts w:eastAsia="HG Mincho Light J"/>
              <w:b/>
              <w:color w:val="000000"/>
              <w:szCs w:val="24"/>
              <w:lang w:eastAsia="lt-LT"/>
            </w:rPr>
          </w:pPr>
          <w:r>
            <w:rPr>
              <w:rFonts w:eastAsia="HG Mincho Light J"/>
              <w:b/>
              <w:color w:val="000000"/>
              <w:szCs w:val="24"/>
              <w:lang w:eastAsia="lt-LT"/>
            </w:rPr>
            <w:t>DĖL ŠIAULIŲ MIESTO SAVIVALDYBĖS 2023 M. KOVO 2 D. SPRENDIMO NR. T-67 „DĖL ELEKTRONINIO BILIETO SU NUOLAIDA, SKIRTO VAŽIUOTI VIETINIO (MIESTO) REGULIARAUS SUSISIEKIMO AUTOBUSŲ MARŠRUTAIS ŠIAULIŲ MIESTO SAVIVALDYBĖJE, ĮSIGIJIMO IR NAUDOJIMO TVARKOS APRAŠO PATVIRTINIMO“ PAKEITIMO</w:t>
          </w:r>
        </w:p>
        <w:p w14:paraId="29433C89" w14:textId="77777777">
          <w:pPr>
            <w:widowControl w:val="0"/>
            <w:suppressAutoHyphens/>
            <w:jc w:val="center"/>
            <w:rPr>
              <w:rFonts w:eastAsia="HG Mincho Light J"/>
              <w:color w:val="000000"/>
              <w:szCs w:val="24"/>
              <w:lang w:eastAsia="lt-LT"/>
            </w:rPr>
          </w:pPr>
        </w:p>
        <w:p w14:paraId="13761616" w14:textId="684A3BEC">
          <w:pPr>
            <w:widowControl w:val="0"/>
            <w:suppressAutoHyphens/>
            <w:jc w:val="center"/>
            <w:rPr>
              <w:rFonts w:eastAsia="HG Mincho Light J"/>
              <w:color w:val="000000"/>
              <w:szCs w:val="24"/>
              <w:lang w:eastAsia="lt-LT"/>
            </w:rPr>
          </w:pPr>
          <w:r>
            <w:rPr>
              <w:rFonts w:eastAsia="HG Mincho Light J"/>
              <w:color w:val="000000"/>
              <w:szCs w:val="24"/>
              <w:lang w:eastAsia="lt-LT"/>
            </w:rPr>
            <w:t xml:space="preserve">2025 m.                                      d. Nr.</w:t>
          </w:r>
        </w:p>
        <w:p w14:paraId="3439F3F4" w14:textId="77777777">
          <w:pPr>
            <w:widowControl w:val="0"/>
            <w:suppressAutoHyphens/>
            <w:jc w:val="center"/>
            <w:rPr>
              <w:rFonts w:eastAsia="HG Mincho Light J"/>
              <w:color w:val="000000"/>
              <w:szCs w:val="24"/>
              <w:lang w:eastAsia="lt-LT"/>
            </w:rPr>
          </w:pPr>
          <w:r>
            <w:rPr>
              <w:rFonts w:eastAsia="HG Mincho Light J"/>
              <w:color w:val="000000"/>
              <w:szCs w:val="24"/>
              <w:lang w:eastAsia="lt-LT"/>
            </w:rPr>
            <w:t>Šiauliai</w:t>
          </w:r>
        </w:p>
        <w:p w14:paraId="2E50A6B1" w14:textId="77777777">
          <w:pPr>
            <w:widowControl w:val="0"/>
            <w:suppressAutoHyphens/>
            <w:rPr>
              <w:rFonts w:eastAsia="HG Mincho Light J"/>
              <w:color w:val="000000"/>
              <w:szCs w:val="24"/>
              <w:lang w:eastAsia="lt-LT"/>
            </w:rPr>
          </w:pPr>
        </w:p>
        <w:p w14:paraId="67179FFA" w14:textId="77777777">
          <w:pPr>
            <w:widowControl w:val="0"/>
            <w:suppressAutoHyphens/>
            <w:rPr>
              <w:rFonts w:eastAsia="HG Mincho Light J"/>
              <w:color w:val="000000"/>
              <w:szCs w:val="24"/>
              <w:lang w:eastAsia="lt-LT"/>
            </w:rPr>
          </w:pPr>
        </w:p>
        <w:sdt>
          <w:sdtPr>
            <w:alias w:val="preambule"/>
            <w:tag w:val="part_66e4d624a2214829b01fd0a1179e9227"/>
            <w:lock w:val="sdtLocked"/>
            <w:richText/>
          </w:sdtPr>
          <w:sdtContent>
            <w:p w14:paraId="14164E2A" w14:textId="7A340D4D">
              <w:pPr>
                <w:widowControl w:val="0"/>
                <w:ind w:firstLine="680"/>
                <w:jc w:val="both"/>
                <w:rPr>
                  <w:rFonts w:eastAsia="HG Mincho Light J"/>
                  <w:color w:val="000000"/>
                  <w:szCs w:val="24"/>
                  <w:lang w:eastAsia="lt-LT"/>
                </w:rPr>
              </w:pPr>
              <w:r>
                <w:rPr>
                  <w:rFonts w:eastAsia="HG Mincho Light J"/>
                  <w:color w:val="000000"/>
                  <w:szCs w:val="24"/>
                  <w:lang w:eastAsia="lt-LT"/>
                </w:rPr>
                <w:t xml:space="preserve">Vadovaudamasi Lietuvos Respublikos vietos savivaldos įstatymo 15 straipsnio 2 dalies 29 punktu, Lietuvos Respublikos kelių transporto kodekso 16 straipsnio 2 dalimi, Lietuvos Respublikos viešojo keleivinio transporto lengvatų įstatymo 4 straipsnio 2 dalimi ir atsižvelgdama į Šiaulių miesto savivaldybės administracijos 2025 m. spalio 7 d. posėdžio protokolą Nr. VAK-220 „Dėl keleivių vežimo miesto susisiekimo autobusų maršrutais bilietų kainų peržiūros“, Šiaulių miesto savivaldybės taryba </w:t>
              </w:r>
              <w:r>
                <w:rPr>
                  <w:rFonts w:eastAsia="HG Mincho Light J"/>
                  <w:color w:val="000000"/>
                  <w:spacing w:val="40"/>
                  <w:szCs w:val="24"/>
                  <w:lang w:eastAsia="lt-LT"/>
                </w:rPr>
                <w:t>nusprendžia</w:t>
              </w:r>
              <w:r>
                <w:rPr>
                  <w:rFonts w:eastAsia="HG Mincho Light J"/>
                  <w:color w:val="000000"/>
                  <w:szCs w:val="24"/>
                  <w:lang w:eastAsia="lt-LT"/>
                </w:rPr>
                <w:t>:</w:t>
              </w:r>
            </w:p>
          </w:sdtContent>
        </w:sdt>
        <w:sdt>
          <w:sdtPr>
            <w:alias w:val="1 p."/>
            <w:tag w:val="part_3f1644edae814e8298331486d064b709"/>
            <w:lock w:val="sdtLocked"/>
            <w:richText/>
          </w:sdtPr>
          <w:sdtContent>
            <w:p w14:paraId="37AC9B2A" w14:textId="5BE03762">
              <w:pPr>
                <w:widowControl w:val="0"/>
                <w:tabs>
                  <w:tab w:val="left" w:pos="1134"/>
                </w:tabs>
                <w:ind w:firstLine="680"/>
                <w:jc w:val="both"/>
                <w:rPr>
                  <w:rFonts w:ascii="Thorndale" w:eastAsia="HG Mincho Light J" w:hAnsi="Thorndale" w:hint="eastAsia"/>
                  <w:color w:val="000000"/>
                  <w:szCs w:val="24"/>
                  <w:lang w:eastAsia="lt-LT"/>
                </w:rPr>
              </w:pPr>
              <w:sdt>
                <w:sdtPr>
                  <w:alias w:val="Numeris"/>
                  <w:tag w:val="nr_3f1644edae814e8298331486d064b709"/>
                  <w:lock w:val="sdtLocked"/>
                  <w:richText/>
                </w:sdtPr>
                <w:sdtContent>
                  <w:r>
                    <w:rPr>
                      <w:color w:val="000000"/>
                      <w:lang w:eastAsia="ar-SA"/>
                    </w:rPr>
                    <w:t>1</w:t>
                  </w:r>
                </w:sdtContent>
              </w:sdt>
              <w:r>
                <w:rPr>
                  <w:color w:val="000000"/>
                  <w:lang w:eastAsia="ar-SA"/>
                </w:rPr>
                <w:t>.</w:t>
                <w:tab/>
              </w:r>
              <w:r>
                <w:rPr>
                  <w:rFonts w:ascii="Thorndale" w:eastAsia="HG Mincho Light J" w:hAnsi="Thorndale"/>
                  <w:color w:val="000000"/>
                  <w:szCs w:val="24"/>
                  <w:lang w:eastAsia="lt-LT"/>
                </w:rPr>
                <w:t>Pakeisti Šiaulių miesto savivaldybės tarybos 2023 m. kovo 2 d. sprendimą Nr. T-67 „Dėl elektroninio bilieto su nuolaida, skirto važiuoti vietinio (miesto) reguliaraus susisiekimo autobusų maršrutais Šiaulių miesto savivaldybėje, įsigijimo ir naudojimo tvarkos aprašo patvirtinimo“:</w:t>
              </w:r>
            </w:p>
            <w:sdt>
              <w:sdtPr>
                <w:alias w:val="1.1 pp."/>
                <w:tag w:val="part_a0037bd439db4447a9ef7b3306932c0c"/>
                <w:lock w:val="sdtLocked"/>
                <w:richText/>
              </w:sdtPr>
              <w:sdtContent>
                <w:p w14:paraId="2786DFCF" w14:textId="17C9B116">
                  <w:pPr>
                    <w:widowControl w:val="0"/>
                    <w:tabs>
                      <w:tab w:val="left" w:pos="1134"/>
                    </w:tabs>
                    <w:ind w:firstLine="680"/>
                    <w:jc w:val="both"/>
                    <w:rPr>
                      <w:rFonts w:ascii="Thorndale" w:eastAsia="HG Mincho Light J" w:hAnsi="Thorndale" w:hint="eastAsia"/>
                      <w:color w:val="000000"/>
                      <w:szCs w:val="24"/>
                      <w:lang w:eastAsia="lt-LT"/>
                    </w:rPr>
                  </w:pPr>
                  <w:sdt>
                    <w:sdtPr>
                      <w:alias w:val="Numeris"/>
                      <w:tag w:val="nr_a0037bd439db4447a9ef7b3306932c0c"/>
                      <w:lock w:val="sdtLocked"/>
                      <w:richText/>
                    </w:sdtPr>
                    <w:sdtContent>
                      <w:r>
                        <w:rPr>
                          <w:color w:val="000000"/>
                          <w:lang w:eastAsia="ar-SA"/>
                        </w:rPr>
                        <w:t>1.1</w:t>
                      </w:r>
                    </w:sdtContent>
                  </w:sdt>
                  <w:r>
                    <w:rPr>
                      <w:color w:val="000000"/>
                      <w:lang w:eastAsia="ar-SA"/>
                    </w:rPr>
                    <w:t>.</w:t>
                    <w:tab/>
                  </w:r>
                  <w:r>
                    <w:rPr>
                      <w:rFonts w:ascii="Thorndale" w:eastAsia="HG Mincho Light J" w:hAnsi="Thorndale"/>
                      <w:color w:val="000000"/>
                      <w:szCs w:val="24"/>
                      <w:lang w:eastAsia="lt-LT"/>
                    </w:rPr>
                    <w:t>Pakeisti preambulę ir ją išdėstyti taip:</w:t>
                  </w:r>
                </w:p>
                <w:sdt>
                  <w:sdtPr>
                    <w:alias w:val="citata"/>
                    <w:tag w:val="part_3da9ab076f1e4386a1f03d656d47bd50"/>
                    <w:lock w:val="sdtLocked"/>
                    <w:richText/>
                  </w:sdtPr>
                  <w:sdtContent>
                    <w:sdt>
                      <w:sdtPr>
                        <w:alias w:val="pastraipa"/>
                        <w:tag w:val="part_3c4236b4a5974339b5b883cdc10dbfb5"/>
                        <w:lock w:val="sdtLocked"/>
                        <w:richText/>
                      </w:sdtPr>
                      <w:sdtContent>
                        <w:p w14:paraId="2A9CC949" w14:textId="48D2F590">
                          <w:pPr>
                            <w:widowControl w:val="0"/>
                            <w:ind w:firstLine="680"/>
                            <w:jc w:val="both"/>
                            <w:rPr>
                              <w:rFonts w:eastAsia="HG Mincho Light J"/>
                              <w:color w:val="000000"/>
                              <w:szCs w:val="24"/>
                              <w:lang w:eastAsia="lt-LT"/>
                            </w:rPr>
                          </w:pPr>
                          <w:r>
                            <w:rPr>
                              <w:rFonts w:eastAsia="HG Mincho Light J"/>
                              <w:color w:val="000000"/>
                              <w:szCs w:val="24"/>
                              <w:lang w:eastAsia="lt-LT"/>
                            </w:rPr>
                            <w:t xml:space="preserve">„Vadovaudamasi Lietuvos Respublikos vietos savivaldos įstatymo 15 straipsnio 2 dalies 29 punktu, Lietuvos Respublikos kelių transporto kodekso 16 straipsnio 2 dalimi, Lietuvos Respublikos viešojo keleivinio transporto lengvatų įstatymo 4 straipsnio 2 dalimi, Šiaulių miesto savivaldybės taryba </w:t>
                          </w:r>
                          <w:r>
                            <w:rPr>
                              <w:rFonts w:eastAsia="HG Mincho Light J"/>
                              <w:color w:val="000000"/>
                              <w:spacing w:val="40"/>
                              <w:szCs w:val="24"/>
                              <w:lang w:eastAsia="lt-LT"/>
                            </w:rPr>
                            <w:t>nusprendžia</w:t>
                          </w:r>
                          <w:r>
                            <w:rPr>
                              <w:rFonts w:eastAsia="HG Mincho Light J"/>
                              <w:color w:val="000000"/>
                              <w:szCs w:val="24"/>
                              <w:lang w:eastAsia="lt-LT"/>
                            </w:rPr>
                            <w:t>:“.</w:t>
                          </w:r>
                        </w:p>
                      </w:sdtContent>
                    </w:sdt>
                  </w:sdtContent>
                </w:sdt>
              </w:sdtContent>
            </w:sdt>
            <w:sdt>
              <w:sdtPr>
                <w:alias w:val="1.2 pp."/>
                <w:tag w:val="part_f9fa5182efa543018bf9998ebd6988c4"/>
                <w:lock w:val="sdtLocked"/>
                <w:richText/>
              </w:sdtPr>
              <w:sdtContent>
                <w:p w14:paraId="4DEB9227" w14:textId="7F2C38FF">
                  <w:pPr>
                    <w:widowControl w:val="0"/>
                    <w:suppressAutoHyphens/>
                    <w:ind w:firstLine="680"/>
                    <w:jc w:val="both"/>
                    <w:rPr>
                      <w:rFonts w:ascii="Thorndale" w:eastAsia="HG Mincho Light J" w:hAnsi="Thorndale" w:hint="eastAsia"/>
                      <w:color w:val="000000"/>
                      <w:szCs w:val="24"/>
                      <w:lang w:eastAsia="lt-LT"/>
                    </w:rPr>
                  </w:pPr>
                  <w:sdt>
                    <w:sdtPr>
                      <w:alias w:val="Numeris"/>
                      <w:tag w:val="nr_f9fa5182efa543018bf9998ebd6988c4"/>
                      <w:lock w:val="sdtLocked"/>
                      <w:richText/>
                    </w:sdtPr>
                    <w:sdtContent>
                      <w:r>
                        <w:rPr>
                          <w:lang w:eastAsia="ar-SA"/>
                        </w:rPr>
                        <w:t>1.2</w:t>
                      </w:r>
                    </w:sdtContent>
                  </w:sdt>
                  <w:r>
                    <w:rPr>
                      <w:lang w:eastAsia="ar-SA"/>
                    </w:rPr>
                    <w:t>.</w:t>
                    <w:tab/>
                  </w:r>
                  <w:r>
                    <w:rPr>
                      <w:rFonts w:ascii="Thorndale" w:eastAsia="HG Mincho Light J" w:hAnsi="Thorndale"/>
                      <w:color w:val="000000"/>
                      <w:szCs w:val="24"/>
                      <w:lang w:eastAsia="lt-LT"/>
                    </w:rPr>
                    <w:t>Pakeisti 1 punktu patvirtintą Elektroninio bilieto su nuolaida, skirto važiuoti vietinio (miesto) reguliaraus susisiekimo autobusų maršrutais Šiaulių miesto savivaldybėje, įsigijimo ir naudojimo tvarkos aprašą:</w:t>
                  </w:r>
                </w:p>
                <w:sdt>
                  <w:sdtPr>
                    <w:alias w:val="1.2.1 pp."/>
                    <w:tag w:val="part_a500db72732945b99675c51b87b6fdf5"/>
                    <w:lock w:val="sdtLocked"/>
                    <w:richText/>
                  </w:sdtPr>
                  <w:sdtContent>
                    <w:p w14:paraId="237AF56D" w14:textId="7D6E203E">
                      <w:pPr>
                        <w:widowControl w:val="0"/>
                        <w:tabs>
                          <w:tab w:val="left" w:pos="1134"/>
                          <w:tab w:val="left" w:pos="1418"/>
                        </w:tabs>
                        <w:suppressAutoHyphens/>
                        <w:ind w:firstLine="680"/>
                        <w:jc w:val="both"/>
                        <w:rPr>
                          <w:rFonts w:ascii="Thorndale" w:eastAsia="HG Mincho Light J" w:hAnsi="Thorndale" w:hint="eastAsia"/>
                          <w:color w:val="000000"/>
                          <w:szCs w:val="24"/>
                          <w:lang w:eastAsia="lt-LT"/>
                        </w:rPr>
                      </w:pPr>
                      <w:sdt>
                        <w:sdtPr>
                          <w:alias w:val="Numeris"/>
                          <w:tag w:val="nr_a500db72732945b99675c51b87b6fdf5"/>
                          <w:lock w:val="sdtLocked"/>
                          <w:richText/>
                        </w:sdtPr>
                        <w:sdtContent>
                          <w:r>
                            <w:rPr>
                              <w:lang w:eastAsia="ar-SA"/>
                            </w:rPr>
                            <w:t>1.2.1</w:t>
                          </w:r>
                        </w:sdtContent>
                      </w:sdt>
                      <w:r>
                        <w:rPr>
                          <w:lang w:eastAsia="ar-SA"/>
                        </w:rPr>
                        <w:t>.</w:t>
                        <w:tab/>
                      </w:r>
                      <w:r>
                        <w:rPr>
                          <w:rFonts w:ascii="Thorndale" w:eastAsia="HG Mincho Light J" w:hAnsi="Thorndale"/>
                          <w:color w:val="000000"/>
                          <w:szCs w:val="24"/>
                          <w:lang w:eastAsia="lt-LT"/>
                        </w:rPr>
                        <w:t>Pakeisti 8 punktą ir jį išdėstyti taip:</w:t>
                      </w:r>
                    </w:p>
                    <w:sdt>
                      <w:sdtPr>
                        <w:alias w:val="citata"/>
                        <w:tag w:val="part_3f5c2a4aada24782a601ea62658ff608"/>
                        <w:lock w:val="sdtLocked"/>
                        <w:richText/>
                      </w:sdtPr>
                      <w:sdtContent>
                        <w:sdt>
                          <w:sdtPr>
                            <w:alias w:val="8 p."/>
                            <w:tag w:val="part_063726e187b84a1c8246757c978b1556"/>
                            <w:lock w:val="sdtLocked"/>
                            <w:richText/>
                          </w:sdtPr>
                          <w:sdtContent>
                            <w:p w14:paraId="31B73ADA" w14:textId="77777777">
                              <w:pPr>
                                <w:widowControl w:val="0"/>
                                <w:tabs>
                                  <w:tab w:val="left" w:pos="0"/>
                                  <w:tab w:val="left" w:pos="851"/>
                                  <w:tab w:val="left" w:pos="1134"/>
                                </w:tabs>
                                <w:suppressAutoHyphens/>
                                <w:ind w:firstLine="680"/>
                                <w:jc w:val="both"/>
                                <w:rPr>
                                  <w:rFonts w:eastAsia="HG Mincho Light J"/>
                                  <w:color w:val="000000"/>
                                  <w:szCs w:val="24"/>
                                  <w:lang w:eastAsia="lt-LT"/>
                                </w:rPr>
                              </w:pPr>
                              <w:r>
                                <w:rPr>
                                  <w:rFonts w:eastAsia="HG Mincho Light J"/>
                                  <w:color w:val="000000"/>
                                  <w:szCs w:val="24"/>
                                  <w:lang w:eastAsia="lt-LT"/>
                                </w:rPr>
                                <w:t>„</w:t>
                              </w:r>
                              <w:sdt>
                                <w:sdtPr>
                                  <w:alias w:val="Numeris"/>
                                  <w:tag w:val="nr_063726e187b84a1c8246757c978b1556"/>
                                  <w:lock w:val="sdtLocked"/>
                                  <w:richText/>
                                </w:sdtPr>
                                <w:sdtContent>
                                  <w:r>
                                    <w:rPr>
                                      <w:rFonts w:eastAsia="HG Mincho Light J"/>
                                      <w:color w:val="000000"/>
                                      <w:szCs w:val="24"/>
                                      <w:lang w:eastAsia="lt-LT"/>
                                    </w:rPr>
                                    <w:t>8</w:t>
                                  </w:r>
                                </w:sdtContent>
                              </w:sdt>
                              <w:r>
                                <w:rPr>
                                  <w:rFonts w:eastAsia="HG Mincho Light J"/>
                                  <w:color w:val="000000"/>
                                  <w:szCs w:val="24"/>
                                  <w:lang w:eastAsia="lt-LT"/>
                                </w:rPr>
                                <w:t>. Aprašas parengtas vadovaujantis Lietuvos Respublikos vietos savivaldos įstatymu, Lietuvos Respublikos viešojo keleivinio transporto lengvatų įstatymu, Lietuvos Respublikos Vyriausybės 2000 m. balandžio 28 d. nutarimu Nr. 478 „Dėl Lietuvos Respublikos transporto lengvatų įstatymo įgyvendinimo“, galiojančiu Šiaulių miesto savivaldybės tarybos sprendimu dėl keleivių vežimo vietinio (miesto) reguliaraus susisiekimo autobusų maršrutais Šiaulių miesto savivaldybėje kainų nustatymo, Šiaulių rajono savivaldybės tarybos 2022 m. kovo 22 d. sprendimu Nr. T-92 „Dėl Šiaulių rajono gyventojų, kuriems sukakę 75 ir daugiau metų, nemokamo važiavimo Šiaulių miesto maršrutais“ ir kitais teisės aktais.“;</w:t>
                              </w:r>
                            </w:p>
                          </w:sdtContent>
                        </w:sdt>
                      </w:sdtContent>
                    </w:sdt>
                  </w:sdtContent>
                </w:sdt>
                <w:sdt>
                  <w:sdtPr>
                    <w:alias w:val="1.2.2 pp."/>
                    <w:tag w:val="part_d83bd4e6d6ad4979abfe310f75848ab8"/>
                    <w:lock w:val="sdtLocked"/>
                    <w:richText/>
                  </w:sdtPr>
                  <w:sdtContent>
                    <w:p w14:paraId="541EE965" w14:textId="0B861DCE">
                      <w:pPr>
                        <w:widowControl w:val="0"/>
                        <w:tabs>
                          <w:tab w:val="left" w:pos="0"/>
                          <w:tab w:val="left" w:pos="851"/>
                          <w:tab w:val="left" w:pos="1134"/>
                          <w:tab w:val="left" w:pos="1418"/>
                        </w:tabs>
                        <w:suppressAutoHyphens/>
                        <w:ind w:firstLine="680"/>
                        <w:jc w:val="both"/>
                        <w:rPr>
                          <w:rFonts w:ascii="Thorndale" w:eastAsia="HG Mincho Light J" w:hAnsi="Thorndale" w:hint="eastAsia"/>
                          <w:color w:val="000000"/>
                          <w:szCs w:val="24"/>
                          <w:lang w:eastAsia="lt-LT"/>
                        </w:rPr>
                      </w:pPr>
                      <w:sdt>
                        <w:sdtPr>
                          <w:alias w:val="Numeris"/>
                          <w:tag w:val="nr_d83bd4e6d6ad4979abfe310f75848ab8"/>
                          <w:lock w:val="sdtLocked"/>
                          <w:richText/>
                        </w:sdtPr>
                        <w:sdtContent>
                          <w:r>
                            <w:rPr>
                              <w:color w:val="000000"/>
                              <w:lang w:eastAsia="ar-SA"/>
                            </w:rPr>
                            <w:t>1.2.2</w:t>
                          </w:r>
                        </w:sdtContent>
                      </w:sdt>
                      <w:r>
                        <w:rPr>
                          <w:color w:val="000000"/>
                          <w:lang w:eastAsia="ar-SA"/>
                        </w:rPr>
                        <w:t>.</w:t>
                        <w:tab/>
                      </w:r>
                      <w:r>
                        <w:rPr>
                          <w:rFonts w:ascii="Thorndale" w:eastAsia="HG Mincho Light J" w:hAnsi="Thorndale"/>
                          <w:color w:val="000000"/>
                          <w:szCs w:val="24"/>
                          <w:lang w:eastAsia="lt-LT"/>
                        </w:rPr>
                        <w:t>Pakeisti 30.2 papunktį ir jį išdėstyti taip:</w:t>
                      </w:r>
                    </w:p>
                    <w:sdt>
                      <w:sdtPr>
                        <w:alias w:val="citata"/>
                        <w:tag w:val="part_40b76f8ce53e4b91b92541d8ebc10cda"/>
                        <w:lock w:val="sdtLocked"/>
                        <w:richText/>
                      </w:sdtPr>
                      <w:sdtContent>
                        <w:sdt>
                          <w:sdtPr>
                            <w:alias w:val="30.2 pp."/>
                            <w:tag w:val="part_7891c05f30de4d228439b4bff7547528"/>
                            <w:lock w:val="sdtLocked"/>
                            <w:richText/>
                          </w:sdtPr>
                          <w:sdtContent>
                            <w:p w14:paraId="3962B287" w14:textId="77777777">
                              <w:pPr>
                                <w:widowControl w:val="0"/>
                                <w:tabs>
                                  <w:tab w:val="left" w:pos="1134"/>
                                </w:tabs>
                                <w:ind w:firstLine="680"/>
                                <w:jc w:val="both"/>
                                <w:rPr>
                                  <w:rFonts w:eastAsia="HG Mincho Light J"/>
                                  <w:color w:val="000000"/>
                                  <w:szCs w:val="24"/>
                                  <w:lang w:eastAsia="lt-LT"/>
                                </w:rPr>
                              </w:pPr>
                              <w:r>
                                <w:rPr>
                                  <w:rFonts w:eastAsia="HG Mincho Light J"/>
                                  <w:color w:val="000000"/>
                                  <w:szCs w:val="24"/>
                                  <w:lang w:eastAsia="lt-LT"/>
                                </w:rPr>
                                <w:t>„</w:t>
                              </w:r>
                              <w:sdt>
                                <w:sdtPr>
                                  <w:alias w:val="Numeris"/>
                                  <w:tag w:val="nr_7891c05f30de4d228439b4bff7547528"/>
                                  <w:lock w:val="sdtLocked"/>
                                  <w:richText/>
                                </w:sdtPr>
                                <w:sdtContent>
                                  <w:r>
                                    <w:rPr>
                                      <w:rFonts w:eastAsia="HG Mincho Light J"/>
                                      <w:color w:val="000000"/>
                                      <w:szCs w:val="24"/>
                                      <w:lang w:eastAsia="lt-LT"/>
                                    </w:rPr>
                                    <w:t>30.2</w:t>
                                  </w:r>
                                </w:sdtContent>
                              </w:sdt>
                              <w:r>
                                <w:rPr>
                                  <w:rFonts w:eastAsia="HG Mincho Light J"/>
                                  <w:color w:val="000000"/>
                                  <w:szCs w:val="24"/>
                                  <w:lang w:eastAsia="lt-LT"/>
                                </w:rPr>
                                <w:t xml:space="preserve">. </w:t>
                              </w:r>
                              <w:r>
                                <w:rPr>
                                  <w:rFonts w:eastAsia="HG Mincho Light J"/>
                                  <w:bCs/>
                                  <w:color w:val="000000"/>
                                  <w:szCs w:val="24"/>
                                  <w:lang w:eastAsia="ar-SA"/>
                                </w:rPr>
                                <w:t>pagal faktinį keleivių kelionių skaičių, bet ne daugiau kaip kiekvieno asmens, sukakusio 75 metus, asmens, turinčio didelių specialiųjų poreikių, ir Šiaulių rajono gyventojo 44 važiavimų miesto autobusais per mėnesį kainą, apytiksliai atitinkančią vieno kalendorinio mėnesio terminuoto bilieto kainą. Už vieną keleivio važiavimą vežėjui mokama nustatyta vieno vienkartinio bilieto, įsigyjamo Šiaulių miesto savivaldybės prekybos vietose, kaina, vadovaujantis galiojančiu Šiaulių miesto savivaldybės tarybos sprendimu dėl keleivių vežimo vietinio (miesto) reguliaraus susisiekimo autobusų maršrutais Šiaulių miesto savivaldybėje kainų nustatymo;</w:t>
                              </w:r>
                              <w:r>
                                <w:rPr>
                                  <w:rFonts w:eastAsia="HG Mincho Light J"/>
                                  <w:color w:val="000000"/>
                                  <w:szCs w:val="24"/>
                                  <w:lang w:eastAsia="lt-LT"/>
                                </w:rPr>
                                <w:t>“;</w:t>
                              </w:r>
                            </w:p>
                          </w:sdtContent>
                        </w:sdt>
                      </w:sdtContent>
                    </w:sdt>
                  </w:sdtContent>
                </w:sdt>
                <w:sdt>
                  <w:sdtPr>
                    <w:alias w:val="1.2.3 pp."/>
                    <w:tag w:val="part_244a5263942549aabb72802e76e728cb"/>
                    <w:lock w:val="sdtLocked"/>
                    <w:richText/>
                  </w:sdtPr>
                  <w:sdtContent>
                    <w:p w14:paraId="2ECD501B" w14:textId="0CF75C30">
                      <w:pPr>
                        <w:widowControl w:val="0"/>
                        <w:tabs>
                          <w:tab w:val="left" w:pos="1418"/>
                        </w:tabs>
                        <w:ind w:firstLine="680"/>
                        <w:jc w:val="both"/>
                        <w:rPr>
                          <w:rFonts w:ascii="Thorndale" w:eastAsia="HG Mincho Light J" w:hAnsi="Thorndale" w:hint="eastAsia"/>
                          <w:color w:val="000000"/>
                          <w:szCs w:val="24"/>
                          <w:lang w:eastAsia="lt-LT"/>
                        </w:rPr>
                      </w:pPr>
                      <w:sdt>
                        <w:sdtPr>
                          <w:alias w:val="Numeris"/>
                          <w:tag w:val="nr_244a5263942549aabb72802e76e728cb"/>
                          <w:lock w:val="sdtLocked"/>
                          <w:richText/>
                        </w:sdtPr>
                        <w:sdtContent>
                          <w:r>
                            <w:rPr>
                              <w:color w:val="000000"/>
                              <w:lang w:eastAsia="ar-SA"/>
                            </w:rPr>
                            <w:t>1.2.3</w:t>
                          </w:r>
                        </w:sdtContent>
                      </w:sdt>
                      <w:r>
                        <w:rPr>
                          <w:color w:val="000000"/>
                          <w:lang w:eastAsia="ar-SA"/>
                        </w:rPr>
                        <w:t>.</w:t>
                        <w:tab/>
                      </w:r>
                      <w:r>
                        <w:rPr>
                          <w:rFonts w:ascii="Thorndale" w:eastAsia="HG Mincho Light J" w:hAnsi="Thorndale"/>
                          <w:color w:val="000000"/>
                          <w:szCs w:val="24"/>
                          <w:lang w:eastAsia="lt-LT"/>
                        </w:rPr>
                        <w:t>Pakeisti 30.3 papunktį ir jį išdėstyti taip:</w:t>
                      </w:r>
                    </w:p>
                    <w:sdt>
                      <w:sdtPr>
                        <w:alias w:val="citata"/>
                        <w:tag w:val="part_f8755b5a284c4962b91b0d0e420dd33d"/>
                        <w:lock w:val="sdtLocked"/>
                        <w:richText/>
                      </w:sdtPr>
                      <w:sdtContent>
                        <w:sdt>
                          <w:sdtPr>
                            <w:alias w:val="30.3 pp."/>
                            <w:tag w:val="part_a862b7e25a394570834aec67730461ff"/>
                            <w:lock w:val="sdtLocked"/>
                            <w:richText/>
                          </w:sdtPr>
                          <w:sdtContent>
                            <w:p w14:paraId="4AF16ABB" w14:textId="466F0EF8">
                              <w:pPr>
                                <w:widowControl w:val="0"/>
                                <w:tabs>
                                  <w:tab w:val="left" w:pos="1134"/>
                                </w:tabs>
                                <w:ind w:firstLine="680"/>
                                <w:jc w:val="both"/>
                                <w:rPr>
                                  <w:rFonts w:eastAsia="HG Mincho Light J"/>
                                  <w:color w:val="000000"/>
                                  <w:szCs w:val="24"/>
                                  <w:lang w:eastAsia="lt-LT"/>
                                </w:rPr>
                              </w:pPr>
                              <w:r>
                                <w:rPr>
                                  <w:rFonts w:eastAsia="HG Mincho Light J"/>
                                  <w:color w:val="000000"/>
                                  <w:szCs w:val="24"/>
                                  <w:lang w:eastAsia="lt-LT"/>
                                </w:rPr>
                                <w:t>„</w:t>
                              </w:r>
                              <w:sdt>
                                <w:sdtPr>
                                  <w:alias w:val="Numeris"/>
                                  <w:tag w:val="nr_a862b7e25a394570834aec67730461ff"/>
                                  <w:lock w:val="sdtLocked"/>
                                  <w:richText/>
                                </w:sdtPr>
                                <w:sdtContent>
                                  <w:r>
                                    <w:rPr>
                                      <w:rFonts w:eastAsia="HG Mincho Light J"/>
                                      <w:color w:val="000000"/>
                                      <w:szCs w:val="24"/>
                                      <w:lang w:eastAsia="lt-LT"/>
                                    </w:rPr>
                                    <w:t>30.3</w:t>
                                  </w:r>
                                </w:sdtContent>
                              </w:sdt>
                              <w:r>
                                <w:rPr>
                                  <w:rFonts w:eastAsia="HG Mincho Light J"/>
                                  <w:color w:val="000000"/>
                                  <w:szCs w:val="24"/>
                                  <w:lang w:eastAsia="lt-LT"/>
                                </w:rPr>
                                <w:t xml:space="preserve">. </w:t>
                              </w:r>
                              <w:r>
                                <w:rPr>
                                  <w:rFonts w:eastAsia="HG Mincho Light J"/>
                                  <w:bCs/>
                                  <w:color w:val="000000"/>
                                  <w:szCs w:val="24"/>
                                  <w:lang w:eastAsia="ar-SA"/>
                                </w:rPr>
                                <w:t>pagal faktinį keleivių kelionių skaičių, bet ne daugiau kaip kiekvieno asmens, sukakusio 70 metų ir įsigijusio vieno kalendorinio mėnesio tik savaitgalio dienomis bilietą, 8 važiavimų miesto autobusais per mėnesį kainą, apytiksliai atitinkančią vieno kalendorinio mėnesio tik savaitgalio dienomis galiojančio terminuoto bilieto kainą. Už vieną keleivio važiavimą vežėjui mokama nustatyta vieno vienkartinio bilieto, įsigyjamo Šiaulių miesto savivaldybės prekybos vietose, kaina, vadovaujantis galiojančiu Šiaulių miesto savivaldybės tarybos sprendimu dėl keleivių vežimo vietinio (miesto) reguliaraus susisiekimo autobusų maršrutais Šiaulių miesto savivaldybėje kainų nustatymo.</w:t>
                              </w:r>
                              <w:r>
                                <w:rPr>
                                  <w:rFonts w:eastAsia="HG Mincho Light J"/>
                                  <w:color w:val="000000"/>
                                  <w:szCs w:val="24"/>
                                  <w:lang w:eastAsia="lt-LT"/>
                                </w:rPr>
                                <w:t>“;</w:t>
                              </w:r>
                            </w:p>
                          </w:sdtContent>
                        </w:sdt>
                      </w:sdtContent>
                    </w:sdt>
                  </w:sdtContent>
                </w:sdt>
                <w:sdt>
                  <w:sdtPr>
                    <w:alias w:val="1.2.4 pp."/>
                    <w:tag w:val="part_cb7b4519b7134b03911910cc31140349"/>
                    <w:lock w:val="sdtLocked"/>
                    <w:richText/>
                  </w:sdtPr>
                  <w:sdtContent>
                    <w:p w14:paraId="39910BE6" w14:textId="69ABA9FB">
                      <w:pPr>
                        <w:widowControl w:val="0"/>
                        <w:tabs>
                          <w:tab w:val="left" w:pos="1134"/>
                          <w:tab w:val="left" w:pos="1418"/>
                        </w:tabs>
                        <w:ind w:firstLine="680"/>
                        <w:jc w:val="both"/>
                        <w:rPr>
                          <w:rFonts w:ascii="Thorndale" w:eastAsia="HG Mincho Light J" w:hAnsi="Thorndale" w:hint="eastAsia"/>
                          <w:color w:val="000000"/>
                          <w:szCs w:val="24"/>
                          <w:lang w:eastAsia="lt-LT"/>
                        </w:rPr>
                      </w:pPr>
                      <w:sdt>
                        <w:sdtPr>
                          <w:alias w:val="Numeris"/>
                          <w:tag w:val="nr_cb7b4519b7134b03911910cc31140349"/>
                          <w:lock w:val="sdtLocked"/>
                          <w:richText/>
                        </w:sdtPr>
                        <w:sdtContent>
                          <w:r>
                            <w:rPr>
                              <w:color w:val="000000"/>
                              <w:lang w:eastAsia="ar-SA"/>
                            </w:rPr>
                            <w:t>1.2.4</w:t>
                          </w:r>
                        </w:sdtContent>
                      </w:sdt>
                      <w:r>
                        <w:rPr>
                          <w:color w:val="000000"/>
                          <w:lang w:eastAsia="ar-SA"/>
                        </w:rPr>
                        <w:t>.</w:t>
                        <w:tab/>
                      </w:r>
                      <w:r>
                        <w:rPr>
                          <w:rFonts w:ascii="Thorndale" w:eastAsia="HG Mincho Light J" w:hAnsi="Thorndale"/>
                          <w:color w:val="000000"/>
                          <w:szCs w:val="24"/>
                          <w:lang w:eastAsia="lt-LT"/>
                        </w:rPr>
                        <w:t>Pakeisti 35 punktą ir jį išdėstyti taip:</w:t>
                      </w:r>
                    </w:p>
                    <w:sdt>
                      <w:sdtPr>
                        <w:alias w:val="citata"/>
                        <w:tag w:val="part_8851c8f47b1849ad81f93840ac907c76"/>
                        <w:lock w:val="sdtLocked"/>
                        <w:richText/>
                      </w:sdtPr>
                      <w:sdtContent>
                        <w:sdt>
                          <w:sdtPr>
                            <w:alias w:val="35 p."/>
                            <w:tag w:val="part_658b3363cd8742a2878765811b41da48"/>
                            <w:lock w:val="sdtLocked"/>
                            <w:richText/>
                          </w:sdtPr>
                          <w:sdtContent>
                            <w:p w14:paraId="05D39970" w14:textId="4DE3E8DA">
                              <w:pPr>
                                <w:widowControl w:val="0"/>
                                <w:tabs>
                                  <w:tab w:val="left" w:pos="1134"/>
                                </w:tabs>
                                <w:ind w:firstLine="680"/>
                                <w:jc w:val="both"/>
                                <w:rPr>
                                  <w:rFonts w:eastAsia="HG Mincho Light J"/>
                                  <w:bCs/>
                                  <w:color w:val="000000"/>
                                  <w:szCs w:val="24"/>
                                  <w:lang w:eastAsia="ar-SA"/>
                                </w:rPr>
                              </w:pPr>
                              <w:r>
                                <w:rPr>
                                  <w:rFonts w:eastAsia="HG Mincho Light J"/>
                                  <w:color w:val="000000"/>
                                  <w:szCs w:val="24"/>
                                  <w:lang w:eastAsia="lt-LT"/>
                                </w:rPr>
                                <w:t>„</w:t>
                              </w:r>
                              <w:sdt>
                                <w:sdtPr>
                                  <w:alias w:val="Numeris"/>
                                  <w:tag w:val="nr_658b3363cd8742a2878765811b41da48"/>
                                  <w:lock w:val="sdtLocked"/>
                                  <w:richText/>
                                </w:sdtPr>
                                <w:sdtContent>
                                  <w:r>
                                    <w:rPr>
                                      <w:rFonts w:eastAsia="HG Mincho Light J"/>
                                      <w:color w:val="000000"/>
                                      <w:szCs w:val="24"/>
                                      <w:lang w:eastAsia="lt-LT"/>
                                    </w:rPr>
                                    <w:t>35</w:t>
                                  </w:r>
                                </w:sdtContent>
                              </w:sdt>
                              <w:r>
                                <w:rPr>
                                  <w:rFonts w:eastAsia="HG Mincho Light J"/>
                                  <w:color w:val="000000"/>
                                  <w:szCs w:val="24"/>
                                  <w:lang w:eastAsia="lt-LT"/>
                                </w:rPr>
                                <w:t>. Šiaulių rajono savivaldybės administracija kompensuoja Šiaulių miesto savivaldybės administracijai vežėjo išlaidas (negautas pajamas) pagal faktinį kiekvieno Šiaulių rajono gyventojo kelionių miesto autobusais skaičių, bet ne daugiau kaip 44 (keturiasdešimt keturių) važiavimų per vieną mėnesį kainą, apytiksliai atitinkančią vieno kalendorinio mėnesio terminuoto bilieto kainą. Už vieną Šiaulių rajono gyventojo miesto autobusais važiavimą Šiaulių miesto savivaldybės administracijai mokama vieno vienkartinio bilieto, parduodamo Šiaulių miesto savivaldybės prekybos vietose, kainą, vadovaujantis galiojančiu Šiaulių miesto savivaldybės tarybos sprendimu dėl keleivių vežimo vietinio (miesto) reguliaraus susisiekimo autobusų maršrutais Šiaulių miesto savivaldybėje kainų nustatymo.</w:t>
                              </w:r>
                              <w:r>
                                <w:rPr>
                                  <w:rFonts w:eastAsia="HG Mincho Light J"/>
                                  <w:bCs/>
                                  <w:color w:val="000000"/>
                                  <w:szCs w:val="24"/>
                                  <w:lang w:eastAsia="ar-SA"/>
                                </w:rPr>
                                <w:t>“</w:t>
                              </w:r>
                            </w:p>
                          </w:sdtContent>
                        </w:sdt>
                      </w:sdtContent>
                    </w:sdt>
                  </w:sdtContent>
                </w:sdt>
              </w:sdtContent>
            </w:sdt>
          </w:sdtContent>
        </w:sdt>
        <w:sdt>
          <w:sdtPr>
            <w:alias w:val="2 p."/>
            <w:tag w:val="part_f7e4530cedaf42b68c9de0c4647cbfcf"/>
            <w:lock w:val="sdtLocked"/>
            <w:richText/>
          </w:sdtPr>
          <w:sdtContent>
            <w:p w14:paraId="3F2616E3" w14:textId="5337596B">
              <w:pPr>
                <w:widowControl w:val="0"/>
                <w:tabs>
                  <w:tab w:val="right" w:pos="1134"/>
                </w:tabs>
                <w:suppressAutoHyphens/>
                <w:ind w:firstLine="680"/>
                <w:jc w:val="both"/>
                <w:rPr>
                  <w:rFonts w:ascii="Thorndale" w:eastAsia="HG Mincho Light J" w:hAnsi="Thorndale" w:hint="eastAsia"/>
                  <w:color w:val="000000"/>
                  <w:szCs w:val="24"/>
                  <w:lang w:eastAsia="lt-LT"/>
                </w:rPr>
              </w:pPr>
              <w:sdt>
                <w:sdtPr>
                  <w:alias w:val="Numeris"/>
                  <w:tag w:val="nr_f7e4530cedaf42b68c9de0c4647cbfcf"/>
                  <w:lock w:val="sdtLocked"/>
                  <w:richText/>
                </w:sdtPr>
                <w:sdtContent>
                  <w:r>
                    <w:rPr>
                      <w:color w:val="000000"/>
                      <w:lang w:eastAsia="ar-SA"/>
                    </w:rPr>
                    <w:t>2</w:t>
                  </w:r>
                </w:sdtContent>
              </w:sdt>
              <w:r>
                <w:rPr>
                  <w:color w:val="000000"/>
                  <w:lang w:eastAsia="ar-SA"/>
                </w:rPr>
                <w:t>.</w:t>
                <w:tab/>
              </w:r>
              <w:r>
                <w:rPr>
                  <w:rFonts w:ascii="Thorndale" w:eastAsia="HG Mincho Light J" w:hAnsi="Thorndale"/>
                  <w:color w:val="000000"/>
                  <w:szCs w:val="24"/>
                  <w:lang w:eastAsia="lt-LT"/>
                </w:rPr>
                <w:t>Nustatyti, kad šio sprendimo 1.2 papunktis įsigalioja 2026 m. sausio 1 d.</w:t>
              </w:r>
            </w:p>
            <w:p w14:paraId="1DAD865C" w14:textId="77777777">
              <w:pPr>
                <w:widowControl w:val="0"/>
                <w:tabs>
                  <w:tab w:val="right" w:pos="9570"/>
                </w:tabs>
                <w:suppressAutoHyphens/>
                <w:jc w:val="both"/>
                <w:rPr>
                  <w:rFonts w:eastAsia="HG Mincho Light J"/>
                  <w:color w:val="000000"/>
                  <w:szCs w:val="24"/>
                  <w:lang w:eastAsia="lt-LT"/>
                </w:rPr>
              </w:pPr>
            </w:p>
            <w:p w14:paraId="3CB630E3" w14:textId="77777777">
              <w:pPr>
                <w:widowControl w:val="0"/>
                <w:tabs>
                  <w:tab w:val="right" w:pos="9570"/>
                </w:tabs>
                <w:suppressAutoHyphens/>
                <w:jc w:val="both"/>
                <w:rPr>
                  <w:rFonts w:eastAsia="HG Mincho Light J"/>
                  <w:color w:val="000000"/>
                  <w:szCs w:val="24"/>
                  <w:lang w:eastAsia="lt-LT"/>
                </w:rPr>
              </w:pPr>
            </w:p>
          </w:sdtContent>
        </w:sdt>
        <w:sdt>
          <w:sdtPr>
            <w:alias w:val="signatura"/>
            <w:tag w:val="part_adb77805cae642218126ef98326be6db"/>
            <w:lock w:val="sdtLocked"/>
            <w:richText/>
          </w:sdtPr>
          <w:sdtContent>
            <w:p w14:paraId="3348D676" w14:textId="77777777">
              <w:pPr>
                <w:widowControl w:val="0"/>
                <w:tabs>
                  <w:tab w:val="right" w:pos="9570"/>
                </w:tabs>
                <w:suppressAutoHyphens/>
                <w:jc w:val="both"/>
                <w:rPr>
                  <w:rFonts w:eastAsia="HG Mincho Light J"/>
                  <w:color w:val="000000"/>
                  <w:szCs w:val="24"/>
                  <w:lang w:eastAsia="lt-LT"/>
                </w:rPr>
              </w:pPr>
              <w:r>
                <w:rPr>
                  <w:rFonts w:eastAsia="HG Mincho Light J"/>
                  <w:color w:val="000000"/>
                  <w:szCs w:val="24"/>
                  <w:lang w:eastAsia="lt-LT"/>
                </w:rPr>
                <w:t>Savivaldybės meras</w:t>
              </w:r>
            </w:p>
          </w:sdtContent>
        </w:sdt>
      </w:sdtContent>
    </w:sdt>
    <w:sectPr>
      <w:footnotePr>
        <w:pos w:val="beneathText"/>
        <w:numRestart w:val="eachPage"/>
      </w:footnotePr>
      <w:endnotePr>
        <w:numFmt w:val="decimal"/>
      </w:endnotePr>
      <w:pgSz w:w="11906" w:h="16838"/>
      <w:pgMar w:top="1134" w:right="567" w:bottom="1134" w:left="1701" w:header="561" w:footer="697" w:gutter="0"/>
      <w:cols w:space="720"/>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BBE366" w14:textId="77777777">
      <w:pPr>
        <w:widowControl w:val="0"/>
        <w:suppressAutoHyphens/>
        <w:rPr>
          <w:rFonts w:ascii="Thorndale" w:eastAsia="HG Mincho Light J" w:hAnsi="Thorndale" w:hint="eastAsia"/>
          <w:color w:val="000000"/>
          <w:szCs w:val="24"/>
          <w:lang w:eastAsia="lt-LT"/>
        </w:rPr>
      </w:pPr>
      <w:r>
        <w:rPr>
          <w:rFonts w:ascii="Thorndale" w:eastAsia="HG Mincho Light J" w:hAnsi="Thorndale"/>
          <w:color w:val="000000"/>
          <w:szCs w:val="24"/>
          <w:lang w:eastAsia="lt-LT"/>
        </w:rPr>
        <w:separator/>
      </w:r>
    </w:p>
  </w:endnote>
  <w:endnote w:type="continuationSeparator" w:id="0">
    <w:p w14:paraId="18313327" w14:textId="77777777">
      <w:pPr>
        <w:widowControl w:val="0"/>
        <w:suppressAutoHyphens/>
        <w:rPr>
          <w:rFonts w:ascii="Thorndale" w:eastAsia="HG Mincho Light J" w:hAnsi="Thorndale" w:hint="eastAsia"/>
          <w:color w:val="000000"/>
          <w:szCs w:val="24"/>
          <w:lang w:eastAsia="lt-LT"/>
        </w:rPr>
      </w:pPr>
      <w:r>
        <w:rPr>
          <w:rFonts w:ascii="Thorndale" w:eastAsia="HG Mincho Light J" w:hAnsi="Thorndale"/>
          <w:color w:val="00000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00"/>
    <w:family w:val="roman"/>
    <w:pitch w:val="default"/>
  </w:font>
  <w:font w:name="HG Mincho Light J">
    <w:altName w:val="Times New Roman"/>
    <w:charset w:val="00"/>
    <w:family w:val="auto"/>
    <w:pitch w:val="default"/>
    <w:sig w:usb0="00000000" w:usb1="00000000" w:usb2="00000000" w:usb3="00000000" w:csb0="00040001"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5A7EA2" w14:textId="77777777">
      <w:pPr>
        <w:widowControl w:val="0"/>
        <w:suppressAutoHyphens/>
        <w:rPr>
          <w:rFonts w:ascii="Thorndale" w:eastAsia="HG Mincho Light J" w:hAnsi="Thorndale" w:hint="eastAsia"/>
          <w:color w:val="000000"/>
          <w:szCs w:val="24"/>
          <w:lang w:eastAsia="lt-LT"/>
        </w:rPr>
      </w:pPr>
      <w:r>
        <w:rPr>
          <w:rFonts w:ascii="Thorndale" w:eastAsia="HG Mincho Light J" w:hAnsi="Thorndale"/>
          <w:color w:val="000000"/>
          <w:szCs w:val="24"/>
          <w:lang w:eastAsia="lt-LT"/>
        </w:rPr>
        <w:separator/>
      </w:r>
    </w:p>
  </w:footnote>
  <w:footnote w:type="continuationSeparator" w:id="0">
    <w:p w14:paraId="2FA48CE2" w14:textId="77777777">
      <w:pPr>
        <w:widowControl w:val="0"/>
        <w:suppressAutoHyphens/>
        <w:rPr>
          <w:rFonts w:ascii="Thorndale" w:eastAsia="HG Mincho Light J" w:hAnsi="Thorndale" w:hint="eastAsia"/>
          <w:color w:val="000000"/>
          <w:szCs w:val="24"/>
          <w:lang w:eastAsia="lt-LT"/>
        </w:rPr>
      </w:pPr>
      <w:r>
        <w:rPr>
          <w:rFonts w:ascii="Thorndale" w:eastAsia="HG Mincho Light J" w:hAnsi="Thorndale"/>
          <w:color w:val="000000"/>
          <w:szCs w:val="24"/>
          <w:lang w:eastAsia="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772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B25E3C"/>
  <w15:chartTrackingRefBased/>
  <w15:docId w15:val="{222FE4F0-3E9C-4BE6-85C9-83177D2E00B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419768">
      <w:bodyDiv w:val="1"/>
      <w:marLeft w:val="0"/>
      <w:marRight w:val="0"/>
      <w:marTop w:val="0"/>
      <w:marBottom w:val="0"/>
      <w:divBdr>
        <w:top w:val="none" w:sz="0" w:space="0" w:color="auto"/>
        <w:left w:val="none" w:sz="0" w:space="0" w:color="auto"/>
        <w:bottom w:val="none" w:sz="0" w:space="0" w:color="auto"/>
        <w:right w:val="none" w:sz="0" w:space="0" w:color="auto"/>
      </w:divBdr>
    </w:div>
    <w:div w:id="21177967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7ec9b56bcfe45b0bdcffe88818d4a96" PartId="74dc7df104e34de6a8790e5838b21764">
    <Part Type="preambule" DocPartId="2a9958bb1e654c4882923df2e4a5391c" PartId="66e4d624a2214829b01fd0a1179e9227"/>
    <Part Type="punktas" Nr="1" Abbr="1 p." DocPartId="7623894a196742d7924977c293394d05" PartId="3f1644edae814e8298331486d064b709">
      <Part Type="papunktis" Nr="1.1" Abbr="1.1 pp." DocPartId="780ba6229f4b450c9292d2925cc22b8a" PartId="a0037bd439db4447a9ef7b3306932c0c">
        <Part Type="citata" DocPartId="5c9b527afc7b4abaa3bb1df39e52608c" PartId="3da9ab076f1e4386a1f03d656d47bd50">
          <Part Type="pastraipa" DocPartId="d29d012bade94a37a3af1f6476a67baa" PartId="3c4236b4a5974339b5b883cdc10dbfb5"/>
        </Part>
      </Part>
      <Part Type="papunktis" Nr="1.2" Abbr="1.2 pp." DocPartId="a42f8bb323ba43f885a634732020c1f2" PartId="f9fa5182efa543018bf9998ebd6988c4">
        <Part Type="papunktis" Nr="1.2.1" Abbr="1.2.1 pp." DocPartId="beecc736ab8644c8a4f52b7bac46aa6b" PartId="a500db72732945b99675c51b87b6fdf5">
          <Part Type="citata" DocPartId="264efa35b80d4118a3450a7e6e49a2ae" PartId="3f5c2a4aada24782a601ea62658ff608">
            <Part Type="punktas" Nr="8" Abbr="8 p." DocPartId="be0c703f64c747c4add004024ff3dd0b" PartId="063726e187b84a1c8246757c978b1556"/>
          </Part>
        </Part>
        <Part Type="papunktis" Nr="1.2.2" Abbr="1.2.2 pp." DocPartId="eb289fc0620e409c8980dba3e68a7ee9" PartId="d83bd4e6d6ad4979abfe310f75848ab8">
          <Part Type="citata" DocPartId="7f9a44b8d1444dd1bac2ceca7a9a38f8" PartId="40b76f8ce53e4b91b92541d8ebc10cda">
            <Part Type="papunktis" Nr="30.2" Abbr="30.2 pp." DocPartId="bda42804f2e64af7830f91a302d814bc" PartId="7891c05f30de4d228439b4bff7547528"/>
          </Part>
        </Part>
        <Part Type="papunktis" Nr="1.2.3" Abbr="1.2.3 pp." DocPartId="cb14bb5d1e4e4d519482a7cfed18d6ee" PartId="244a5263942549aabb72802e76e728cb">
          <Part Type="citata" DocPartId="03e142291bf34375b0ead80df8375cee" PartId="f8755b5a284c4962b91b0d0e420dd33d">
            <Part Type="papunktis" Nr="30.3" Abbr="30.3 pp." DocPartId="0ce21638aafe4f448f8a56c7dc2a2f0c" PartId="a862b7e25a394570834aec67730461ff"/>
          </Part>
        </Part>
        <Part Type="papunktis" Nr="1.2.4" Abbr="1.2.4 pp." DocPartId="5722a89de2d24df6934e96774c2dbc2f" PartId="cb7b4519b7134b03911910cc31140349">
          <Part Type="citata" DocPartId="a41a796a9e18492585af45e557bc43c7" PartId="8851c8f47b1849ad81f93840ac907c76">
            <Part Type="punktas" Nr="35" Abbr="35 p." DocPartId="da910e668c3240cd8ef01f6c1b5687a9" PartId="658b3363cd8742a2878765811b41da48"/>
          </Part>
        </Part>
      </Part>
    </Part>
    <Part Type="punktas" Nr="2" Abbr="2 p." DocPartId="52949d7db3fd4c17bc68cf51e32a5faa" PartId="f7e4530cedaf42b68c9de0c4647cbfcf"/>
    <Part Type="signatura" DocPartId="c31dee804bde4e1080739617548c795c" PartId="adb77805cae642218126ef98326be6db"/>
  </Part>
</Parts>
</file>

<file path=customXml/itemProps1.xml><?xml version="1.0" encoding="utf-8"?>
<ds:datastoreItem xmlns:ds="http://schemas.openxmlformats.org/officeDocument/2006/customXml" ds:itemID="{06A179DD-E91E-4EDA-8B10-A4B3E2CD320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597</Words>
  <Characters>4293</Characters>
  <Application>Microsoft Office Word</Application>
  <DocSecurity>4</DocSecurity>
  <Lines>74</Lines>
  <Paragraphs>24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4866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2025-10-15T06:42:00Z</dcterms:created>
  <dc:creator>Violeta Valančienė</dc:creator>
  <lastModifiedBy>adlibuser</lastModifiedBy>
  <dcterms:modified xsi:type="dcterms:W3CDTF">2025-10-15T06:42:00Z</dcterms:modified>
  <revision>2</revision>
</coreProperties>
</file>