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cc5015ca3e0a4b2987d4a599fee8a6df"/>
        <w:lock w:val="sdtLocked"/>
        <w:richText/>
      </w:sdtPr>
      <w:sdtContent>
        <w:p>
          <w:pPr>
            <w:widowControl w:val="0"/>
            <w:jc w:val="center"/>
            <w:rPr>
              <w:b/>
              <w:caps/>
              <w:lang w:eastAsia="lt-LT"/>
            </w:rPr>
          </w:pPr>
          <w:r>
            <w:rPr>
              <w:b/>
              <w:caps/>
              <w:lang w:eastAsia="lt-LT"/>
            </w:rPr>
            <w:t>Dėl VALSTYBĖS ILGALAIKIO MATERIALIOJO TURTO NURAŠYMO</w:t>
          </w:r>
        </w:p>
        <w:p>
          <w:pPr>
            <w:tabs>
              <w:tab w:val="center" w:pos="4819"/>
              <w:tab w:val="right" w:pos="9638"/>
            </w:tabs>
            <w:rPr>
              <w:lang w:eastAsia="lt-LT"/>
            </w:rPr>
          </w:pPr>
        </w:p>
        <w:p>
          <w:pPr>
            <w:ind w:firstLine="62"/>
            <w:jc w:val="center"/>
            <w:rPr>
              <w:lang w:eastAsia="lt-LT"/>
            </w:rPr>
          </w:pPr>
          <w:r>
            <w:rPr>
              <w:lang w:eastAsia="lt-LT"/>
            </w:rPr>
            <w:t xml:space="preserve">Nr.  </w:t>
          </w:r>
        </w:p>
        <w:p>
          <w:pPr>
            <w:jc w:val="center"/>
            <w:rPr>
              <w:lang w:eastAsia="lt-LT"/>
            </w:rPr>
          </w:pPr>
          <w:r>
            <w:rPr>
              <w:lang w:eastAsia="lt-LT"/>
            </w:rPr>
            <w:t>Vilnius</w:t>
          </w:r>
        </w:p>
        <w:p/>
        <w:sdt>
          <w:sdtPr>
            <w:alias w:val="preambule"/>
            <w:tag w:val="part_3a1f05dea9f746ee8a792149cb63fe52"/>
            <w:lock w:val="sdtLocked"/>
            <w:richText/>
          </w:sdtPr>
          <w:sdtContent>
            <w:p>
              <w:pPr>
                <w:tabs>
                  <w:tab w:val="center" w:pos="-7800"/>
                  <w:tab w:val="center" w:pos="4153"/>
                  <w:tab w:val="left" w:pos="6237"/>
                  <w:tab w:val="right" w:pos="8306"/>
                </w:tabs>
                <w:ind w:firstLine="851"/>
                <w:jc w:val="both"/>
                <w:rPr>
                  <w:lang w:eastAsia="lt-LT"/>
                </w:rPr>
              </w:pPr>
              <w:r>
                <w:rPr>
                  <w:lang w:eastAsia="lt-LT"/>
                </w:rPr>
                <w:t>Vadovaudamasi Lietuvos Respublikos valstybės ir savivaldybių turto valdymo, naudojimo ir disponavimo juo įstatymo 27 straipsnio 3 ir 4 dalimis ir įgyvendindama Pripažinto nereikalingu arba netinkamu (negalimu) naudoti valstybės ir savivaldybių turto nurašymo, išardymo ir likvidavimo tvarkos aprašo, patvirtinto Lietuvos Respublikos Vyriausybės 2001 m. spalio 19 d. nutarimu Nr. 1250 „Dėl Pripažinto nereikalingu arba netinkamu (negalimu) naudoti valstybės ir savivaldybių turto nurašymo, išardymo ir likvidavimo tvarkos aprašo patvirtinimo“, nuostatas, Lietuvos Respublikos Vyriausybė  n u t a r i a:</w:t>
              </w:r>
            </w:p>
          </w:sdtContent>
        </w:sdt>
        <w:sdt>
          <w:sdtPr>
            <w:alias w:val="pastraipa"/>
            <w:tag w:val="part_770b810173cd48ffb63b21b873681879"/>
            <w:lock w:val="sdtLocked"/>
            <w:richText/>
          </w:sdtPr>
          <w:sdtContent>
            <w:p>
              <w:pPr>
                <w:ind w:firstLine="851"/>
                <w:jc w:val="both"/>
              </w:pPr>
              <w:r>
                <w:rPr>
                  <w:lang w:eastAsia="lt-LT"/>
                </w:rPr>
                <w:t xml:space="preserve">Nurašyti pripažintą netinkamu (negalimu) naudoti ir nereikalingu valstybės funkcijoms įgyvendinti, nelikus kur pritaikyti, valstybei nuosavybės teise priklausantį ir šiuo metu Lietuvos Respublikos sveikatos apsaugos ministerijos patikėjimo teise valdomą, nuvertėjusį 100 proc.,  ilgalaikį materialųjį turtą – nebaigtą statybą, kurios pavadinimas „</w:t>
              </w:r>
              <w:r>
                <w:rPr>
                  <w:shd w:val="clear" w:color="auto" w:fill="FFFFFF"/>
                  <w:lang w:eastAsia="lt-LT"/>
                </w:rPr>
                <w:t>Sraigtasparnių nusileidimo aikštelės nebaigta statyba VULSK“ (inventorinis numeris IT-000218)</w:t>
              </w:r>
              <w:r>
                <w:rPr>
                  <w:shd w:val="clear" w:color="auto" w:fill="FFFFFF"/>
                </w:rPr>
                <w:t xml:space="preserve">, </w:t>
              </w:r>
              <w:r>
                <w:rPr>
                  <w:lang w:eastAsia="lt-LT"/>
                </w:rPr>
                <w:t xml:space="preserve">likutinė vertė 2026 m. kovo 31 d., neatsižvelgiant į finansinėje apskaitoje pripažintą nuvertėjimą, sutampa su įsigijimo verte ir sudaro </w:t>
              </w:r>
              <w:r>
                <w:rPr>
                  <w:lang w:eastAsia="lt-LT"/>
                </w:rPr>
                <w:t>345 971,98</w:t>
              </w:r>
              <w:r>
                <w:rPr>
                  <w:shd w:val="clear" w:color="auto" w:fill="FFFFFF"/>
                  <w:lang w:eastAsia="lt-LT"/>
                </w:rPr>
                <w:t xml:space="preserve"> Eur</w:t>
              </w:r>
              <w:r>
                <w:rPr>
                  <w:lang w:eastAsia="lt-LT"/>
                </w:rPr>
                <w:t xml:space="preserve"> (trys šimtai keturiasdešimt penki tūkstančiai devyni šimtai septyniasdešimt vienas euras devyniasdešimt aštuoni centai). </w:t>
              </w:r>
            </w:p>
            <w:p>
              <w:pPr>
                <w:tabs>
                  <w:tab w:val="center" w:pos="-7800"/>
                  <w:tab w:val="center" w:pos="4153"/>
                  <w:tab w:val="left" w:pos="6237"/>
                  <w:tab w:val="right" w:pos="8306"/>
                </w:tabs>
                <w:ind w:firstLine="851"/>
                <w:jc w:val="both"/>
                <w:rPr>
                  <w:lang w:eastAsia="lt-LT"/>
                </w:rPr>
              </w:pPr>
            </w:p>
            <w:p>
              <w:pPr>
                <w:tabs>
                  <w:tab w:val="center" w:pos="-7800"/>
                  <w:tab w:val="center" w:pos="4153"/>
                  <w:tab w:val="left" w:pos="6237"/>
                  <w:tab w:val="right" w:pos="8306"/>
                </w:tabs>
                <w:ind w:firstLine="913"/>
                <w:jc w:val="both"/>
                <w:rPr>
                  <w:lang w:eastAsia="lt-LT"/>
                </w:rPr>
              </w:pPr>
            </w:p>
            <w:p>
              <w:pPr>
                <w:tabs>
                  <w:tab w:val="center" w:pos="-7800"/>
                  <w:tab w:val="center" w:pos="4153"/>
                  <w:tab w:val="left" w:pos="6237"/>
                  <w:tab w:val="right" w:pos="8306"/>
                </w:tabs>
                <w:ind w:firstLine="851"/>
                <w:jc w:val="both"/>
                <w:rPr>
                  <w:lang w:eastAsia="lt-LT"/>
                </w:rPr>
              </w:pPr>
            </w:p>
            <w:p>
              <w:pPr>
                <w:ind w:firstLine="851"/>
                <w:jc w:val="both"/>
                <w:rPr>
                  <w:rFonts w:eastAsia="Calibri"/>
                  <w:color w:val="000000"/>
                  <w:szCs w:val="24"/>
                  <w:lang w:eastAsia="lt-LT"/>
                </w:rPr>
              </w:pPr>
            </w:p>
            <w:p>
              <w:pPr>
                <w:ind w:firstLine="851"/>
                <w:jc w:val="both"/>
                <w:rPr>
                  <w:color w:val="000000"/>
                  <w:szCs w:val="24"/>
                  <w:lang w:eastAsia="lt-LT"/>
                </w:rPr>
              </w:pPr>
            </w:p>
          </w:sdtContent>
        </w:sdt>
        <w:sdt>
          <w:sdtPr>
            <w:alias w:val="signatura"/>
            <w:tag w:val="part_de8ce9ee0cd24e2e95211e18131f8ca4"/>
            <w:lock w:val="sdtLocked"/>
            <w:richText/>
          </w:sdtPr>
          <w:sdtContent>
            <w:p>
              <w:pPr>
                <w:tabs>
                  <w:tab w:val="center" w:pos="-7800"/>
                  <w:tab w:val="center" w:pos="4153"/>
                  <w:tab w:val="left" w:pos="6237"/>
                  <w:tab w:val="right" w:pos="8306"/>
                </w:tabs>
                <w:jc w:val="both"/>
                <w:rPr>
                  <w:lang w:eastAsia="lt-LT"/>
                </w:rPr>
              </w:pPr>
              <w:r>
                <w:rPr>
                  <w:lang w:eastAsia="lt-LT"/>
                </w:rPr>
                <w:t>Ministras Pirmininkas</w:t>
                <w:tab/>
                <w:t xml:space="preserve">                                                                                 </w:t>
                <w:tab/>
              </w:r>
            </w:p>
            <w:p>
              <w:pPr>
                <w:tabs>
                  <w:tab w:val="center" w:pos="-7800"/>
                  <w:tab w:val="center" w:pos="4153"/>
                  <w:tab w:val="left" w:pos="6237"/>
                  <w:tab w:val="right" w:pos="8306"/>
                </w:tabs>
                <w:ind w:firstLine="851"/>
                <w:jc w:val="both"/>
                <w:rPr>
                  <w:lang w:eastAsia="lt-LT"/>
                </w:rPr>
              </w:pPr>
            </w:p>
            <w:p>
              <w:pPr>
                <w:tabs>
                  <w:tab w:val="center" w:pos="-7800"/>
                  <w:tab w:val="center" w:pos="4153"/>
                  <w:tab w:val="left" w:pos="6237"/>
                  <w:tab w:val="right" w:pos="8306"/>
                </w:tabs>
                <w:ind w:firstLine="851"/>
                <w:jc w:val="both"/>
                <w:rPr>
                  <w:lang w:eastAsia="lt-LT"/>
                </w:rPr>
              </w:pPr>
            </w:p>
            <w:p>
              <w:pPr>
                <w:tabs>
                  <w:tab w:val="center" w:pos="-7800"/>
                  <w:tab w:val="center" w:pos="4153"/>
                  <w:tab w:val="left" w:pos="6237"/>
                  <w:tab w:val="right" w:pos="8306"/>
                </w:tabs>
                <w:jc w:val="both"/>
                <w:rPr>
                  <w:lang w:eastAsia="lt-LT"/>
                </w:rPr>
              </w:pPr>
              <w:r>
                <w:rPr>
                  <w:lang w:eastAsia="lt-LT"/>
                </w:rPr>
                <w:t xml:space="preserve">Laikinai einantis sveikatos apsaugos ministro pareigas  </w:t>
                <w:tab/>
                <w:tab/>
                <w:tab/>
                <w:t xml:space="preserve">             </w:t>
              </w:r>
            </w:p>
            <w:p>
              <w:pPr>
                <w:tabs>
                  <w:tab w:val="center" w:pos="-7800"/>
                  <w:tab w:val="center" w:pos="4153"/>
                  <w:tab w:val="left" w:pos="6237"/>
                  <w:tab w:val="right" w:pos="8306"/>
                </w:tabs>
                <w:ind w:firstLine="851"/>
                <w:jc w:val="both"/>
                <w:rPr>
                  <w:lang w:eastAsia="lt-LT"/>
                </w:rPr>
              </w:pPr>
            </w:p>
            <w:p/>
          </w:sdtContent>
        </w:sdt>
      </w:sdtContent>
    </w:sdt>
    <w:sectPr>
      <w:headerReference w:type="default" r:id="rId7"/>
      <w:pgSz w:w="11906" w:h="16838"/>
      <w:pgMar w:top="1701" w:right="567" w:bottom="1134" w:left="1701" w:header="567" w:footer="567" w:gutter="0"/>
      <w:cols w:space="1296"/>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lang w:eastAsia="lt-LT"/>
        </w:rPr>
      </w:pPr>
      <w:r>
        <w:rPr>
          <w:lang w:eastAsia="lt-LT"/>
        </w:rPr>
        <w:separator/>
      </w:r>
    </w:p>
  </w:endnote>
  <w:endnote w:type="continuationSeparator" w:id="0">
    <w:p>
      <w:pPr>
        <w:rPr>
          <w:lang w:eastAsia="lt-LT"/>
        </w:rPr>
      </w:pPr>
      <w:r>
        <w:rPr>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Arial">
    <w:panose1 w:val="020B0604020202020204"/>
    <w:charset w:val="BA"/>
    <w:family w:val="swiss"/>
    <w:pitch w:val="variable"/>
    <w:sig w:usb0="E0002AFF" w:usb1="C0007843" w:usb2="00000009" w:usb3="00000000" w:csb0="000001FF" w:csb1="00000000"/>
  </w:font>
  <w:font w:name="Aptos Display">
    <w:charset w:val="00"/>
    <w:family w:val="swiss"/>
    <w:pitch w:val="variable"/>
    <w:sig w:usb0="20000287" w:usb1="00000003" w:usb2="00000000" w:usb3="00000000" w:csb0="0000019F" w:csb1="00000000"/>
  </w:font>
  <w:font w:name="Aptos">
    <w:altName w:val="Arial"/>
    <w:charset w:val="00"/>
    <w:family w:val="swiss"/>
    <w:pitch w:val="variable"/>
    <w:sig w:usb0="20000287" w:usb1="00000003" w:usb2="00000000" w:usb3="00000000" w:csb0="0000019F" w:csb1="00000000"/>
  </w:font>
</w:fonts>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lang w:eastAsia="lt-LT"/>
        </w:rPr>
      </w:pPr>
      <w:r>
        <w:rPr>
          <w:lang w:eastAsia="lt-LT"/>
        </w:rPr>
        <w:separator/>
      </w:r>
    </w:p>
  </w:footnote>
  <w:footnote w:type="continuationSeparator" w:id="0">
    <w:p>
      <w:pPr>
        <w:rPr>
          <w:lang w:eastAsia="lt-LT"/>
        </w:rPr>
      </w:pPr>
      <w:r>
        <w:rPr>
          <w:lang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jc w:val="right"/>
      <w:rPr>
        <w:b/>
        <w:bCs/>
        <w:lang w:eastAsia="lt-LT"/>
      </w:rPr>
    </w:pPr>
    <w:r>
      <w:rPr>
        <w:b/>
        <w:bCs/>
        <w:lang w:val="en-GB" w:eastAsia="en-GB"/>
      </w:rPr>
      <w:t xml:space="preserve"> Projektas</w:t>
    </w:r>
  </w:p>
  <w:p>
    <w:pPr>
      <w:jc w:val="center"/>
      <w:rPr>
        <w:lang w:eastAsia="lt-LT"/>
      </w:rPr>
    </w:pPr>
  </w:p>
  <w:p>
    <w:pPr>
      <w:keepNext/>
      <w:spacing w:before="120"/>
      <w:jc w:val="center"/>
      <w:rPr>
        <w:rFonts w:ascii="Arial" w:hAnsi="Arial" w:cs="Arial"/>
        <w:caps/>
        <w:sz w:val="36"/>
        <w:lang w:eastAsia="lt-LT"/>
      </w:rPr>
    </w:pPr>
    <w:r>
      <w:rPr>
        <w:rFonts w:ascii="Arial" w:hAnsi="Arial" w:cs="Arial"/>
        <w:caps/>
        <w:sz w:val="36"/>
        <w:lang w:eastAsia="lt-LT"/>
      </w:rPr>
      <w:t>Lietuvos Respublikos Vyriausybė</w:t>
    </w:r>
  </w:p>
  <w:p>
    <w:pPr>
      <w:jc w:val="center"/>
      <w:rPr>
        <w:caps/>
        <w:lang w:eastAsia="lt-LT"/>
      </w:rPr>
    </w:pPr>
  </w:p>
  <w:p>
    <w:pPr>
      <w:jc w:val="center"/>
      <w:rPr>
        <w:lang w:eastAsia="lt-LT"/>
      </w:rPr>
    </w:pPr>
    <w:r>
      <w:rPr>
        <w:b/>
        <w:caps/>
        <w:lang w:eastAsia="lt-LT"/>
      </w:rPr>
      <w:t>nutarimas</w:t>
    </w: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F68B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473597D5-B11F-4476-A12C-1D3924757D34}"/>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fontTable" Target="fontTable.xml"/>
  <Relationship Id="rId9" Type="http://schemas.openxmlformats.org/officeDocument/2006/relationships/theme" Target="theme/theme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c4abd88c704e4c849d39978cc3982741" PartId="cc5015ca3e0a4b2987d4a599fee8a6df">
    <Part Type="preambule" DocPartId="9f7010d241914ca39d6a684c8164969d" PartId="3a1f05dea9f746ee8a792149cb63fe52"/>
    <Part Type="pastraipa" DocPartId="0663c464c4014c3d975c59eb6d386f4a" PartId="770b810173cd48ffb63b21b873681879"/>
    <Part Type="signatura" DocPartId="4d3cf1f9df444190a093ef2516f678b1" PartId="de8ce9ee0cd24e2e95211e18131f8ca4"/>
  </Part>
</Parts>
</file>

<file path=customXml/itemProps1.xml><?xml version="1.0" encoding="utf-8"?>
<ds:datastoreItem xmlns:ds="http://schemas.openxmlformats.org/officeDocument/2006/customXml" ds:itemID="{60C21589-C945-43B9-90F4-56B2CA98B89E}">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204</Words>
  <Characters>1488</Characters>
  <Application>Microsoft Office Word</Application>
  <DocSecurity>4</DocSecurity>
  <Lines>35</Lines>
  <Paragraphs>9</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1683</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2026-07-07T06:51:00Z</dcterms:created>
  <dc:creator>Vijolė Butkevičienė</dc:creator>
  <lastModifiedBy>adlibuser</lastModifiedBy>
  <dcterms:modified xsi:type="dcterms:W3CDTF">2026-07-07T06:51:00Z</dcterms:modified>
  <revision>2</revision>
</coreProperties>
</file>