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1dc81a204284b0f9fddfa0bd675cc1f"/>
        <w:lock w:val="sdtLocked"/>
        <w:richText/>
      </w:sdtPr>
      <w:sdtContent>
        <w:p>
          <w:pPr>
            <w:ind w:firstLine="7200"/>
            <w:jc w:val="right"/>
            <w:rPr>
              <w:b/>
              <w:caps/>
              <w:sz w:val="22"/>
            </w:rPr>
          </w:pPr>
          <w:r>
            <w:rPr>
              <w:b/>
              <w:caps/>
              <w:lang w:eastAsia="lt-LT"/>
            </w:rPr>
            <w:t>p</w:t>
          </w:r>
          <w:r>
            <w:rPr>
              <w:b/>
              <w:lang w:eastAsia="lt-LT"/>
            </w:rPr>
            <w:t xml:space="preserve">rojektas </w:t>
          </w:r>
        </w:p>
        <w:p>
          <w:pPr>
            <w:jc w:val="center"/>
            <w:rPr>
              <w:b/>
              <w:bCs/>
              <w:caps/>
            </w:rPr>
          </w:pPr>
        </w:p>
        <w:p>
          <w:pPr>
            <w:spacing w:line="360" w:lineRule="auto"/>
            <w:ind w:firstLine="720"/>
            <w:jc w:val="center"/>
            <w:rPr>
              <w:b/>
              <w:bCs/>
              <w:caps/>
            </w:rPr>
          </w:pPr>
          <w:r>
            <w:rPr>
              <w:b/>
              <w:bCs/>
              <w:caps/>
            </w:rPr>
            <w:t>LIETUVOS RESPUBLIKOS SEIMAS</w:t>
          </w:r>
        </w:p>
        <w:p>
          <w:pPr>
            <w:spacing w:line="360" w:lineRule="auto"/>
            <w:ind w:firstLine="720"/>
            <w:jc w:val="center"/>
            <w:rPr>
              <w:b/>
              <w:bCs/>
              <w:caps/>
            </w:rPr>
          </w:pPr>
          <w:r>
            <w:rPr>
              <w:b/>
              <w:bCs/>
              <w:caps/>
            </w:rPr>
            <w:t>NUTARIMAS</w:t>
          </w:r>
        </w:p>
        <w:p>
          <w:pPr>
            <w:jc w:val="center"/>
            <w:rPr>
              <w:b/>
              <w:bCs/>
              <w:caps/>
            </w:rPr>
          </w:pPr>
          <w:r>
            <w:rPr>
              <w:b/>
              <w:bCs/>
              <w:caps/>
            </w:rPr>
            <w:t xml:space="preserve">DĖL LIETUVOS RESPUBLIKOS SEIMO </w:t>
          </w:r>
          <w:r>
            <w:rPr>
              <w:b/>
              <w:caps/>
              <w:szCs w:val="24"/>
            </w:rPr>
            <w:t>2008 m. balandžio 24 d. nutarimO Nr. X-1511</w:t>
          </w:r>
          <w:r>
            <w:rPr>
              <w:b/>
              <w:bCs/>
              <w:caps/>
            </w:rPr>
            <w:t xml:space="preserve"> „DĖL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SĄRAŠO PAGAL GRUPES, Į KURIAS ATSIŽVELGIANT NUSTATOMOS VALSTYBĖS TARNAUTOJŲ SUVIENODINTŲ PAREIGYBIŲ KATEGORIJOS, PATVIRTINIMO“ </w:t>
          </w:r>
        </w:p>
        <w:p>
          <w:pPr>
            <w:jc w:val="center"/>
            <w:rPr>
              <w:b/>
              <w:caps/>
            </w:rPr>
          </w:pPr>
          <w:r>
            <w:rPr>
              <w:b/>
              <w:bCs/>
              <w:caps/>
            </w:rPr>
            <w:t>PAKEITIMO</w:t>
          </w:r>
        </w:p>
        <w:p>
          <w:pPr>
            <w:jc w:val="center"/>
            <w:rPr>
              <w:sz w:val="22"/>
            </w:rPr>
          </w:pPr>
        </w:p>
        <w:p>
          <w:pPr>
            <w:jc w:val="center"/>
            <w:rPr>
              <w:sz w:val="22"/>
            </w:rPr>
          </w:pPr>
          <w:r>
            <w:rPr>
              <w:sz w:val="22"/>
            </w:rPr>
            <w:t xml:space="preserve">2015 m.                       d. Nr. </w:t>
            <w:br/>
            <w:t>Vilnius</w:t>
          </w:r>
        </w:p>
        <w:p>
          <w:pPr>
            <w:spacing w:line="360" w:lineRule="auto"/>
            <w:ind w:firstLine="680"/>
            <w:jc w:val="both"/>
            <w:rPr>
              <w:szCs w:val="24"/>
            </w:rPr>
          </w:pPr>
        </w:p>
        <w:sdt>
          <w:sdtPr>
            <w:alias w:val="preambule"/>
            <w:tag w:val="part_1398475bb2244af893722e294a7d7eb7"/>
            <w:lock w:val="sdtLocked"/>
            <w:richText/>
          </w:sdtPr>
          <w:sdtContent>
            <w:p>
              <w:pPr>
                <w:spacing w:line="360" w:lineRule="auto"/>
                <w:ind w:firstLine="680"/>
                <w:jc w:val="both"/>
                <w:rPr>
                  <w:szCs w:val="24"/>
                </w:rPr>
              </w:pPr>
              <w:r>
                <w:rPr>
                  <w:szCs w:val="24"/>
                </w:rPr>
                <w:t>Lietuvos Respublikos Seimas n u t a r i a:</w:t>
              </w:r>
            </w:p>
          </w:sdtContent>
        </w:sdt>
        <w:sdt>
          <w:sdtPr>
            <w:alias w:val="1 str."/>
            <w:tag w:val="part_df3e38cc078e4ce1846e8eb7182a04d1"/>
            <w:lock w:val="sdtLocked"/>
            <w:richText/>
          </w:sdtPr>
          <w:sdtContent>
            <w:p>
              <w:pPr>
                <w:spacing w:line="360" w:lineRule="auto"/>
                <w:ind w:firstLine="680"/>
                <w:jc w:val="both"/>
                <w:rPr>
                  <w:b/>
                  <w:szCs w:val="24"/>
                </w:rPr>
              </w:pPr>
              <w:sdt>
                <w:sdtPr>
                  <w:alias w:val="Numeris"/>
                  <w:tag w:val="nr_df3e38cc078e4ce1846e8eb7182a04d1"/>
                  <w:lock w:val="sdtLocked"/>
                  <w:richText/>
                </w:sdtPr>
                <w:sdtContent>
                  <w:r>
                    <w:rPr>
                      <w:b/>
                      <w:szCs w:val="24"/>
                    </w:rPr>
                    <w:t>1</w:t>
                  </w:r>
                </w:sdtContent>
              </w:sdt>
              <w:r>
                <w:rPr>
                  <w:b/>
                  <w:szCs w:val="24"/>
                </w:rPr>
                <w:t xml:space="preserve"> straipsnis.</w:t>
              </w:r>
            </w:p>
            <w:sdt>
              <w:sdtPr>
                <w:alias w:val="1 str. 1 d."/>
                <w:tag w:val="part_86e7e8338de84d45904150708cc31f1d"/>
                <w:lock w:val="sdtLocked"/>
                <w:richText/>
              </w:sdtPr>
              <w:sdtContent>
                <w:p>
                  <w:pPr>
                    <w:spacing w:line="360" w:lineRule="auto"/>
                    <w:ind w:firstLine="680"/>
                    <w:jc w:val="both"/>
                    <w:rPr>
                      <w:szCs w:val="24"/>
                    </w:rPr>
                  </w:pPr>
                  <w:r>
                    <w:rPr>
                      <w:szCs w:val="24"/>
                    </w:rPr>
                    <w:t>Pakeisti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sąrašą pagal grupes, į kurias atsižvelgiant nustatomos valstybės tarnautojų suvienodintų pareigybių kategorijos, patvirtintą Lietuvos Respublikos Seimo 2008 m. balandžio 24 d. nutarimu Nr. X-1511 „Dėl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sąrašo pagal grupes, į kurias atsižvelgiant nustatomos valstybės tarnautojų suvienodintų pareigybių kategorijos, patvirtinimo“ ir šį sąrašą išdėstyti taip:</w:t>
                  </w:r>
                </w:p>
                <w:sdt>
                  <w:sdtPr>
                    <w:alias w:val="citata"/>
                    <w:tag w:val="part_480397c746c44e71af8478c9f5226e84"/>
                    <w:lock w:val="sdtLocked"/>
                    <w:richText/>
                  </w:sdtPr>
                  <w:sdtContent>
                    <w:sdt>
                      <w:sdtPr>
                        <w:alias w:val="pagrindine"/>
                        <w:tag w:val="part_7d627adcaa4c47ae9f9d597a1a67288f"/>
                        <w:lock w:val="sdtLocked"/>
                        <w:richText/>
                      </w:sdtPr>
                      <w:sdtContent>
                        <w:p>
                          <w:pPr>
                            <w:spacing w:line="360" w:lineRule="auto"/>
                            <w:jc w:val="center"/>
                            <w:rPr>
                              <w:b/>
                              <w:szCs w:val="24"/>
                            </w:rPr>
                          </w:pPr>
                          <w:r>
                            <w:rPr>
                              <w:szCs w:val="24"/>
                            </w:rPr>
                            <w:t>„</w:t>
                          </w:r>
                          <w:r>
                            <w:rPr>
                              <w:b/>
                              <w:szCs w:val="24"/>
                            </w:rPr>
                            <w:t>LIETUVOS RESPUBLIKOS SEIMO, SEIMO KANCELIARIJOS IR SEIMUI ATSKAITINGŲ INSTITUCIJŲ, RESPUBLIKOS PREZIDENTO INSTITUCIJOS IR RESPUBLIKOS PREZIDENTUI ATSKAITINGŲ INSTITUCIJŲ, NACIONALINĖS TEISMŲ ADMINISTRACIJOS, TEISMŲ, PROKURATŪROS, SAVIVALDYBIŲ INSTITUCIJŲ IR ĮSTAIGŲ SĄRAŠAS PAGAL GRUPES, Į KURIAS ATSIŽVELGIANT NUSTATOMOS VALSTYBĖS TARNAUTOJŲ SUVIENODINTŲ PAREIGYBIŲ KATEGORIJOS</w:t>
                          </w:r>
                        </w:p>
                      </w:sdtContent>
                    </w:sdt>
                  </w:sdtContent>
                </w:sdt>
                <w:sdt>
                  <w:sdtPr>
                    <w:alias w:val="preambule"/>
                    <w:tag w:val="part_e0835fdfd4d7414b840e4773ffd28746"/>
                    <w:lock w:val="sdtLocked"/>
                    <w:richText/>
                  </w:sdtPr>
                  <w:sdtContent>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8534"/>
                      </w:tblGrid>
                      <w:tr>
                        <w:trPr>
                          <w:tblHeader/>
                        </w:trPr>
                        <w:tc>
                          <w:tcPr>
                            <w:tcW w:w="817" w:type="dxa"/>
                          </w:tcPr>
                          <w:p>
                            <w:pPr>
                              <w:jc w:val="center"/>
                              <w:rPr>
                                <w:szCs w:val="24"/>
                              </w:rPr>
                            </w:pPr>
                            <w:r>
                              <w:rPr>
                                <w:szCs w:val="24"/>
                              </w:rPr>
                              <w:t>Grupė</w:t>
                            </w:r>
                          </w:p>
                        </w:tc>
                        <w:tc>
                          <w:tcPr>
                            <w:tcW w:w="8534" w:type="dxa"/>
                          </w:tcPr>
                          <w:p>
                            <w:pPr>
                              <w:jc w:val="center"/>
                              <w:rPr>
                                <w:szCs w:val="24"/>
                              </w:rPr>
                            </w:pPr>
                            <w:r>
                              <w:rPr>
                                <w:szCs w:val="24"/>
                              </w:rPr>
                              <w:t>Valstybės ar savivaldybės institucijos ar įstaigos pavadinimas</w:t>
                            </w:r>
                          </w:p>
                        </w:tc>
                      </w:tr>
                      <w:tr>
                        <w:tc>
                          <w:tcPr>
                            <w:tcW w:w="817" w:type="dxa"/>
                          </w:tcPr>
                          <w:p>
                            <w:pPr>
                              <w:jc w:val="center"/>
                              <w:rPr>
                                <w:szCs w:val="24"/>
                              </w:rPr>
                            </w:pPr>
                            <w:r>
                              <w:rPr>
                                <w:szCs w:val="24"/>
                              </w:rPr>
                              <w:t>I</w:t>
                            </w:r>
                          </w:p>
                        </w:tc>
                        <w:tc>
                          <w:tcPr>
                            <w:tcW w:w="8534" w:type="dxa"/>
                          </w:tcPr>
                          <w:p>
                            <w:pPr>
                              <w:jc w:val="both"/>
                              <w:rPr>
                                <w:szCs w:val="24"/>
                              </w:rPr>
                            </w:pPr>
                            <w:r>
                              <w:rPr>
                                <w:szCs w:val="24"/>
                              </w:rPr>
                              <w:t>Lietuvos Respublikos Seimas, Seimo kanceliarija</w:t>
                            </w:r>
                          </w:p>
                          <w:p>
                            <w:pPr>
                              <w:jc w:val="both"/>
                              <w:rPr>
                                <w:szCs w:val="24"/>
                              </w:rPr>
                            </w:pPr>
                            <w:r>
                              <w:rPr>
                                <w:szCs w:val="24"/>
                              </w:rPr>
                              <w:t xml:space="preserve">Respublikos Prezidento institucija, Respublikos Prezidento kanceliarija </w:t>
                            </w:r>
                          </w:p>
                          <w:p>
                            <w:pPr>
                              <w:jc w:val="both"/>
                              <w:rPr>
                                <w:szCs w:val="24"/>
                              </w:rPr>
                            </w:pPr>
                            <w:r>
                              <w:rPr>
                                <w:szCs w:val="24"/>
                              </w:rPr>
                              <w:t>Lietuvos Respublikos Konstitucinis Teismas</w:t>
                            </w:r>
                          </w:p>
                          <w:p>
                            <w:pPr>
                              <w:jc w:val="both"/>
                              <w:rPr>
                                <w:szCs w:val="24"/>
                              </w:rPr>
                            </w:pPr>
                            <w:r>
                              <w:rPr>
                                <w:szCs w:val="24"/>
                              </w:rPr>
                              <w:t>Lietuvos Aukščiausiasis Teismas</w:t>
                            </w:r>
                          </w:p>
                          <w:p>
                            <w:pPr>
                              <w:jc w:val="both"/>
                              <w:rPr>
                                <w:szCs w:val="24"/>
                              </w:rPr>
                            </w:pPr>
                            <w:r>
                              <w:rPr>
                                <w:szCs w:val="24"/>
                              </w:rPr>
                              <w:t>Lietuvos vyriausiasis administracinis teismas</w:t>
                            </w:r>
                          </w:p>
                          <w:p>
                            <w:pPr>
                              <w:jc w:val="both"/>
                              <w:rPr>
                                <w:szCs w:val="24"/>
                              </w:rPr>
                            </w:pPr>
                            <w:r>
                              <w:rPr>
                                <w:szCs w:val="24"/>
                              </w:rPr>
                              <w:t>Lietuvos apeliacinis teismas</w:t>
                            </w:r>
                          </w:p>
                          <w:p>
                            <w:pPr>
                              <w:jc w:val="both"/>
                              <w:rPr>
                                <w:szCs w:val="24"/>
                              </w:rPr>
                            </w:pPr>
                            <w:r>
                              <w:rPr>
                                <w:szCs w:val="24"/>
                              </w:rPr>
                              <w:t>Nacionalinė teismų administracija</w:t>
                            </w:r>
                          </w:p>
                          <w:p>
                            <w:pPr>
                              <w:jc w:val="both"/>
                              <w:rPr>
                                <w:szCs w:val="24"/>
                              </w:rPr>
                            </w:pPr>
                            <w:r>
                              <w:rPr>
                                <w:szCs w:val="24"/>
                              </w:rPr>
                              <w:t>Generalinė prokuratūra</w:t>
                            </w:r>
                          </w:p>
                          <w:p>
                            <w:pPr>
                              <w:jc w:val="both"/>
                              <w:rPr>
                                <w:szCs w:val="24"/>
                              </w:rPr>
                            </w:pPr>
                            <w:r>
                              <w:rPr>
                                <w:szCs w:val="24"/>
                              </w:rPr>
                              <w:t>Lietuvos Respublikos valstybės kontrolė</w:t>
                            </w:r>
                          </w:p>
                          <w:p>
                            <w:pPr>
                              <w:rPr>
                                <w:szCs w:val="24"/>
                              </w:rPr>
                            </w:pPr>
                            <w:r>
                              <w:rPr>
                                <w:szCs w:val="24"/>
                              </w:rPr>
                              <w:t>Lietuvos Respublikos Seimo kontrolierių įstaiga</w:t>
                            </w:r>
                          </w:p>
                          <w:p>
                            <w:pPr>
                              <w:jc w:val="both"/>
                              <w:rPr>
                                <w:szCs w:val="24"/>
                              </w:rPr>
                            </w:pPr>
                            <w:r>
                              <w:rPr>
                                <w:szCs w:val="24"/>
                              </w:rPr>
                              <w:t>Lietuvos Respublikos valstybės saugumo departamentas</w:t>
                            </w:r>
                          </w:p>
                          <w:p>
                            <w:pPr>
                              <w:jc w:val="both"/>
                              <w:rPr>
                                <w:szCs w:val="24"/>
                              </w:rPr>
                            </w:pPr>
                            <w:r>
                              <w:rPr>
                                <w:szCs w:val="24"/>
                              </w:rPr>
                              <w:t>Lietuvos Respublikos specialiųjų tyrimų tarnyba</w:t>
                            </w:r>
                          </w:p>
                          <w:p>
                            <w:pPr>
                              <w:jc w:val="both"/>
                              <w:rPr>
                                <w:szCs w:val="24"/>
                              </w:rPr>
                            </w:pPr>
                            <w:r>
                              <w:rPr>
                                <w:szCs w:val="24"/>
                              </w:rPr>
                              <w:t>Vyriausioji tarnybinės etikos komisija</w:t>
                            </w:r>
                          </w:p>
                        </w:tc>
                      </w:tr>
                      <w:tr>
                        <w:tc>
                          <w:tcPr>
                            <w:tcW w:w="817" w:type="dxa"/>
                          </w:tcPr>
                          <w:p>
                            <w:pPr>
                              <w:jc w:val="center"/>
                              <w:rPr>
                                <w:szCs w:val="24"/>
                              </w:rPr>
                            </w:pPr>
                            <w:r>
                              <w:rPr>
                                <w:szCs w:val="24"/>
                              </w:rPr>
                              <w:t>II</w:t>
                            </w:r>
                          </w:p>
                        </w:tc>
                        <w:tc>
                          <w:tcPr>
                            <w:tcW w:w="8534" w:type="dxa"/>
                          </w:tcPr>
                          <w:p>
                            <w:pPr>
                              <w:rPr>
                                <w:szCs w:val="24"/>
                              </w:rPr>
                            </w:pPr>
                            <w:r>
                              <w:rPr>
                                <w:szCs w:val="24"/>
                              </w:rPr>
                              <w:t>Lietuvos Respublikos vyriausioji rinkimų komisija</w:t>
                            </w:r>
                          </w:p>
                          <w:p>
                            <w:pPr>
                              <w:keepNext/>
                              <w:rPr>
                                <w:szCs w:val="24"/>
                              </w:rPr>
                            </w:pPr>
                            <w:r>
                              <w:rPr>
                                <w:szCs w:val="24"/>
                              </w:rPr>
                              <w:t>Lietuvos Respublikos konkurencijos taryba</w:t>
                            </w:r>
                          </w:p>
                          <w:p>
                            <w:pPr>
                              <w:rPr>
                                <w:szCs w:val="24"/>
                              </w:rPr>
                            </w:pPr>
                            <w:r>
                              <w:rPr>
                                <w:szCs w:val="24"/>
                              </w:rPr>
                              <w:t>Valstybinė kainų ir energetikos kontrolės komisija</w:t>
                            </w:r>
                          </w:p>
                          <w:p>
                            <w:pPr>
                              <w:rPr>
                                <w:szCs w:val="24"/>
                              </w:rPr>
                            </w:pPr>
                            <w:r>
                              <w:rPr>
                                <w:szCs w:val="24"/>
                              </w:rPr>
                              <w:t>Lygių galimybių kontrolieriaus tarnyba</w:t>
                            </w:r>
                          </w:p>
                          <w:p>
                            <w:pPr>
                              <w:rPr>
                                <w:szCs w:val="24"/>
                              </w:rPr>
                            </w:pPr>
                            <w:r>
                              <w:rPr>
                                <w:szCs w:val="24"/>
                              </w:rPr>
                              <w:t>Vaiko teisių apsaugos kontrolieriaus įstaiga</w:t>
                            </w:r>
                          </w:p>
                          <w:p>
                            <w:pPr>
                              <w:rPr>
                                <w:szCs w:val="24"/>
                              </w:rPr>
                            </w:pPr>
                            <w:r>
                              <w:rPr>
                                <w:szCs w:val="24"/>
                              </w:rPr>
                              <w:t>Valstybinė lietuvių kalbos komisija</w:t>
                            </w:r>
                          </w:p>
                          <w:p>
                            <w:pPr>
                              <w:rPr>
                                <w:szCs w:val="24"/>
                              </w:rPr>
                            </w:pPr>
                            <w:r>
                              <w:rPr>
                                <w:szCs w:val="24"/>
                              </w:rPr>
                              <w:t>Akademinės etikos ir procedūrų kontrolieriaus tarnyba</w:t>
                            </w:r>
                          </w:p>
                          <w:p>
                            <w:pPr>
                              <w:rPr>
                                <w:szCs w:val="24"/>
                              </w:rPr>
                            </w:pPr>
                            <w:r>
                              <w:rPr>
                                <w:szCs w:val="24"/>
                              </w:rPr>
                              <w:t xml:space="preserve">Apygardų teismai </w:t>
                            </w:r>
                          </w:p>
                          <w:p>
                            <w:pPr>
                              <w:rPr>
                                <w:szCs w:val="24"/>
                              </w:rPr>
                            </w:pPr>
                            <w:r>
                              <w:rPr>
                                <w:szCs w:val="24"/>
                              </w:rPr>
                              <w:t xml:space="preserve">Apygardų administraciniai teismai </w:t>
                            </w:r>
                          </w:p>
                          <w:p>
                            <w:pPr>
                              <w:rPr>
                                <w:szCs w:val="24"/>
                              </w:rPr>
                            </w:pPr>
                            <w:r>
                              <w:rPr>
                                <w:szCs w:val="24"/>
                              </w:rPr>
                              <w:t>Apygardų prokuratūros</w:t>
                            </w:r>
                          </w:p>
                          <w:p>
                            <w:pPr>
                              <w:rPr>
                                <w:szCs w:val="24"/>
                              </w:rPr>
                            </w:pPr>
                            <w:r>
                              <w:rPr>
                                <w:szCs w:val="24"/>
                              </w:rPr>
                              <w:t>Lietuvos mokslo taryba</w:t>
                            </w:r>
                          </w:p>
                        </w:tc>
                      </w:tr>
                      <w:tr>
                        <w:tc>
                          <w:tcPr>
                            <w:tcW w:w="817" w:type="dxa"/>
                          </w:tcPr>
                          <w:p>
                            <w:pPr>
                              <w:jc w:val="center"/>
                              <w:rPr>
                                <w:szCs w:val="24"/>
                              </w:rPr>
                            </w:pPr>
                            <w:r>
                              <w:rPr>
                                <w:szCs w:val="24"/>
                              </w:rPr>
                              <w:t>III</w:t>
                            </w:r>
                          </w:p>
                        </w:tc>
                        <w:tc>
                          <w:tcPr>
                            <w:tcW w:w="8534" w:type="dxa"/>
                          </w:tcPr>
                          <w:p>
                            <w:pPr>
                              <w:rPr>
                                <w:szCs w:val="24"/>
                              </w:rPr>
                            </w:pPr>
                            <w:r>
                              <w:rPr>
                                <w:szCs w:val="24"/>
                              </w:rPr>
                              <w:t>Apylinkių teismai</w:t>
                            </w:r>
                          </w:p>
                          <w:p>
                            <w:pPr>
                              <w:rPr>
                                <w:szCs w:val="24"/>
                              </w:rPr>
                            </w:pPr>
                            <w:r>
                              <w:rPr>
                                <w:szCs w:val="24"/>
                              </w:rPr>
                              <w:t>Apylinkių prokuratūros</w:t>
                            </w:r>
                          </w:p>
                          <w:p>
                            <w:pPr>
                              <w:keepNext/>
                              <w:rPr>
                                <w:szCs w:val="24"/>
                              </w:rPr>
                            </w:pPr>
                            <w:r>
                              <w:rPr>
                                <w:szCs w:val="24"/>
                              </w:rPr>
                              <w:t>Valstybinė kultūros paveldo komisija</w:t>
                            </w:r>
                          </w:p>
                          <w:p>
                            <w:pPr>
                              <w:keepNext/>
                              <w:rPr>
                                <w:szCs w:val="24"/>
                              </w:rPr>
                            </w:pPr>
                            <w:r>
                              <w:rPr>
                                <w:szCs w:val="24"/>
                              </w:rPr>
                              <w:t>Žurnalistų etikos inspektoriaus tarnyba</w:t>
                            </w:r>
                          </w:p>
                          <w:p>
                            <w:pPr>
                              <w:rPr>
                                <w:szCs w:val="24"/>
                              </w:rPr>
                            </w:pPr>
                            <w:r>
                              <w:rPr>
                                <w:szCs w:val="24"/>
                              </w:rPr>
                              <w:t>Nacionalinė sveikatos taryba</w:t>
                            </w:r>
                          </w:p>
                          <w:p>
                            <w:pPr>
                              <w:rPr>
                                <w:szCs w:val="24"/>
                              </w:rPr>
                            </w:pPr>
                            <w:r>
                              <w:rPr>
                                <w:szCs w:val="24"/>
                              </w:rPr>
                              <w:t>Etninės kultūros globos taryba</w:t>
                            </w:r>
                          </w:p>
                          <w:p>
                            <w:pPr>
                              <w:rPr>
                                <w:szCs w:val="24"/>
                              </w:rPr>
                            </w:pPr>
                            <w:r>
                              <w:rPr>
                                <w:szCs w:val="24"/>
                              </w:rPr>
                              <w:t>Lietuvos gyventojų genocido ir rezistencijos tyrimo centras</w:t>
                            </w:r>
                          </w:p>
                          <w:p>
                            <w:pPr>
                              <w:rPr>
                                <w:szCs w:val="24"/>
                              </w:rPr>
                            </w:pPr>
                            <w:r>
                              <w:rPr>
                                <w:szCs w:val="24"/>
                              </w:rPr>
                              <w:t>Savivaldybių tarybos (savivaldybėse, kuriose daugiau kaip 100 000 gyventojų)</w:t>
                            </w:r>
                          </w:p>
                          <w:p>
                            <w:pPr>
                              <w:rPr>
                                <w:szCs w:val="24"/>
                              </w:rPr>
                            </w:pPr>
                            <w:r>
                              <w:rPr>
                                <w:szCs w:val="24"/>
                              </w:rPr>
                              <w:t>Savivaldybių kontrolierių tarnybos (savivaldybėse, kuriose daugiau kaip 100 000 gyventojų)</w:t>
                            </w:r>
                          </w:p>
                          <w:p>
                            <w:pPr>
                              <w:rPr>
                                <w:szCs w:val="24"/>
                              </w:rPr>
                            </w:pPr>
                            <w:r>
                              <w:rPr>
                                <w:szCs w:val="24"/>
                              </w:rPr>
                              <w:t>Savivaldybių administracijos (savivaldybėse, kuriose daugiau kaip 100 000 gyventojų)</w:t>
                            </w:r>
                          </w:p>
                        </w:tc>
                      </w:tr>
                      <w:tr>
                        <w:tc>
                          <w:tcPr>
                            <w:tcW w:w="817" w:type="dxa"/>
                          </w:tcPr>
                          <w:p>
                            <w:pPr>
                              <w:jc w:val="center"/>
                              <w:rPr>
                                <w:szCs w:val="24"/>
                              </w:rPr>
                            </w:pPr>
                            <w:r>
                              <w:rPr>
                                <w:szCs w:val="24"/>
                              </w:rPr>
                              <w:t>IV</w:t>
                            </w:r>
                          </w:p>
                        </w:tc>
                        <w:tc>
                          <w:tcPr>
                            <w:tcW w:w="8534" w:type="dxa"/>
                          </w:tcPr>
                          <w:p>
                            <w:pPr>
                              <w:rPr>
                                <w:szCs w:val="24"/>
                              </w:rPr>
                            </w:pPr>
                            <w:r>
                              <w:rPr>
                                <w:szCs w:val="24"/>
                              </w:rPr>
                              <w:t>Savivaldybių tarybos (savivaldybėse, kuriose mažiau kaip 100 000 gyventojų)</w:t>
                            </w:r>
                          </w:p>
                          <w:p>
                            <w:pPr>
                              <w:rPr>
                                <w:szCs w:val="24"/>
                              </w:rPr>
                            </w:pPr>
                            <w:r>
                              <w:rPr>
                                <w:szCs w:val="24"/>
                              </w:rPr>
                              <w:t>Savivaldybių kontrolierių tarnybos (savivaldybėse, kuriose mažiau kaip 100 000 gyventojų)</w:t>
                            </w:r>
                          </w:p>
                          <w:p>
                            <w:pPr>
                              <w:rPr>
                                <w:szCs w:val="24"/>
                              </w:rPr>
                            </w:pPr>
                            <w:r>
                              <w:rPr>
                                <w:szCs w:val="24"/>
                              </w:rPr>
                              <w:t>Savivaldybių administracijos (savivaldybėse, kuriose mažiau kaip 100 000 gyventojų)“</w:t>
                            </w:r>
                          </w:p>
                        </w:tc>
                      </w:tr>
                    </w:tbl>
                  </w:sdtContent>
                </w:sdt>
              </w:sdtContent>
            </w:sdt>
          </w:sdtContent>
        </w:sdt>
        <w:sdt>
          <w:sdtPr>
            <w:alias w:val="2 str."/>
            <w:tag w:val="part_1883864218bf48fc8d882641502d7930"/>
            <w:lock w:val="sdtLocked"/>
            <w:richText/>
          </w:sdtPr>
          <w:sdtContent>
            <w:p>
              <w:pPr>
                <w:spacing w:line="360" w:lineRule="auto"/>
                <w:ind w:firstLine="709"/>
                <w:jc w:val="both"/>
                <w:rPr>
                  <w:b/>
                  <w:szCs w:val="24"/>
                </w:rPr>
              </w:pPr>
              <w:sdt>
                <w:sdtPr>
                  <w:alias w:val="Numeris"/>
                  <w:tag w:val="nr_1883864218bf48fc8d882641502d7930"/>
                  <w:lock w:val="sdtLocked"/>
                  <w:richText/>
                </w:sdtPr>
                <w:sdtContent>
                  <w:r>
                    <w:rPr>
                      <w:b/>
                      <w:szCs w:val="24"/>
                    </w:rPr>
                    <w:t>2</w:t>
                  </w:r>
                </w:sdtContent>
              </w:sdt>
              <w:r>
                <w:rPr>
                  <w:b/>
                  <w:szCs w:val="24"/>
                </w:rPr>
                <w:t xml:space="preserve"> straipsnis.</w:t>
              </w:r>
            </w:p>
            <w:sdt>
              <w:sdtPr>
                <w:alias w:val="2 str. 1 d."/>
                <w:tag w:val="part_59bdbc17498f46b6b098b1e47fe5494c"/>
                <w:lock w:val="sdtLocked"/>
                <w:richText/>
              </w:sdtPr>
              <w:sdtContent>
                <w:p>
                  <w:pPr>
                    <w:spacing w:line="360" w:lineRule="auto"/>
                    <w:ind w:firstLine="709"/>
                    <w:jc w:val="both"/>
                    <w:rPr>
                      <w:szCs w:val="24"/>
                    </w:rPr>
                  </w:pPr>
                  <w:r>
                    <w:rPr>
                      <w:szCs w:val="24"/>
                    </w:rPr>
                    <w:t>Šis nutarimas įsigalioja 2015 m. liepos 1 d.</w:t>
                  </w:r>
                </w:p>
              </w:sdtContent>
            </w:sdt>
            <w:sdt>
              <w:sdtPr>
                <w:alias w:val="2 str. 2 d."/>
                <w:tag w:val="part_a850a9622d294b7ea5b5e549eb3d5681"/>
                <w:lock w:val="sdtLocked"/>
                <w:richText/>
              </w:sdtPr>
              <w:sdtContent>
                <w:p>
                  <w:pPr>
                    <w:spacing w:line="360" w:lineRule="auto"/>
                    <w:jc w:val="both"/>
                    <w:rPr>
                      <w:rFonts w:eastAsia="Calibri"/>
                      <w:szCs w:val="24"/>
                      <w:lang w:eastAsia="lt-LT"/>
                    </w:rPr>
                  </w:pPr>
                  <w:r>
                    <w:rPr>
                      <w:rFonts w:eastAsia="Calibri"/>
                      <w:szCs w:val="24"/>
                      <w:lang w:eastAsia="lt-LT"/>
                    </w:rPr>
                    <w:t>Seimo Pirmininkas</w:t>
                  </w:r>
                </w:p>
                <w:p>
                  <w:pPr>
                    <w:spacing w:line="360" w:lineRule="auto"/>
                    <w:jc w:val="both"/>
                    <w:rPr>
                      <w:rFonts w:eastAsia="Calibri"/>
                      <w:szCs w:val="24"/>
                      <w:lang w:eastAsia="lt-LT"/>
                    </w:rPr>
                  </w:pPr>
                </w:p>
              </w:sdtContent>
            </w:sdt>
          </w:sdtContent>
        </w:sdt>
        <w:sdt>
          <w:sdtPr>
            <w:alias w:val="signatura"/>
            <w:tag w:val="part_121b4904f14a404982cc2b0c9db5c366"/>
            <w:lock w:val="sdtLocked"/>
            <w:richText/>
          </w:sdtPr>
          <w:sdtContent>
            <w:p>
              <w:pPr>
                <w:spacing w:line="360" w:lineRule="auto"/>
                <w:jc w:val="both"/>
                <w:rPr>
                  <w:rFonts w:eastAsia="Calibri"/>
                  <w:szCs w:val="24"/>
                  <w:lang w:eastAsia="lt-LT"/>
                </w:rPr>
              </w:pPr>
              <w:r>
                <w:rPr>
                  <w:rFonts w:eastAsia="Calibri"/>
                  <w:szCs w:val="24"/>
                  <w:lang w:eastAsia="lt-LT"/>
                </w:rPr>
                <w:t xml:space="preserve">Teikia </w:t>
              </w:r>
            </w:p>
            <w:p>
              <w:pPr>
                <w:spacing w:line="360" w:lineRule="auto"/>
                <w:jc w:val="both"/>
                <w:rPr>
                  <w:rFonts w:eastAsia="Calibri"/>
                  <w:szCs w:val="24"/>
                  <w:lang w:eastAsia="lt-LT"/>
                </w:rPr>
              </w:pPr>
              <w:r>
                <w:rPr>
                  <w:rFonts w:eastAsia="Calibri"/>
                  <w:szCs w:val="24"/>
                  <w:lang w:eastAsia="lt-LT"/>
                </w:rPr>
                <w:t xml:space="preserve">Seimo nariai: </w:t>
              </w:r>
            </w:p>
            <w:p>
              <w:pPr>
                <w:spacing w:line="360" w:lineRule="auto"/>
                <w:ind w:left="4678"/>
                <w:jc w:val="both"/>
                <w:rPr>
                  <w:rFonts w:eastAsia="Calibri"/>
                  <w:szCs w:val="24"/>
                  <w:lang w:eastAsia="lt-LT"/>
                </w:rPr>
              </w:pPr>
              <w:r>
                <w:rPr>
                  <w:rFonts w:eastAsia="Calibri"/>
                  <w:szCs w:val="24"/>
                  <w:lang w:eastAsia="lt-LT"/>
                </w:rPr>
                <w:t>Valentinas Bukauskas</w:t>
              </w:r>
            </w:p>
            <w:p>
              <w:pPr>
                <w:spacing w:line="360" w:lineRule="auto"/>
                <w:ind w:left="4678"/>
                <w:jc w:val="both"/>
                <w:rPr>
                  <w:rFonts w:eastAsia="Calibri"/>
                  <w:szCs w:val="24"/>
                  <w:lang w:eastAsia="lt-LT"/>
                </w:rPr>
              </w:pPr>
              <w:r>
                <w:rPr>
                  <w:rFonts w:eastAsia="Calibri"/>
                  <w:szCs w:val="24"/>
                  <w:lang w:eastAsia="lt-LT"/>
                </w:rPr>
                <w:t>Kęstutis Daukšys</w:t>
              </w:r>
            </w:p>
            <w:p>
              <w:pPr>
                <w:spacing w:line="360" w:lineRule="auto"/>
                <w:ind w:left="4678"/>
                <w:jc w:val="both"/>
                <w:rPr>
                  <w:rFonts w:eastAsia="Calibri"/>
                  <w:szCs w:val="24"/>
                  <w:lang w:eastAsia="lt-LT"/>
                </w:rPr>
              </w:pPr>
              <w:r>
                <w:rPr>
                  <w:rFonts w:eastAsia="Calibri"/>
                  <w:szCs w:val="24"/>
                  <w:lang w:eastAsia="lt-LT"/>
                </w:rPr>
                <w:t>Zita Žvikienė</w:t>
              </w:r>
            </w:p>
            <w:p>
              <w:pPr>
                <w:spacing w:line="360" w:lineRule="auto"/>
                <w:ind w:left="4678"/>
                <w:jc w:val="both"/>
                <w:rPr>
                  <w:rFonts w:eastAsia="Calibri"/>
                  <w:szCs w:val="24"/>
                  <w:lang w:eastAsia="lt-LT"/>
                </w:rPr>
              </w:pPr>
              <w:r>
                <w:rPr>
                  <w:rFonts w:eastAsia="Calibri"/>
                  <w:szCs w:val="24"/>
                  <w:lang w:eastAsia="lt-LT"/>
                </w:rPr>
                <w:t>Viktoras Fiodorovas</w:t>
              </w:r>
            </w:p>
            <w:p>
              <w:pPr>
                <w:spacing w:line="360" w:lineRule="auto"/>
                <w:ind w:left="4678"/>
                <w:jc w:val="both"/>
                <w:rPr>
                  <w:rFonts w:eastAsia="Calibri"/>
                  <w:szCs w:val="24"/>
                  <w:lang w:eastAsia="lt-LT"/>
                </w:rPr>
              </w:pPr>
              <w:r>
                <w:rPr>
                  <w:rFonts w:eastAsia="Calibri"/>
                  <w:szCs w:val="24"/>
                  <w:lang w:eastAsia="lt-LT"/>
                </w:rPr>
                <w:t>Audronė Pitrėnienė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426" w:right="1440" w:bottom="142" w:left="1440"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0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c3738dbaec4106bc8cc3130a194c85" PartId="71dc81a204284b0f9fddfa0bd675cc1f">
    <Part Type="preambule" DocPartId="23c66cc35825457b95c178add451755f" PartId="1398475bb2244af893722e294a7d7eb7"/>
    <Part Type="straipsnis" Nr="1" Abbr="1 str." DocPartId="b7b697b79d5546eab1ae1f7f0a252922" PartId="df3e38cc078e4ce1846e8eb7182a04d1">
      <Part Type="strDalis" Nr="1" Abbr="1 str. 1 d." DocPartId="843d07205c344d778380465345561a60" PartId="86e7e8338de84d45904150708cc31f1d">
        <Part Type="citata" DocPartId="aff6b209081142ddb0876ce29cb73e57" PartId="480397c746c44e71af8478c9f5226e84">
          <Part Type="pagrindine" DocPartId="bd30333f3b764d6fa468cdbeec6eaf39" PartId="7d627adcaa4c47ae9f9d597a1a67288f"/>
        </Part>
        <Part Type="preambule" DocPartId="c964023447214f089ef4e46fb305eeab" PartId="e0835fdfd4d7414b840e4773ffd28746"/>
      </Part>
    </Part>
    <Part Type="straipsnis" Nr="2" Abbr="2 str." DocPartId="80e113c1629849a680199ab6d94aa17e" PartId="1883864218bf48fc8d882641502d7930">
      <Part Type="strDalis" Nr="1" Abbr="2 str. 1 d." DocPartId="541bbafed4d24c06a068487ec8983523" PartId="59bdbc17498f46b6b098b1e47fe5494c"/>
      <Part Type="strDalis" Nr="2" Abbr="2 str. 2 d." DocPartId="7dde4513d788476199ed569256478bb1" PartId="a850a9622d294b7ea5b5e549eb3d5681"/>
    </Part>
    <Part Type="signatura" DocPartId="297ec941b1394f47979353e3c32c1f5b" PartId="121b4904f14a404982cc2b0c9db5c366"/>
  </Part>
</Parts>
</file>

<file path=customXml/itemProps1.xml><?xml version="1.0" encoding="utf-8"?>
<ds:datastoreItem xmlns:ds="http://schemas.openxmlformats.org/officeDocument/2006/customXml" ds:itemID="{1FEBA0E6-47E7-427B-BB9F-2023EA6215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429</Words>
  <Characters>3479</Characters>
  <Application>Microsoft Office Word</Application>
  <DocSecurity>4</DocSecurity>
  <Lines>96</Lines>
  <Paragraphs>71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2015-04-14T08:05:00Z</dcterms:created>
  <dc:creator>User</dc:creator>
  <lastModifiedBy>CLUSadmin</lastModifiedBy>
  <dcterms:modified xsi:type="dcterms:W3CDTF">2015-04-14T08:05:00Z</dcterms:modified>
  <revision>2</revision>
</coreProperties>
</file>