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keepNext/>
        <w:spacing w:line="360" w:lineRule="auto"/>
        <w:jc w:val="right"/>
        <w:outlineLvl w:val="1"/>
        <w:rPr>
          <w:bCs/>
        </w:rPr>
      </w:pPr>
    </w:p>
    <w:p>
      <w:pPr>
        <w:keepNext/>
        <w:spacing w:line="360" w:lineRule="auto"/>
        <w:jc w:val="right"/>
        <w:outlineLvl w:val="1"/>
        <w:rPr>
          <w:b/>
        </w:rPr>
      </w:pPr>
    </w:p>
    <w:p>
      <w:pPr>
        <w:keepNext/>
        <w:spacing w:line="360" w:lineRule="auto"/>
        <w:jc w:val="right"/>
        <w:outlineLvl w:val="1"/>
        <w:rPr>
          <w:b/>
        </w:rPr>
      </w:pPr>
      <w:r>
        <w:rPr>
          <w:b/>
        </w:rPr>
        <w:t>Projektas</w:t>
      </w:r>
    </w:p>
    <w:p>
      <w:pPr>
        <w:keepNext/>
        <w:spacing w:line="360" w:lineRule="auto"/>
        <w:jc w:val="center"/>
        <w:rPr>
          <w:b/>
          <w:caps/>
        </w:rPr>
      </w:pPr>
      <w:r>
        <w:rPr>
          <w:b/>
          <w:caps/>
        </w:rPr>
        <w:t>PRIENŲ RAJONO savivaldybės TARYBA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keepNext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276" w:lineRule="auto"/>
        <w:jc w:val="center"/>
        <w:rPr>
          <w:b/>
          <w:caps/>
        </w:rPr>
      </w:pPr>
      <w:r>
        <w:rPr>
          <w:b/>
          <w:caps/>
          <w:szCs w:val="24"/>
        </w:rPr>
        <w:t xml:space="preserve">DĖL KOMPIUTERINĖS ĮRANGOS PERĖMIMO SAVIVALDYBĖS NUOSAVYBĖN IR  PERDAVIMO PRIENŲ rajono švietimo įstaigoms VALDYTI, NAUDOTI IR DISPONUOTI JA PATIKĖJIMO TEISE </w:t>
      </w:r>
    </w:p>
    <w:p>
      <w:pPr>
        <w:spacing w:line="276" w:lineRule="auto"/>
        <w:jc w:val="center"/>
        <w:rPr>
          <w:b/>
          <w:caps/>
        </w:rPr>
      </w:pPr>
    </w:p>
    <w:p>
      <w:pPr>
        <w:spacing w:line="276" w:lineRule="auto"/>
        <w:jc w:val="center"/>
        <w:rPr>
          <w:bCs/>
        </w:rPr>
      </w:pPr>
      <w:r>
        <w:rPr>
          <w:bCs/>
          <w:caps/>
        </w:rPr>
        <w:t xml:space="preserve">2021 </w:t>
      </w:r>
      <w:r>
        <w:rPr>
          <w:bCs/>
        </w:rPr>
        <w:t xml:space="preserve">m. rugpjūčio       </w:t>
      </w:r>
      <w:r>
        <w:rPr>
          <w:bCs/>
          <w:caps/>
        </w:rPr>
        <w:t xml:space="preserve"> </w:t>
      </w:r>
      <w:r>
        <w:rPr>
          <w:bCs/>
        </w:rPr>
        <w:t>d</w:t>
      </w:r>
      <w:r>
        <w:rPr>
          <w:bCs/>
          <w:caps/>
        </w:rPr>
        <w:t>. N</w:t>
      </w:r>
      <w:r>
        <w:rPr>
          <w:bCs/>
        </w:rPr>
        <w:t>r</w:t>
      </w:r>
      <w:r>
        <w:rPr>
          <w:bCs/>
          <w:caps/>
        </w:rPr>
        <w:t>. T1-</w:t>
      </w:r>
    </w:p>
    <w:p>
      <w:pPr>
        <w:keepNext/>
        <w:spacing w:line="276" w:lineRule="auto"/>
        <w:jc w:val="center"/>
        <w:outlineLvl w:val="5"/>
        <w:rPr>
          <w:caps/>
        </w:rPr>
      </w:pPr>
      <w:r>
        <w:t>Prienai</w:t>
      </w:r>
    </w:p>
    <w:p>
      <w:pPr>
        <w:spacing w:line="276" w:lineRule="auto"/>
        <w:jc w:val="both"/>
      </w:pPr>
    </w:p>
    <w:p>
      <w:pPr>
        <w:spacing w:line="276" w:lineRule="auto"/>
        <w:ind w:firstLine="1134"/>
        <w:jc w:val="both"/>
        <w:rPr>
          <w:spacing w:val="120"/>
        </w:rPr>
      </w:pPr>
      <w:r>
        <w:t xml:space="preserve">Vadovaudamasi Lietuvos Respublikos vietos savivaldos įstatymo 6 straipsnio                      5 ir 6 punktais, Lietuvos Respublikos valstybės ir savivaldybių turto valdymo, naudojimo ir disponavimo juo įstatymo 6 straipsnio 2 punktu, </w:t>
      </w:r>
      <w:r>
        <w:rPr>
          <w:szCs w:val="24"/>
        </w:rPr>
        <w:t>12 straipsnio 1 ir 2 dalimis,</w:t>
      </w:r>
      <w:r>
        <w:t xml:space="preserve"> 20 straipsnio 1 dalies 4 punktu, Prienų rajono savivaldybės turto valdymo, naudojimo ir disponavimo juo tvarkos aprašo, patvirtinto Prienų rajono savivaldybės tarybos 2021 m. balandžio 29 d. sprendimu Nr. T3-115 </w:t>
      </w:r>
      <w:r>
        <w:rPr>
          <w:szCs w:val="24"/>
        </w:rPr>
        <w:t>„D</w:t>
      </w:r>
      <w:r>
        <w:rPr>
          <w:bCs/>
          <w:szCs w:val="24"/>
        </w:rPr>
        <w:t>ėl P</w:t>
      </w:r>
      <w:r>
        <w:rPr>
          <w:szCs w:val="24"/>
          <w:lang w:bidi="lo-LA"/>
        </w:rPr>
        <w:t xml:space="preserve">rienų rajono savivaldybės </w:t>
      </w:r>
      <w:r>
        <w:rPr>
          <w:szCs w:val="24"/>
          <w:lang w:eastAsia="ar-SA" w:bidi="lo-LA"/>
        </w:rPr>
        <w:t xml:space="preserve">turto valdymo, naudojimo ir disponavimo juo tvarkos aprašo </w:t>
      </w:r>
      <w:r>
        <w:rPr>
          <w:szCs w:val="24"/>
        </w:rPr>
        <w:t>patvirtinimo“, 10 punktu</w:t>
      </w:r>
      <w:r>
        <w:t xml:space="preserve"> ir atsižvelgdama į Nacionalinės švietimo agentūros ir Prienų rajono savivaldybės 2020 m. balandžio 2 d. papildomą susitarimą Nr. 09.1.3-CPVA-V-704-02-0001 prie 2016 m. spalio 24 d. jungtinės veiklos sutarties Nr. F3-43-(05), Nacionalinės švietimo agentūros 2021-08-12 raštą Nr. SD-2579(1.6E), Prienų rajono savivaldybės taryba </w:t>
      </w:r>
      <w:r>
        <w:rPr>
          <w:spacing w:val="100"/>
        </w:rPr>
        <w:t>nusprendži</w:t>
      </w:r>
      <w:r>
        <w:t>a</w:t>
      </w:r>
      <w:r>
        <w:rPr>
          <w:spacing w:val="120"/>
        </w:rPr>
        <w:t>:</w:t>
      </w:r>
    </w:p>
    <w:p>
      <w:pPr>
        <w:tabs>
          <w:tab w:val="left" w:pos="1296"/>
          <w:tab w:val="center" w:pos="1418"/>
          <w:tab w:val="right" w:pos="8306"/>
        </w:tabs>
        <w:spacing w:line="276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</w:t>
        <w:tab/>
        <w:t>Sutikti perimti Prienų rajono s</w:t>
      </w:r>
      <w:r>
        <w:rPr>
          <w:szCs w:val="24"/>
        </w:rPr>
        <w:t xml:space="preserve">avivaldybės nuosavybėn savarankiškosioms  funkcijoms </w:t>
      </w:r>
      <w:r>
        <w:rPr>
          <w:color w:val="000000"/>
          <w:szCs w:val="24"/>
          <w:shd w:val="clear" w:color="auto" w:fill="FFFFFF"/>
        </w:rPr>
        <w:t>(savivaldybės teritorijoje gyvenančių vaikų iki 16 metų mokymosi pagal privalomojo švietimo programas užtikrinimas;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szCs w:val="24"/>
        </w:rPr>
        <w:t>švietimo pagalbos teikimo mokiniui, mokytojui, šeimai, mokyklai, vaiko minimalios priežiūros priemonių vykdymo organizavimas ir koordinavimas) įgyvendinti valstybei nuosavybės teise priklausantį ir šiuo metu Nacionalinės švietimo agentūros patikėjimo teise valdomą turtą – kompiuterinę įrangą, nurodytą šio sprendimo priede.</w:t>
      </w:r>
    </w:p>
    <w:p>
      <w:pPr>
        <w:spacing w:line="276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</w:t>
        <w:tab/>
      </w:r>
      <w:r>
        <w:rPr>
          <w:szCs w:val="24"/>
        </w:rPr>
        <w:t>Perėmus Prienų rajono savivaldybės nuosavybėn sprendimo priede</w:t>
      </w:r>
      <w:r>
        <w:rPr>
          <w:color w:val="FF0000"/>
          <w:szCs w:val="24"/>
        </w:rPr>
        <w:t xml:space="preserve"> </w:t>
      </w:r>
      <w:r>
        <w:rPr>
          <w:szCs w:val="24"/>
        </w:rPr>
        <w:t>nurodytą turtą,</w:t>
      </w:r>
      <w:r>
        <w:rPr>
          <w:color w:val="FF0000"/>
          <w:szCs w:val="24"/>
        </w:rPr>
        <w:t xml:space="preserve"> </w:t>
      </w:r>
      <w:r>
        <w:rPr>
          <w:szCs w:val="24"/>
        </w:rPr>
        <w:t>jį perduoti Prienų rajono švietimo įstaigoms valdyti, naudoti ir disponuoti juo patikėjimo teise.</w:t>
      </w:r>
    </w:p>
    <w:p>
      <w:pPr>
        <w:spacing w:line="276" w:lineRule="auto"/>
        <w:ind w:firstLine="1134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</w:t>
        <w:tab/>
      </w:r>
      <w:r>
        <w:rPr>
          <w:szCs w:val="24"/>
        </w:rPr>
        <w:t>Nustatyti, kad kompiuteriai turi būti naudojami bendrojo ugdymo įstaigų tinklo veiklos efektyvumui didinti, mokymo(si) aplinkai modernizuoti (t. y. turtas skirtas naudoti mokinių nuotoliniam mokymui(si) ir skaitmeniniam ugdymo turiniui plėtoti).</w:t>
      </w:r>
    </w:p>
    <w:p>
      <w:pPr>
        <w:spacing w:line="276" w:lineRule="auto"/>
        <w:ind w:firstLine="1134"/>
        <w:jc w:val="both"/>
        <w:rPr>
          <w:i/>
          <w:color w:val="FF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</w:t>
        <w:tab/>
      </w:r>
      <w:r>
        <w:rPr>
          <w:szCs w:val="24"/>
          <w:lang w:eastAsia="lt-LT"/>
        </w:rPr>
        <w:t xml:space="preserve">Įgalioti Prienų rajono savivaldybės administracijos direktorių pasirašyti sprendimo        priede nurodyto turto perdavimo–priėmimo aktus. </w:t>
      </w:r>
    </w:p>
    <w:p>
      <w:pPr>
        <w:spacing w:line="276" w:lineRule="auto"/>
        <w:ind w:firstLine="1134"/>
        <w:jc w:val="both"/>
        <w:rPr>
          <w:color w:val="FF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</w:t>
        <w:tab/>
      </w:r>
      <w:r>
        <w:rPr>
          <w:szCs w:val="24"/>
          <w:lang w:eastAsia="lt-LT"/>
        </w:rPr>
        <w:t>Pripažinti netekusiu galios Prienų rajono savivaldybės tarybos 2021 m. gegužės 27 d. sprendimą Nr. A3-135 „Dėl kompiuterinės įrangos perėmimo savivaldybės nuosavybėn ir perdavimo Prienų rajono švietimo įstaigoms valdyti, naudoti ir disponuoti ja patikėjimo teise“.</w:t>
      </w:r>
    </w:p>
    <w:p>
      <w:pPr>
        <w:spacing w:line="276" w:lineRule="auto"/>
        <w:ind w:firstLine="1134"/>
        <w:jc w:val="both"/>
        <w:rPr>
          <w:szCs w:val="24"/>
          <w:lang w:eastAsia="lt-LT"/>
        </w:rPr>
      </w:pPr>
      <w:r>
        <w:rPr>
          <w:bCs/>
          <w:szCs w:val="24"/>
        </w:rPr>
        <w:t>Šis sprendimas per vieną mėnesį nuo jo paskelbimo ar įteikimo dienos gali būti skundžiamas Lietuvos Respublikos administracinių bylų teisenos įstatymo nustatyta tvarka Lietuvos Respublikos administracinių ginčų komisijos Kauno apygardos skyriui (</w:t>
      </w:r>
      <w:r>
        <w:rPr>
          <w:szCs w:val="24"/>
        </w:rPr>
        <w:t>Laisvės al. 36, Kaunas</w:t>
      </w:r>
      <w:r>
        <w:rPr>
          <w:bCs/>
          <w:szCs w:val="24"/>
        </w:rPr>
        <w:t>) arba Regionų apygardos administraciniam teismui bet kuriuose teismo rūmuose (Šiaulių rūmai, Dvaro g. 80, Šiauliai; Panevėžio rūmai,</w:t>
      </w:r>
      <w:r>
        <w:rPr>
          <w:szCs w:val="24"/>
        </w:rPr>
        <w:t xml:space="preserve"> </w:t>
      </w:r>
      <w:r>
        <w:rPr>
          <w:bCs/>
          <w:szCs w:val="24"/>
        </w:rPr>
        <w:t>Respublikos g. 62, Panevėžys; Klaipėdos rūmai,</w:t>
      </w:r>
      <w:r>
        <w:rPr>
          <w:szCs w:val="24"/>
        </w:rPr>
        <w:t xml:space="preserve"> </w:t>
      </w:r>
      <w:r>
        <w:rPr>
          <w:bCs/>
          <w:szCs w:val="24"/>
        </w:rPr>
        <w:t>Galinio Pylimo g. 9, Klaipėda; Kauno rūmai,</w:t>
      </w:r>
      <w:r>
        <w:rPr>
          <w:szCs w:val="24"/>
        </w:rPr>
        <w:t xml:space="preserve"> </w:t>
      </w:r>
      <w:r>
        <w:rPr>
          <w:bCs/>
          <w:szCs w:val="24"/>
        </w:rPr>
        <w:t>A. Mickevičiaus g. 8A, Kaunas).</w:t>
      </w:r>
    </w:p>
    <w:p>
      <w:pPr>
        <w:rPr>
          <w:sz w:val="8"/>
          <w:szCs w:val="8"/>
        </w:rPr>
      </w:pPr>
    </w:p>
    <w:p>
      <w:pPr>
        <w:spacing w:line="276" w:lineRule="auto"/>
        <w:ind w:firstLine="62"/>
      </w:pPr>
    </w:p>
    <w:p>
      <w:pPr>
        <w:rPr>
          <w:sz w:val="8"/>
          <w:szCs w:val="8"/>
        </w:rPr>
      </w:pPr>
    </w:p>
    <w:p>
      <w:pPr>
        <w:spacing w:line="276" w:lineRule="auto"/>
        <w:jc w:val="both"/>
      </w:pPr>
      <w:r>
        <w:t>Savivaldybės meras</w:t>
        <w:tab/>
        <w:tab/>
        <w:tab/>
        <w:tab/>
        <w:tab/>
        <w:tab/>
        <w:tab/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284" w:left="180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sz w:val="20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8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2729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TRUMPALAIKĖS VAIKO GLOBOS IR PRIEŽIŪROS VŠĮ PRIENŲ LIGONINĖJE PROJEKTO PATVIRTINIMO</vt:lpstr>
    </vt:vector>
  </TitlesOfParts>
  <Company>Savivaldybė</Company>
  <LinksUpToDate>false</LinksUpToDate>
  <CharactersWithSpaces>3104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2021-08-19T05:20:00Z</dcterms:created>
  <dc:creator>Birutė</dc:creator>
  <lastModifiedBy>adlibuser</lastModifiedBy>
  <lastPrinted>2021-05-13T06:34:00Z</lastPrinted>
  <dcterms:modified xsi:type="dcterms:W3CDTF">2021-08-19T05:20:00Z</dcterms:modified>
  <revision>2</revision>
  <dc:title>DĖL TRUMPALAIKĖS VAIKO GLOBOS IR PRIEŽIŪROS VŠĮ PRIENŲ LIGONINĖJE PROJEKTO PATVIRTINIMO</dc:title>
</coreProperties>
</file>