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48cfc6a2fce24a2489fa793c0fe159f5"/>
        <w:lock w:val="sdtLocked"/>
        <w:richText/>
      </w:sdtPr>
      <w:sdtContent>
        <w:p w14:paraId="370C14E5" w14:textId="77777777">
          <w:pPr>
            <w:tabs>
              <w:tab w:val="center" w:pos="4819"/>
              <w:tab w:val="right" w:pos="9638"/>
            </w:tabs>
            <w:jc w:val="right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Projektas</w:t>
          </w:r>
        </w:p>
        <w:p w14:paraId="6CA3590F" w14:textId="77777777">
          <w:pPr>
            <w:jc w:val="center"/>
            <w:rPr>
              <w:b/>
              <w:szCs w:val="24"/>
              <w:lang w:eastAsia="lt-LT"/>
            </w:rPr>
          </w:pPr>
        </w:p>
        <w:p w14:paraId="660E6E39" w14:textId="17888D59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ŠIAULIŲ MIESTO SAVIVALDYBĖS TARYBA</w:t>
          </w:r>
        </w:p>
        <w:p w14:paraId="660E6E3A" w14:textId="77777777">
          <w:pPr>
            <w:jc w:val="center"/>
            <w:rPr>
              <w:b/>
              <w:sz w:val="16"/>
              <w:szCs w:val="16"/>
              <w:lang w:eastAsia="x-none"/>
            </w:rPr>
          </w:pPr>
        </w:p>
        <w:p w14:paraId="660E6E3B" w14:textId="77777777">
          <w:pPr>
            <w:jc w:val="center"/>
            <w:rPr>
              <w:b/>
              <w:szCs w:val="24"/>
              <w:lang w:eastAsia="x-none"/>
            </w:rPr>
          </w:pPr>
          <w:r>
            <w:rPr>
              <w:b/>
              <w:szCs w:val="24"/>
              <w:lang w:eastAsia="x-none"/>
            </w:rPr>
            <w:t>SPRENDIMAS</w:t>
          </w:r>
        </w:p>
        <w:p w14:paraId="660E6E3D" w14:textId="777BE366"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 xml:space="preserve">DĖL PASTATO – PERĖJIMO POSTO, ESANČIO TILŽĖS G. 74A, ŠIAULIUOSE, </w:t>
          </w:r>
          <w:r>
            <w:rPr>
              <w:rFonts w:eastAsia="Calibri"/>
              <w:b/>
              <w:bCs/>
              <w:szCs w:val="24"/>
              <w:lang w:eastAsia="lt-LT"/>
            </w:rPr>
            <w:t>PIRKIMO</w:t>
          </w:r>
        </w:p>
        <w:p w14:paraId="660E6E3E" w14:textId="618C2145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 xml:space="preserve">2025 m.                    d. Nr. T-</w:t>
          </w:r>
        </w:p>
        <w:p w14:paraId="660E6E3F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Šiauliai</w:t>
          </w:r>
        </w:p>
        <w:p w14:paraId="660E6E40" w14:textId="77777777">
          <w:pPr>
            <w:jc w:val="center"/>
            <w:rPr>
              <w:szCs w:val="24"/>
              <w:lang w:eastAsia="lt-LT"/>
            </w:rPr>
          </w:pPr>
        </w:p>
        <w:sdt>
          <w:sdtPr>
            <w:alias w:val="preambule"/>
            <w:tag w:val="part_75321cc81c514225b349e7e5cb135d51"/>
            <w:lock w:val="sdtLocked"/>
            <w:richText/>
          </w:sdtPr>
          <w:sdtContent>
            <w:p w14:paraId="147167E9" w14:textId="6B940BAE">
              <w:pPr>
                <w:ind w:firstLine="567"/>
                <w:jc w:val="both"/>
                <w:rPr>
                  <w:spacing w:val="40"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Vadovaudamasi Lietuvos Respublikos vietos savivaldos įstatymo 15 straipsnio 4 dalimi, Lietuvos Respublikos valstybės ir savivaldybių turto valdymo, naudojimo ir disponavimo juo įstatymo 6 straipsnio 5 punktu ir Žemės, esamų pastatų ar kitų nekilnojamųjų daiktų įsigijimo arba nuomos ar teisių į šiuos daiktus įsigijimo tvarkos aprašo, patvirtinto Lietuvos Respublikos Vyriausybės 2017 m. gruodžio 13 d. nutarimu Nr. 1036 „Dėl Žemės, esamų pastatų ar kitų nekilnojamųjų daiktų įsigijimo arba nuomos ar teisių į šiuos daiktus įsigijimo tvarkos aprašo patvirtinimo“, 67 punktu, įgyvendindama Šiaulių miesto savivaldybės tarybos 2024 m. rugsėjo 5 d. sprendimą Nr. T-347 „Dėl pastato – perėjimo posto, esančio Tilžės g. 74A, Šiauliuose, </w:t>
              </w:r>
              <w:r>
                <w:rPr>
                  <w:rFonts w:eastAsia="Calibri"/>
                  <w:szCs w:val="24"/>
                  <w:lang w:eastAsia="lt-LT"/>
                </w:rPr>
                <w:t xml:space="preserve">pirkimo </w:t>
              </w:r>
              <w:r>
                <w:rPr>
                  <w:szCs w:val="24"/>
                  <w:lang w:eastAsia="lt-LT"/>
                </w:rPr>
                <w:t>ekonominio ir socialinio pagrindimo“, atsižvelgdama į Šiaulių miesto savivaldybės administracijos direktoriaus 2025 m. balandžio 15 d. įsakymu Nr. A-380 „</w:t>
              </w:r>
              <w:r>
                <w:rPr>
                  <w:bCs/>
                  <w:szCs w:val="24"/>
                  <w:lang w:eastAsia="lt-LT"/>
                </w:rPr>
                <w:t>Dėl negyvenamojo pastato – perėjimo posto pirkimo neskelbiamų derybų būdu, komisijos sudarymo ir jos darbo reglamento patvirtinimo</w:t>
              </w:r>
              <w:r>
                <w:rPr>
                  <w:szCs w:val="24"/>
                  <w:lang w:eastAsia="lt-LT"/>
                </w:rPr>
                <w:t xml:space="preserve">“ sudarytos komisijos 2025 m. spalio 7 d. ataskaitą Nr. VAK-222, Šiaulių miesto savivaldybės taryba </w:t>
              </w:r>
              <w:r>
                <w:rPr>
                  <w:spacing w:val="40"/>
                  <w:kern w:val="24"/>
                  <w:szCs w:val="24"/>
                  <w:shd w:val="clear" w:color="auto" w:fill="FFFFFF"/>
                  <w:lang w:eastAsia="lt-LT"/>
                </w:rPr>
                <w:t>n</w:t>
              </w:r>
              <w:r>
                <w:rPr>
                  <w:spacing w:val="40"/>
                  <w:kern w:val="24"/>
                  <w:szCs w:val="24"/>
                  <w:lang w:eastAsia="lt-LT"/>
                </w:rPr>
                <w:t>usprendži</w:t>
              </w:r>
              <w:r>
                <w:rPr>
                  <w:spacing w:val="40"/>
                  <w:szCs w:val="24"/>
                  <w:shd w:val="clear" w:color="auto" w:fill="FFFFFF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e5dd4e9710cd4ad09dc5a068de449ac6"/>
            <w:lock w:val="sdtLocked"/>
            <w:richText/>
          </w:sdtPr>
          <w:sdtContent>
            <w:p w14:paraId="084897EA" w14:textId="406A787D">
              <w:pPr>
                <w:tabs>
                  <w:tab w:val="left" w:pos="0"/>
                  <w:tab w:val="left" w:pos="851"/>
                  <w:tab w:val="left" w:pos="1418"/>
                </w:tabs>
                <w:ind w:firstLine="567"/>
                <w:jc w:val="both"/>
                <w:rPr>
                  <w:spacing w:val="40"/>
                  <w:szCs w:val="24"/>
                  <w:lang w:eastAsia="lt-LT"/>
                </w:rPr>
              </w:pPr>
              <w:sdt>
                <w:sdtPr>
                  <w:alias w:val="Numeris"/>
                  <w:tag w:val="nr_e5dd4e9710cd4ad09dc5a068de449ac6"/>
                  <w:lock w:val="sdtLocked"/>
                  <w:richText/>
                </w:sdtPr>
                <w:sdtContent>
                  <w:r>
                    <w:rPr>
                      <w:spacing w:val="4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pacing w:val="40"/>
                  <w:szCs w:val="24"/>
                  <w:lang w:eastAsia="lt-LT"/>
                </w:rPr>
                <w:t>.</w:t>
                <w:tab/>
              </w:r>
              <w:r>
                <w:rPr>
                  <w:szCs w:val="24"/>
                  <w:lang w:eastAsia="lt-LT"/>
                </w:rPr>
                <w:t xml:space="preserve">Įsigyti Šiaulių miesto savivaldybės nuosavybėn pastatą – perėjimo postą, esantį Tilžės g. 74A, Šiauliuose, (unikalus numeris 2996-2017-9026, žymėjimas plane 2B1p, bendras plotas 9,84 kv. m) iš </w:t>
              </w:r>
              <w:r>
                <w:rPr>
                  <w:i/>
                  <w:szCs w:val="24"/>
                  <w:lang w:eastAsia="lt-LT"/>
                </w:rPr>
                <w:t>(duomenys neskelbtini)</w:t>
              </w:r>
              <w:r>
                <w:rPr>
                  <w:szCs w:val="24"/>
                  <w:lang w:eastAsia="lt-LT"/>
                </w:rPr>
                <w:t xml:space="preserve"> už 5 520,00 Eur (penkis tūkstančius penkis šimtus dvidešimt eurų, 00 centų);</w:t>
              </w:r>
            </w:p>
          </w:sdtContent>
        </w:sdt>
        <w:sdt>
          <w:sdtPr>
            <w:alias w:val="2 p."/>
            <w:tag w:val="part_a6a3e4a053284531b41fe826f8e5c960"/>
            <w:lock w:val="sdtLocked"/>
            <w:richText/>
          </w:sdtPr>
          <w:sdtContent>
            <w:p w14:paraId="660E6E45" w14:textId="4A32A811">
              <w:pPr>
                <w:tabs>
                  <w:tab w:val="left" w:pos="851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a6a3e4a053284531b41fe826f8e5c960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</w:t>
                <w:tab/>
                <w:t>Įgalioti Šiaulių miesto savivaldybės administracijos direktorių pasirašyti šio sprendimo 1 punkte nurodyto turto pirkimo–pardavimo sutartį.</w:t>
              </w:r>
            </w:p>
            <w:p w14:paraId="43D6D0DD" w14:textId="726F7DC1">
              <w:pPr>
                <w:tabs>
                  <w:tab w:val="left" w:pos="567"/>
                </w:tabs>
                <w:ind w:firstLine="567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Šis sprendimas ne vėliau kaip per mėnesį nuo jo įteikimo dienos gali būti skundžiamas paduodant skundą Lietuvos administracinių ginčų komisijos Šiaulių apygardos skyriui adresu: Dvaro g. 81, Šiauliai, arba bet kuriuose Regionų administracinio teismo rūmuose.</w:t>
              </w:r>
            </w:p>
            <w:p w14:paraId="74647D98" w14:textId="77777777">
              <w:pPr>
                <w:jc w:val="both"/>
                <w:rPr>
                  <w:b/>
                  <w:szCs w:val="24"/>
                  <w:lang w:eastAsia="lt-LT"/>
                </w:rPr>
              </w:pPr>
            </w:p>
            <w:p w14:paraId="660E6E47" w14:textId="77777777">
              <w:pPr>
                <w:rPr>
                  <w:b/>
                  <w:szCs w:val="24"/>
                  <w:lang w:eastAsia="x-none"/>
                </w:rPr>
              </w:pPr>
            </w:p>
          </w:sdtContent>
        </w:sdt>
        <w:sdt>
          <w:sdtPr>
            <w:alias w:val="signatura"/>
            <w:tag w:val="part_bbe8938b97b24adfbd5f697754f98a8c"/>
            <w:lock w:val="sdtLocked"/>
            <w:richText/>
          </w:sdtPr>
          <w:sdtContent>
            <w:p w14:paraId="635CC905" w14:textId="29F3084A"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Savivaldybės meras</w:t>
              </w: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0AB406B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endnote>
  <w:endnote w:type="continuationSeparator" w:id="0">
    <w:p w14:paraId="582B9522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121D4E4" w14:textId="77777777">
    <w:pPr>
      <w:tabs>
        <w:tab w:val="center" w:pos="4819"/>
        <w:tab w:val="right" w:pos="9638"/>
      </w:tabs>
      <w:rPr>
        <w:szCs w:val="24"/>
        <w:lang w:eastAsia="x-none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FE90E27" w14:textId="77777777">
    <w:pPr>
      <w:tabs>
        <w:tab w:val="center" w:pos="4819"/>
        <w:tab w:val="right" w:pos="9638"/>
      </w:tabs>
      <w:rPr>
        <w:szCs w:val="24"/>
        <w:lang w:eastAsia="x-none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86D3131" w14:textId="77777777">
    <w:pPr>
      <w:tabs>
        <w:tab w:val="center" w:pos="4819"/>
        <w:tab w:val="right" w:pos="9638"/>
      </w:tabs>
      <w:rPr>
        <w:szCs w:val="24"/>
        <w:lang w:eastAsia="x-none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92B8EE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separator/>
      </w:r>
    </w:p>
  </w:footnote>
  <w:footnote w:type="continuationSeparator" w:id="0">
    <w:p w14:paraId="48C5D0E6" w14:textId="77777777">
      <w:pPr>
        <w:rPr>
          <w:szCs w:val="24"/>
          <w:lang w:eastAsia="lt-LT"/>
        </w:rPr>
      </w:pPr>
      <w:r>
        <w:rPr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991C0B" w14:textId="77777777">
    <w:pPr>
      <w:tabs>
        <w:tab w:val="center" w:pos="4819"/>
        <w:tab w:val="right" w:pos="9638"/>
      </w:tabs>
      <w:rPr>
        <w:szCs w:val="24"/>
        <w:lang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3" w14:textId="1E96823A">
    <w:pPr>
      <w:tabs>
        <w:tab w:val="center" w:pos="4819"/>
        <w:tab w:val="right" w:pos="9638"/>
      </w:tabs>
      <w:jc w:val="center"/>
      <w:rPr>
        <w:szCs w:val="24"/>
        <w:lang w:eastAsia="x-none"/>
      </w:rPr>
    </w:pPr>
    <w:r>
      <w:rPr>
        <w:szCs w:val="24"/>
        <w:lang w:eastAsia="x-none"/>
      </w:rPr>
      <w:fldChar w:fldCharType="begin"/>
    </w:r>
    <w:r>
      <w:rPr>
        <w:szCs w:val="24"/>
        <w:lang w:eastAsia="x-none"/>
      </w:rPr>
      <w:instrText xml:space="preserve"> PAGE   \* MERGEFORMAT </w:instrText>
    </w:r>
    <w:r>
      <w:rPr>
        <w:szCs w:val="24"/>
        <w:lang w:eastAsia="x-none"/>
      </w:rPr>
      <w:fldChar w:fldCharType="separate"/>
    </w:r>
    <w:r>
      <w:rPr>
        <w:szCs w:val="24"/>
        <w:lang w:eastAsia="x-none"/>
      </w:rPr>
      <w:t>2</w:t>
    </w:r>
    <w:r>
      <w:rPr>
        <w:szCs w:val="24"/>
        <w:lang w:eastAsia="x-none"/>
      </w:rPr>
      <w:fldChar w:fldCharType="end"/>
    </w:r>
  </w:p>
  <w:p w14:paraId="660E6E64" w14:textId="77777777">
    <w:pPr>
      <w:tabs>
        <w:tab w:val="center" w:pos="4819"/>
        <w:tab w:val="right" w:pos="9638"/>
      </w:tabs>
      <w:rPr>
        <w:szCs w:val="24"/>
        <w:lang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60E6E66" w14:textId="658A5ED8">
    <w:pPr>
      <w:tabs>
        <w:tab w:val="center" w:pos="4819"/>
        <w:tab w:val="right" w:pos="9638"/>
      </w:tabs>
      <w:rPr>
        <w:szCs w:val="24"/>
        <w:lang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5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60E6E39"/>
  <w15:docId w15:val="{D71219AE-390D-4970-943F-AFA61CD28494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795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2329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3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3220682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0363820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2645">
          <w:marLeft w:val="57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7306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384159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6739728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5324653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178220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765222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42350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135754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8891787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26666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788872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313161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0761836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347744">
          <w:marLeft w:val="28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769">
          <w:marLeft w:val="288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4850328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81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851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1145533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638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5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3444803">
          <w:marLeft w:val="288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108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75934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3944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13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1697676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90708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389792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8957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3039852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6176530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0813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8207115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99982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2691567">
          <w:marLeft w:val="28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8a378cbfb31c42019484b1fa45a9cc8b" PartId="48cfc6a2fce24a2489fa793c0fe159f5">
    <Part Type="preambule" DocPartId="aaa45851acbe4bdfa8a70b924bc0810b" PartId="75321cc81c514225b349e7e5cb135d51"/>
    <Part Type="punktas" Nr="1" Abbr="1 p." DocPartId="ba70233a7c4448c5b6a5ce508b8269c8" PartId="e5dd4e9710cd4ad09dc5a068de449ac6"/>
    <Part Type="punktas" Nr="2" Abbr="2 p." DocPartId="bf5619aef98c46858fdac16f98a9fa06" PartId="a6a3e4a053284531b41fe826f8e5c960"/>
    <Part Type="signatura" DocPartId="75fffe269e374c12968acae1e4dda932" PartId="bbe8938b97b24adfbd5f697754f98a8c"/>
  </Part>
</Parts>
</file>

<file path=customXml/itemProps1.xml><?xml version="1.0" encoding="utf-8"?>
<ds:datastoreItem xmlns:ds="http://schemas.openxmlformats.org/officeDocument/2006/customXml" ds:itemID="{A9831C3B-CB58-4D39-935B-2B73B3F43B49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2E793DD-A485-410E-84DE-445ED7DD25D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272</Words>
  <Characters>1762</Characters>
  <Application>Microsoft Office Word</Application>
  <DocSecurity>4</DocSecurity>
  <Lines>35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Projektas</vt:lpstr>
      <vt:lpstr>Projektas</vt:lpstr>
    </vt:vector>
  </TitlesOfParts>
  <Company>Siauliu m. savivaldybe</Company>
  <LinksUpToDate>false</LinksUpToDate>
  <CharactersWithSpaces>2023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2025-10-23T14:29:00Z</dcterms:created>
  <dc:creator>l.rinkeviciene</dc:creator>
  <lastModifiedBy>adlibuser</lastModifiedBy>
  <lastPrinted>2022-03-22T06:13:00Z</lastPrinted>
  <dcterms:modified xsi:type="dcterms:W3CDTF">2025-10-23T14:29:00Z</dcterms:modified>
  <revision>2</revision>
  <dc:title>Projektas</dc:title>
</coreProperties>
</file>