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widowControl w:val="0"/>
        <w:suppressAutoHyphens/>
        <w:spacing w:line="360" w:lineRule="auto"/>
        <w:ind w:firstLine="2880"/>
        <w:jc w:val="right"/>
        <w:rPr>
          <w:rFonts w:eastAsia="HG Mincho Light J"/>
          <w:b/>
          <w:color w:val="000000"/>
          <w:lang w:eastAsia="lt-LT"/>
        </w:rPr>
      </w:pPr>
      <w:r>
        <w:rPr>
          <w:rFonts w:eastAsia="HG Mincho Light J"/>
          <w:b/>
          <w:color w:val="000000"/>
          <w:lang w:eastAsia="lt-LT"/>
        </w:rPr>
        <w:t>Projektas</w:t>
      </w:r>
    </w:p>
    <w:p>
      <w:pPr>
        <w:widowControl w:val="0"/>
        <w:suppressAutoHyphens/>
        <w:spacing w:line="360" w:lineRule="auto"/>
        <w:jc w:val="center"/>
        <w:rPr>
          <w:rFonts w:eastAsia="HG Mincho Light J"/>
          <w:b/>
          <w:color w:val="000000"/>
          <w:lang w:eastAsia="lt-LT"/>
        </w:rPr>
      </w:pPr>
      <w:r>
        <w:rPr>
          <w:rFonts w:eastAsia="HG Mincho Light J"/>
          <w:b/>
          <w:color w:val="000000"/>
          <w:lang w:eastAsia="lt-LT"/>
        </w:rPr>
        <w:t>PRIENŲ RAJONO SAVIVALDYBĖS TARYBA</w:t>
      </w:r>
    </w:p>
    <w:p>
      <w:pPr>
        <w:widowControl w:val="0"/>
        <w:suppressAutoHyphens/>
        <w:spacing w:line="360" w:lineRule="auto"/>
        <w:jc w:val="center"/>
        <w:rPr>
          <w:rFonts w:eastAsia="HG Mincho Light J"/>
          <w:b/>
          <w:bCs/>
          <w:color w:val="000000"/>
          <w:lang w:eastAsia="lt-LT"/>
        </w:rPr>
      </w:pPr>
    </w:p>
    <w:p>
      <w:pPr>
        <w:widowControl w:val="0"/>
        <w:suppressAutoHyphens/>
        <w:jc w:val="center"/>
        <w:rPr>
          <w:rFonts w:eastAsia="HG Mincho Light J"/>
          <w:b/>
          <w:bCs/>
          <w:color w:val="000000"/>
          <w:lang w:eastAsia="lt-LT"/>
        </w:rPr>
      </w:pPr>
      <w:r>
        <w:rPr>
          <w:rFonts w:eastAsia="HG Mincho Light J"/>
          <w:b/>
          <w:bCs/>
          <w:color w:val="000000"/>
          <w:lang w:eastAsia="lt-LT"/>
        </w:rPr>
        <w:t>SPRENDIMAS</w:t>
      </w:r>
    </w:p>
    <w:p>
      <w:pPr>
        <w:widowControl w:val="0"/>
        <w:suppressAutoHyphens/>
        <w:jc w:val="center"/>
        <w:rPr>
          <w:rFonts w:eastAsia="HG Mincho Light J"/>
          <w:b/>
          <w:bCs/>
          <w:color w:val="000000"/>
          <w:lang w:eastAsia="lt-LT"/>
        </w:rPr>
      </w:pPr>
      <w:r>
        <w:rPr>
          <w:rFonts w:eastAsia="HG Mincho Light J"/>
          <w:b/>
          <w:bCs/>
          <w:color w:val="000000"/>
          <w:lang w:eastAsia="lt-LT"/>
        </w:rPr>
        <w:t xml:space="preserve">DĖL </w:t>
      </w:r>
      <w:r>
        <w:rPr>
          <w:rFonts w:eastAsia="HG Mincho Light J"/>
          <w:b/>
          <w:color w:val="000000"/>
          <w:szCs w:val="24"/>
          <w:lang w:eastAsia="lt-LT" w:bidi="lo-LA"/>
        </w:rPr>
        <w:t xml:space="preserve">PRIENŲ RAJONO SAVIVALDYBĖS ILGALAIKIO MATERIALIOJO TURTO VIEŠO NUOMOS KONKURSO IR NUOMOS NE KONKURSO BŪDU ORGANIZAVIMO IR VYKDYMO TVARKOS APRAŠO IR NUOMPINIGIŲ UŽ SAVIVALDYBĖS ILGALAIKIO IR TRUMPALAIKIO MATERIALIOJO TURTO NUOMĄ SKAIČIAVIMO TAISYKLIŲ </w:t>
      </w:r>
      <w:r>
        <w:rPr>
          <w:rFonts w:eastAsia="HG Mincho Light J"/>
          <w:b/>
          <w:color w:val="000000"/>
          <w:szCs w:val="24"/>
          <w:lang w:eastAsia="lt-LT"/>
        </w:rPr>
        <w:t>PATVIRTINIMO</w:t>
      </w:r>
    </w:p>
    <w:p>
      <w:pPr>
        <w:widowControl w:val="0"/>
        <w:suppressAutoHyphens/>
        <w:ind w:firstLine="62"/>
        <w:jc w:val="center"/>
        <w:rPr>
          <w:rFonts w:eastAsia="HG Mincho Light J"/>
          <w:b/>
          <w:bCs/>
          <w:color w:val="000000"/>
          <w:lang w:eastAsia="lt-LT"/>
        </w:rPr>
      </w:pPr>
    </w:p>
    <w:p>
      <w:pPr>
        <w:widowControl w:val="0"/>
        <w:suppressAutoHyphens/>
        <w:jc w:val="center"/>
        <w:rPr>
          <w:rFonts w:eastAsia="HG Mincho Light J"/>
          <w:bCs/>
          <w:color w:val="000000"/>
          <w:lang w:eastAsia="lt-LT"/>
        </w:rPr>
      </w:pPr>
      <w:r>
        <w:rPr>
          <w:rFonts w:eastAsia="HG Mincho Light J"/>
          <w:bCs/>
          <w:color w:val="000000"/>
          <w:lang w:eastAsia="lt-LT"/>
        </w:rPr>
        <w:t xml:space="preserve">2022 m. vasario         d.  Nr.</w:t>
      </w:r>
    </w:p>
    <w:p>
      <w:pPr>
        <w:widowControl w:val="0"/>
        <w:suppressAutoHyphens/>
        <w:jc w:val="center"/>
        <w:rPr>
          <w:rFonts w:eastAsia="HG Mincho Light J"/>
          <w:bCs/>
          <w:color w:val="000000"/>
          <w:lang w:eastAsia="lt-LT"/>
        </w:rPr>
      </w:pPr>
      <w:r>
        <w:rPr>
          <w:rFonts w:eastAsia="HG Mincho Light J"/>
          <w:bCs/>
          <w:color w:val="000000"/>
          <w:lang w:eastAsia="lt-LT"/>
        </w:rPr>
        <w:t>Prienai</w:t>
      </w:r>
    </w:p>
    <w:p>
      <w:pPr>
        <w:widowControl w:val="0"/>
        <w:suppressAutoHyphens/>
        <w:spacing w:line="360" w:lineRule="auto"/>
        <w:jc w:val="center"/>
        <w:rPr>
          <w:rFonts w:eastAsia="HG Mincho Light J"/>
          <w:bCs/>
          <w:color w:val="000000"/>
          <w:lang w:eastAsia="lt-LT"/>
        </w:rPr>
      </w:pPr>
    </w:p>
    <w:p>
      <w:pPr>
        <w:widowControl w:val="0"/>
        <w:suppressAutoHyphens/>
        <w:ind w:firstLine="1134"/>
        <w:jc w:val="both"/>
        <w:rPr>
          <w:rFonts w:eastAsia="HG Mincho Light J"/>
          <w:iCs/>
          <w:color w:val="000000"/>
          <w:szCs w:val="24"/>
          <w:lang w:eastAsia="lt-LT"/>
        </w:rPr>
      </w:pPr>
      <w:r>
        <w:rPr>
          <w:rFonts w:eastAsia="Calibri"/>
          <w:color w:val="000000"/>
          <w:szCs w:val="24"/>
          <w:lang w:eastAsia="lt-LT"/>
        </w:rPr>
        <w:t xml:space="preserve">Vadovaudamasi Lietuvos Respublikos vietos savivaldos įstatymo 16 straipsnio 2 dalies 26 punktu, 18 straipsnio 1 dalimi, </w:t>
      </w:r>
      <w:r>
        <w:rPr>
          <w:rFonts w:eastAsia="HG Mincho Light J"/>
          <w:color w:val="000000"/>
          <w:szCs w:val="24"/>
          <w:lang w:eastAsia="lt-LT" w:bidi="lo-LA"/>
        </w:rPr>
        <w:t xml:space="preserve">48 straipsnio 2 dalimi, </w:t>
      </w:r>
      <w:r>
        <w:rPr>
          <w:rFonts w:eastAsia="Calibri"/>
          <w:color w:val="000000"/>
          <w:szCs w:val="24"/>
          <w:lang w:eastAsia="lt-LT"/>
        </w:rPr>
        <w:t>Lietuvos Respublikos valstybės ir savivaldybių turto valdymo, naudojimo ir disponavimo juo įstatymu,</w:t>
      </w:r>
      <w:r>
        <w:rPr>
          <w:rFonts w:eastAsia="HG Mincho Light J"/>
          <w:color w:val="000000"/>
          <w:szCs w:val="24"/>
          <w:lang w:eastAsia="lt-LT"/>
        </w:rPr>
        <w:t xml:space="preserve"> </w:t>
      </w:r>
      <w:r>
        <w:rPr>
          <w:rFonts w:eastAsia="HG Mincho Light J"/>
          <w:iCs/>
          <w:color w:val="000000"/>
          <w:szCs w:val="24"/>
          <w:lang w:eastAsia="lt-LT"/>
        </w:rPr>
        <w:t>Prienų rajono savivaldybės taryba n u s p r e n d ž i a:</w:t>
      </w:r>
    </w:p>
    <w:p>
      <w:pPr>
        <w:tabs>
          <w:tab w:val="left" w:pos="1418"/>
        </w:tabs>
        <w:ind w:left="1134"/>
        <w:jc w:val="both"/>
        <w:rPr>
          <w:rFonts w:eastAsia="Calibri"/>
          <w:szCs w:val="24"/>
          <w:lang w:eastAsia="ar-SA" w:bidi="lo-LA"/>
        </w:rPr>
      </w:pPr>
      <w:r>
        <w:rPr>
          <w:rFonts w:eastAsia="Calibri"/>
          <w:szCs w:val="24"/>
          <w:lang w:eastAsia="lt-LT" w:bidi="lo-LA"/>
        </w:rPr>
        <w:t>1</w:t>
      </w:r>
      <w:r>
        <w:rPr>
          <w:rFonts w:eastAsia="Calibri"/>
          <w:szCs w:val="24"/>
          <w:lang w:eastAsia="lt-LT" w:bidi="lo-LA"/>
        </w:rPr>
        <w:t>. Patvirtinti pridedamus:</w:t>
      </w:r>
    </w:p>
    <w:p>
      <w:pPr>
        <w:tabs>
          <w:tab w:val="left" w:pos="1418"/>
        </w:tabs>
        <w:ind w:firstLine="1134"/>
        <w:jc w:val="both"/>
        <w:rPr>
          <w:rFonts w:eastAsia="Calibri"/>
          <w:szCs w:val="24"/>
          <w:lang w:eastAsia="ar-SA" w:bidi="lo-LA"/>
        </w:rPr>
      </w:pPr>
      <w:r>
        <w:rPr>
          <w:rFonts w:eastAsia="Calibri"/>
          <w:szCs w:val="24"/>
          <w:lang w:bidi="lo-LA"/>
        </w:rPr>
        <w:t>1.1</w:t>
      </w:r>
      <w:r>
        <w:rPr>
          <w:rFonts w:eastAsia="Calibri"/>
          <w:szCs w:val="24"/>
          <w:lang w:bidi="lo-LA"/>
        </w:rPr>
        <w:t>. Prienų rajono savivaldybės ilgalaikio materialiojo turto viešo nuomos konkurso ir nuomos ne konkurso būdu organizavimo ir vykdymo tvarkos aprašą;</w:t>
      </w:r>
    </w:p>
    <w:p>
      <w:pPr>
        <w:tabs>
          <w:tab w:val="left" w:pos="1418"/>
        </w:tabs>
        <w:ind w:firstLine="1134"/>
        <w:jc w:val="both"/>
        <w:rPr>
          <w:rFonts w:eastAsia="Calibri"/>
          <w:szCs w:val="24"/>
          <w:lang w:eastAsia="ar-SA" w:bidi="lo-LA"/>
        </w:rPr>
      </w:pPr>
      <w:r>
        <w:rPr>
          <w:rFonts w:eastAsia="Calibri"/>
          <w:szCs w:val="24"/>
          <w:lang w:eastAsia="ar-SA" w:bidi="lo-LA"/>
        </w:rPr>
        <w:t>1.2</w:t>
      </w:r>
      <w:r>
        <w:rPr>
          <w:rFonts w:eastAsia="Calibri"/>
          <w:szCs w:val="24"/>
          <w:lang w:eastAsia="ar-SA" w:bidi="lo-LA"/>
        </w:rPr>
        <w:t xml:space="preserve">. </w:t>
      </w:r>
      <w:r>
        <w:rPr>
          <w:rFonts w:eastAsia="Calibri"/>
          <w:szCs w:val="24"/>
          <w:lang w:bidi="lo-LA"/>
        </w:rPr>
        <w:t xml:space="preserve">Nuompinigių už savivaldybės ilgalaikio ir trumpalaikio materialiojo turto nuomą skaičiavimo taisykles. </w:t>
      </w:r>
    </w:p>
    <w:p>
      <w:pPr>
        <w:tabs>
          <w:tab w:val="left" w:pos="1418"/>
        </w:tabs>
        <w:ind w:firstLine="1134"/>
        <w:jc w:val="both"/>
        <w:rPr>
          <w:rFonts w:eastAsia="Calibri"/>
          <w:szCs w:val="24"/>
          <w:lang w:eastAsia="ar-SA" w:bidi="lo-LA"/>
        </w:rPr>
      </w:pPr>
      <w:r>
        <w:rPr>
          <w:rFonts w:eastAsia="Calibri"/>
          <w:szCs w:val="24"/>
          <w:lang w:eastAsia="ar-SA" w:bidi="lo-LA"/>
        </w:rPr>
        <w:t>2</w:t>
      </w:r>
      <w:r>
        <w:rPr>
          <w:rFonts w:eastAsia="Calibri"/>
          <w:szCs w:val="24"/>
          <w:lang w:eastAsia="ar-SA" w:bidi="lo-LA"/>
        </w:rPr>
        <w:t xml:space="preserve">. </w:t>
      </w:r>
      <w:r>
        <w:rPr>
          <w:rFonts w:eastAsia="Calibri"/>
          <w:color w:val="000000"/>
          <w:szCs w:val="24"/>
          <w:lang w:eastAsia="lt-LT"/>
        </w:rPr>
        <w:t>Pripažinti netekusiu galios Prienų rajono savivaldybės tarybos 2021 m. balandžio 29 d. sprendimą Nr. T3-116 „</w:t>
      </w:r>
      <w:r>
        <w:rPr>
          <w:rFonts w:eastAsia="Calibri"/>
          <w:szCs w:val="24"/>
        </w:rPr>
        <w:t>Dėl Prienų rajono savivaldybės ilgalaikio materialiojo turto viešo nuomos konkurso ir nuomos ne konkurso būdu organizavimo ir vykdymo tvarkos aprašo ir Nuompinigių už savivaldybės ilgalaikio ir trumpalaikio materialiojo turto nuomą skaičiavimo taisyklių patvirtinimo</w:t>
      </w:r>
      <w:r>
        <w:rPr>
          <w:rFonts w:eastAsia="Calibri"/>
          <w:szCs w:val="24"/>
          <w:lang w:eastAsia="lt-LT" w:bidi="lo-LA"/>
        </w:rPr>
        <w:t>“.</w:t>
      </w:r>
    </w:p>
    <w:p>
      <w:pPr>
        <w:widowControl w:val="0"/>
        <w:suppressAutoHyphens/>
        <w:ind w:firstLine="1134"/>
        <w:jc w:val="both"/>
        <w:rPr>
          <w:rFonts w:eastAsia="HG Mincho Light J"/>
          <w:bCs/>
          <w:color w:val="000000"/>
          <w:lang w:eastAsia="lt-LT"/>
        </w:rPr>
      </w:pPr>
      <w:r>
        <w:rPr>
          <w:rFonts w:eastAsia="HG Mincho Light J"/>
          <w:bCs/>
          <w:color w:val="000000"/>
          <w:lang w:eastAsia="lt-LT"/>
        </w:rPr>
        <w:t>Šis sprendimas per vieną mėnesį nuo jo paskelbimo ar įteikimo dienos gali būti skundžiamas Lietuvos Respublikos administracinių bylų teisenos įstatymo nustatyta tvarka Lietuvos Respublikos administracinių ginčų komisijos Kauno apygardos skyriui (</w:t>
      </w:r>
      <w:r>
        <w:rPr>
          <w:rFonts w:eastAsia="HG Mincho Light J"/>
          <w:color w:val="000000"/>
          <w:lang w:eastAsia="lt-LT"/>
        </w:rPr>
        <w:t>Laisvės al. 36, Kaunas</w:t>
      </w:r>
      <w:r>
        <w:rPr>
          <w:rFonts w:eastAsia="HG Mincho Light J"/>
          <w:bCs/>
          <w:color w:val="000000"/>
          <w:lang w:eastAsia="lt-LT"/>
        </w:rPr>
        <w:t>) arba Regionų apygardos administraciniam teismui bet kuriuose teismo rūmuose (Šiaulių rūmai, Dvaro g. 80, Šiauliai; Panevėžio rūmai,</w:t>
      </w:r>
      <w:r>
        <w:rPr>
          <w:rFonts w:eastAsia="HG Mincho Light J"/>
          <w:color w:val="000000"/>
          <w:lang w:eastAsia="lt-LT"/>
        </w:rPr>
        <w:t xml:space="preserve"> </w:t>
      </w:r>
      <w:r>
        <w:rPr>
          <w:rFonts w:eastAsia="HG Mincho Light J"/>
          <w:bCs/>
          <w:color w:val="000000"/>
          <w:lang w:eastAsia="lt-LT"/>
        </w:rPr>
        <w:t>Respublikos g. 62, Panevėžys; Klaipėdos rūmai,</w:t>
      </w:r>
      <w:r>
        <w:rPr>
          <w:rFonts w:eastAsia="HG Mincho Light J"/>
          <w:color w:val="000000"/>
          <w:lang w:eastAsia="lt-LT"/>
        </w:rPr>
        <w:t xml:space="preserve"> </w:t>
      </w:r>
      <w:r>
        <w:rPr>
          <w:rFonts w:eastAsia="HG Mincho Light J"/>
          <w:bCs/>
          <w:color w:val="000000"/>
          <w:lang w:eastAsia="lt-LT"/>
        </w:rPr>
        <w:t>Galinio Pylimo g. 9, Klaipėda; Kauno rūmai,</w:t>
      </w:r>
      <w:r>
        <w:rPr>
          <w:rFonts w:eastAsia="HG Mincho Light J"/>
          <w:color w:val="000000"/>
          <w:lang w:eastAsia="lt-LT"/>
        </w:rPr>
        <w:t xml:space="preserve"> </w:t>
      </w:r>
      <w:r>
        <w:rPr>
          <w:rFonts w:eastAsia="HG Mincho Light J"/>
          <w:bCs/>
          <w:color w:val="000000"/>
          <w:lang w:eastAsia="lt-LT"/>
        </w:rPr>
        <w:t>A. Mickevičiaus g. 8A, Kaunas).</w:t>
      </w:r>
    </w:p>
    <w:p>
      <w:pPr>
        <w:tabs>
          <w:tab w:val="left" w:pos="1560"/>
        </w:tabs>
        <w:ind w:left="1134"/>
        <w:jc w:val="both"/>
        <w:rPr>
          <w:rFonts w:eastAsia="Calibri"/>
          <w:color w:val="000000"/>
          <w:szCs w:val="24"/>
          <w:lang w:eastAsia="lt-LT"/>
        </w:rPr>
      </w:pPr>
    </w:p>
    <w:p>
      <w:pPr>
        <w:tabs>
          <w:tab w:val="left" w:pos="1560"/>
        </w:tabs>
        <w:ind w:left="1134"/>
        <w:jc w:val="both"/>
        <w:rPr>
          <w:rFonts w:eastAsia="Calibri"/>
          <w:color w:val="000000"/>
          <w:szCs w:val="24"/>
          <w:lang w:eastAsia="lt-LT"/>
        </w:rPr>
      </w:pPr>
    </w:p>
    <w:p>
      <w:pPr>
        <w:widowControl w:val="0"/>
        <w:suppressAutoHyphens/>
        <w:spacing w:line="360" w:lineRule="auto"/>
        <w:jc w:val="both"/>
        <w:rPr>
          <w:rFonts w:eastAsia="HG Mincho Light J"/>
          <w:color w:val="000000"/>
          <w:lang w:eastAsia="lt-LT"/>
        </w:rPr>
      </w:pPr>
      <w:r>
        <w:rPr>
          <w:rFonts w:eastAsia="HG Mincho Light J"/>
          <w:color w:val="000000"/>
          <w:lang w:eastAsia="lt-LT"/>
        </w:rPr>
        <w:t>Savivaldybės meras</w:t>
        <w:tab/>
      </w:r>
    </w:p>
    <w:sectPr>
      <w:footnotePr>
        <w:pos w:val="beneathText"/>
      </w:footnotePr>
      <w:pgSz w:w="11905" w:h="16837"/>
      <w:pgMar w:top="426" w:right="567" w:bottom="426" w:left="1701" w:header="567" w:footer="567" w:gutter="0"/>
      <w:cols w:space="1296"/>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HG Mincho Light J">
    <w:altName w:val="Times New Roman"/>
    <w:charset w:val="00"/>
    <w:family w:val="auto"/>
    <w:pitch w:val="variable"/>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2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0908A9-A745-4A74-9943-7F5552493597}"/>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1633</Characters>
  <Application>Microsoft Office Word</Application>
  <DocSecurity>4</DocSecurity>
  <Lines>35</Lines>
  <Paragraphs>15</Paragraphs>
  <ScaleCrop>false</ScaleCrop>
  <HeadingPairs>
    <vt:vector size="2" baseType="variant">
      <vt:variant>
        <vt:lpstr>Title</vt:lpstr>
      </vt:variant>
      <vt:variant>
        <vt:i4>1</vt:i4>
      </vt:variant>
    </vt:vector>
  </HeadingPairs>
  <TitlesOfParts>
    <vt:vector size="1" baseType="lpstr">
      <vt:lpstr>SPRENDIMAS</vt:lpstr>
    </vt:vector>
  </TitlesOfParts>
  <Company>VMI</Company>
  <LinksUpToDate>false</LinksUpToDate>
  <CharactersWithSpaces>1867</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2022-02-17T13:12:00Z</dcterms:created>
  <dc:creator>VMI</dc:creator>
  <lastModifiedBy>adlibuser</lastModifiedBy>
  <lastPrinted>2021-04-07T12:41:00Z</lastPrinted>
  <dcterms:modified xsi:type="dcterms:W3CDTF">2022-02-17T13:12:00Z</dcterms:modified>
  <revision>2</revision>
  <dc:title>SPRENDIMAS</dc:title>
</coreProperties>
</file>