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ca6b714ddc814e7eb7b85b3f5c9ce4ce"/>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7073DB46" wp14:editId="27AFF22F">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660"/>
            </w:trPr>
            <w:tc>
              <w:tcPr>
                <w:tcW w:w="4817" w:type="dxa"/>
                <w:tcMar>
                  <w:top w:w="0" w:type="dxa"/>
                  <w:left w:w="0" w:type="dxa"/>
                  <w:bottom w:w="0" w:type="dxa"/>
                  <w:right w:w="0" w:type="dxa"/>
                </w:tcMar>
              </w:tcPr>
              <w:p>
                <w:pPr>
                  <w:widowControl w:val="0"/>
                  <w:suppressLineNumbers/>
                  <w:suppressAutoHyphens/>
                  <w:spacing w:line="276" w:lineRule="auto"/>
                  <w:rPr>
                    <w:rFonts w:eastAsia="Andale Sans UI" w:cs="Tahoma"/>
                    <w:szCs w:val="24"/>
                    <w:lang w:bidi="en-US"/>
                  </w:rPr>
                </w:pPr>
                <w:r>
                  <w:rPr>
                    <w:rFonts w:eastAsia="Andale Sans UI" w:cs="Tahoma"/>
                    <w:szCs w:val="24"/>
                    <w:lang w:bidi="en-US"/>
                  </w:rPr>
                  <w:t>Adresatams pagal sąrašą</w:t>
                </w:r>
              </w:p>
              <w:p>
                <w:pPr>
                  <w:widowControl w:val="0"/>
                  <w:suppressLineNumbers/>
                  <w:suppressAutoHyphens/>
                  <w:spacing w:line="276" w:lineRule="auto"/>
                  <w:rPr>
                    <w:rFonts w:eastAsia="Andale Sans UI" w:cs="Tahoma"/>
                    <w:spacing w:val="10"/>
                    <w:szCs w:val="24"/>
                    <w:lang w:bidi="en-US"/>
                  </w:rPr>
                </w:pPr>
              </w:p>
            </w:tc>
            <w:tc>
              <w:tcPr>
                <w:tcW w:w="282" w:type="dxa"/>
                <w:tcMar>
                  <w:top w:w="0" w:type="dxa"/>
                  <w:left w:w="0" w:type="dxa"/>
                  <w:bottom w:w="0" w:type="dxa"/>
                  <w:right w:w="0" w:type="dxa"/>
                </w:tcMar>
              </w:tcPr>
              <w:p>
                <w:pPr>
                  <w:widowControl w:val="0"/>
                  <w:suppressAutoHyphens/>
                  <w:spacing w:line="276"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spacing w:line="276" w:lineRule="auto"/>
                  <w:ind w:right="67"/>
                  <w:rPr>
                    <w:rFonts w:eastAsia="Andale Sans UI" w:cs="Tahoma"/>
                    <w:szCs w:val="24"/>
                    <w:lang w:bidi="en-US"/>
                  </w:rPr>
                </w:pPr>
                <w:r>
                  <w:rPr>
                    <w:rFonts w:eastAsia="Andale Sans UI" w:cs="Tahoma"/>
                    <w:szCs w:val="24"/>
                    <w:lang w:bidi="en-US"/>
                  </w:rPr>
                  <w:t>202</w:t>
                </w:r>
                <w:r>
                  <w:rPr>
                    <w:rFonts w:eastAsia="Andale Sans UI" w:cs="Tahoma"/>
                    <w:szCs w:val="24"/>
                    <w:lang w:val="en-US" w:bidi="en-US"/>
                  </w:rPr>
                  <w:t>1</w:t>
                </w:r>
                <w:r>
                  <w:rPr>
                    <w:szCs w:val="24"/>
                    <w:lang w:bidi="en-US"/>
                  </w:rPr>
                  <w:t>–</w:t>
                </w:r>
                <w:r>
                  <w:rPr>
                    <w:rFonts w:eastAsia="Andale Sans UI" w:cs="Tahoma"/>
                    <w:szCs w:val="24"/>
                    <w:lang w:bidi="en-US"/>
                  </w:rPr>
                  <w:t>03</w:t>
                </w:r>
                <w:r>
                  <w:rPr>
                    <w:szCs w:val="24"/>
                    <w:lang w:bidi="en-US"/>
                  </w:rPr>
                  <w:t>–</w:t>
                </w:r>
              </w:p>
            </w:tc>
            <w:tc>
              <w:tcPr>
                <w:tcW w:w="565" w:type="dxa"/>
              </w:tcPr>
              <w:p>
                <w:pPr>
                  <w:widowControl w:val="0"/>
                  <w:suppressAutoHyphens/>
                  <w:spacing w:line="276"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spacing w:line="276" w:lineRule="auto"/>
                  <w:ind w:right="67"/>
                  <w:rPr>
                    <w:rFonts w:eastAsia="Andale Sans UI" w:cs="Tahoma"/>
                    <w:szCs w:val="24"/>
                    <w:lang w:bidi="en-US"/>
                  </w:rPr>
                </w:pPr>
                <w:r>
                  <w:rPr>
                    <w:rFonts w:eastAsia="Andale Sans UI" w:cs="Tahoma"/>
                    <w:szCs w:val="24"/>
                    <w:lang w:bidi="en-US"/>
                  </w:rPr>
                  <w:t>(62)-D8(E)-</w:t>
                </w:r>
              </w:p>
            </w:tc>
          </w:tr>
          <w:tr>
            <w:trPr>
              <w:trHeight w:val="340"/>
            </w:trPr>
            <w:tc>
              <w:tcPr>
                <w:tcW w:w="9638" w:type="dxa"/>
                <w:gridSpan w:val="5"/>
                <w:tcMar>
                  <w:top w:w="0" w:type="dxa"/>
                  <w:left w:w="0" w:type="dxa"/>
                  <w:bottom w:w="0" w:type="dxa"/>
                  <w:right w:w="0" w:type="dxa"/>
                </w:tcMar>
              </w:tcPr>
              <w:p>
                <w:pPr>
                  <w:widowControl w:val="0"/>
                  <w:suppressLineNumbers/>
                  <w:suppressAutoHyphens/>
                  <w:spacing w:line="276" w:lineRule="auto"/>
                  <w:rPr>
                    <w:rFonts w:eastAsia="Andale Sans UI" w:cs="Tahoma"/>
                    <w:b/>
                    <w:bCs/>
                    <w:szCs w:val="24"/>
                    <w:lang w:bidi="en-US"/>
                  </w:rPr>
                </w:pPr>
                <w:r>
                  <w:rPr>
                    <w:rFonts w:eastAsia="Andale Sans UI" w:cs="Tahoma"/>
                    <w:b/>
                    <w:bCs/>
                    <w:caps/>
                    <w:szCs w:val="24"/>
                    <w:lang w:bidi="en-US"/>
                  </w:rPr>
                  <w:t>DĖL lietuvos respublikos vyriausybės 2010 m. liepos 21 d. nutarimo nr. 1133 „Dėl Lietuvos Respublikos Vyriausybės 2007 m. rugpjūčio 8 d. nutarimo Nr. 804 „Dėl Nacionalinės žaliųjų pirkimų įgyvendinimo programos patvirtinimo“ ir jį keitusių nutarimų pripažinimo netekusiais galios“ pakeitimo projekto derinimo</w:t>
                </w:r>
              </w:p>
            </w:tc>
          </w:tr>
        </w:tbl>
        <w:p>
          <w:pPr>
            <w:widowControl w:val="0"/>
            <w:suppressAutoHyphens/>
            <w:spacing w:line="276" w:lineRule="auto"/>
            <w:jc w:val="both"/>
            <w:rPr>
              <w:rFonts w:eastAsia="Andale Sans UI" w:cs="Tahoma"/>
              <w:szCs w:val="24"/>
              <w:lang w:bidi="en-US"/>
            </w:rPr>
          </w:pPr>
        </w:p>
      </w:sdtContent>
    </w:sdt>
    <w:sdt>
      <w:sdtPr>
        <w:alias w:val="pastraipa"/>
        <w:tag w:val="part_48a68dd9510340a68db088587e7afbcb"/>
        <w:lock w:val="sdtLocked"/>
        <w:richText/>
      </w:sdtPr>
      <w:sdtContent>
        <w:p>
          <w:pPr>
            <w:widowControl w:val="0"/>
            <w:suppressAutoHyphens/>
            <w:spacing w:line="276" w:lineRule="auto"/>
            <w:ind w:firstLine="709"/>
            <w:jc w:val="both"/>
            <w:rPr>
              <w:rFonts w:eastAsia="Andale Sans UI" w:cs="Tahoma"/>
              <w:szCs w:val="24"/>
              <w:lang w:bidi="en-US"/>
            </w:rPr>
          </w:pPr>
          <w:r>
            <w:rPr>
              <w:rFonts w:eastAsia="Andale Sans UI" w:cs="Tahoma"/>
              <w:szCs w:val="24"/>
              <w:lang w:bidi="en-US"/>
            </w:rPr>
            <w:t xml:space="preserve">Aplinkos ministerija teikia derinti Lietuvos Respublikos Vyriausybės 2010 m. liepos 21 d. nutarimo Nr. 1133 „Dėl Lietuvos Respublikos Vyriausybės 2007 m. rugpjūčio 8 d. nutarimo Nr. 804 „Dėl Nacionalinės žaliųjų pirkimų įgyvendinimo programos patvirtinimo“ ir jį keitusių nutarimų pripažinimo netekusiais galios“ (toliau – nutarimas) pakeitimo projektą (toliau – projektas). </w:t>
          </w:r>
        </w:p>
      </w:sdtContent>
    </w:sdt>
    <w:sdt>
      <w:sdtPr>
        <w:alias w:val="pastraipa"/>
        <w:tag w:val="part_e1954f3a1cb148df89b40a8b77ba7c98"/>
        <w:lock w:val="sdtLocked"/>
        <w:richText/>
      </w:sdtPr>
      <w:sdtContent>
        <w:p>
          <w:pPr>
            <w:widowControl w:val="0"/>
            <w:suppressAutoHyphens/>
            <w:spacing w:line="276" w:lineRule="auto"/>
            <w:ind w:firstLine="709"/>
            <w:jc w:val="both"/>
            <w:rPr>
              <w:szCs w:val="24"/>
              <w:lang w:bidi="en-US"/>
            </w:rPr>
          </w:pPr>
          <w:r>
            <w:rPr>
              <w:rFonts w:eastAsia="Andale Sans UI"/>
              <w:szCs w:val="24"/>
              <w:lang w:bidi="en-US"/>
            </w:rPr>
            <w:t xml:space="preserve">Projektas parengtas </w:t>
          </w:r>
          <w:r>
            <w:rPr>
              <w:szCs w:val="24"/>
              <w:lang w:bidi="en-US"/>
            </w:rPr>
            <w:t>atsižvelgiant į tai, kad 2021–2030 m. Nacionaliniame pažangos plane įtvirtinama, kad siekiant prisidėti prie horizontaliojo darnaus vystymosi principo įgyvendinimo Lietuvoje numatoma didinti žaliųjų viešųjų pirkimų (toliau – ŽVP) dalį</w:t>
          </w:r>
          <w:r>
            <w:rPr>
              <w:szCs w:val="24"/>
              <w:vertAlign w:val="superscript"/>
              <w:lang w:bidi="en-US"/>
            </w:rPr>
            <w:footnoteReference w:id="1"/>
          </w:r>
          <w:r>
            <w:rPr>
              <w:szCs w:val="24"/>
              <w:lang w:bidi="en-US"/>
            </w:rPr>
            <w:t>; Lietuvos Respublikos Vyriausybės programoje, patvirtintoje Seimo 2020 m. gruodžio 11 d. nutarimu Nr. XIV–72, nurodoma, kad nuo 2023 m. valstybinės įstaigos bus įpareigotos prekes, darbus ir paslaugas įsigyti tik žaliųjų pirkimų būdu. 2019 m. viešieji pirkimai sudarė apie 13 proc. Lietuvos BVP ir daugiau kaip trečdalį bendrų valdžios institucijų išlaidų, todėl ŽVP gali tapti esminiu veiksniu neutralaus poveikio klimatui ekonomikos tikslui pasiekti.</w:t>
          </w:r>
        </w:p>
      </w:sdtContent>
    </w:sdt>
    <w:sdt>
      <w:sdtPr>
        <w:alias w:val="pastraipa"/>
        <w:tag w:val="part_a208bb38f3184b41b76246d0cd24d3f5"/>
        <w:lock w:val="sdtLocked"/>
        <w:richText/>
      </w:sdtPr>
      <w:sdtContent>
        <w:p>
          <w:pPr>
            <w:widowControl w:val="0"/>
            <w:suppressAutoHyphens/>
            <w:spacing w:line="276" w:lineRule="auto"/>
            <w:ind w:firstLine="709"/>
            <w:jc w:val="both"/>
            <w:rPr>
              <w:szCs w:val="24"/>
              <w:lang w:bidi="en-US"/>
            </w:rPr>
          </w:pPr>
          <w:r>
            <w:rPr>
              <w:szCs w:val="24"/>
              <w:lang w:bidi="en-US"/>
            </w:rPr>
            <w:t>Galiojančioje nutarimo redakcijoje numatyti ŽVP tikslai tik 2016–2020 m. periodui.</w:t>
          </w:r>
        </w:p>
      </w:sdtContent>
    </w:sdt>
    <w:sdt>
      <w:sdtPr>
        <w:alias w:val="pastraipa"/>
        <w:tag w:val="part_cffc540e564b471dbc44323719f6824c"/>
        <w:lock w:val="sdtLocked"/>
        <w:richText/>
      </w:sdtPr>
      <w:sdtContent>
        <w:p>
          <w:pPr>
            <w:widowControl w:val="0"/>
            <w:suppressAutoHyphens/>
            <w:spacing w:line="276" w:lineRule="auto"/>
            <w:ind w:firstLine="709"/>
            <w:jc w:val="both"/>
            <w:rPr>
              <w:szCs w:val="24"/>
              <w:lang w:bidi="en-US"/>
            </w:rPr>
          </w:pPr>
          <w:r>
            <w:rPr>
              <w:szCs w:val="24"/>
              <w:lang w:bidi="en-US"/>
            </w:rPr>
            <w:t>Projektu nustatomi ŽVP tikslai 2021–2023 m. laikotarpiui. 2021 m. yra tobulinamas ŽVP teisinis reglamentavimas ir šie metai laikomi pereinamaisiais, todėl nuo nutarimo įsigaliojimo iki metų pabaigos ŽVP turi sudaryti ne mažiau kaip 30 procentų nuo visų viešųjų pirkimų vertės, 2022 m. ŽVP turėtų tapti dominuojančiais ir sudaryti ne mažiau 60 procentų nuo visų viešųjų pirkimų vertės, o nuo 2023 m. kiekvienais metais pasiekiant 100 proc. ŽVP nuo visų viešųjų pirkimų vertės bus įgyvendinti įsipareigojimai pagal Vyriausybės programą ir Vyriausybės programos nuostatų įgyvendinimo plano projektą, kuris 2021 m. kovo 2 d. buvo pateiktas derinimui su visuomene.</w:t>
          </w:r>
        </w:p>
      </w:sdtContent>
    </w:sdt>
    <w:sdt>
      <w:sdtPr>
        <w:alias w:val="pastraipa"/>
        <w:tag w:val="part_f0c88fea95e648c8932a24d9e9184676"/>
        <w:lock w:val="sdtLocked"/>
        <w:richText/>
      </w:sdtPr>
      <w:sdtContent>
        <w:p>
          <w:pPr>
            <w:widowControl w:val="0"/>
            <w:suppressAutoHyphens/>
            <w:spacing w:line="276" w:lineRule="auto"/>
            <w:ind w:firstLine="709"/>
            <w:jc w:val="both"/>
            <w:rPr>
              <w:szCs w:val="24"/>
              <w:lang w:bidi="en-US"/>
            </w:rPr>
          </w:pPr>
          <w:r>
            <w:rPr>
              <w:szCs w:val="24"/>
              <w:lang w:bidi="en-US"/>
            </w:rPr>
            <w:t>Projekto nuostatomis rekomenduojama Viešųjų pirkimų tarnybai tobulinti perkančiųjų organizacijų ir perkančiųjų subjektų kompetencijas ŽVP srityje,</w:t>
          </w:r>
          <w:r>
            <w:rPr>
              <w:rFonts w:eastAsia="Andale Sans UI" w:cs="Tahoma"/>
              <w:szCs w:val="24"/>
              <w:lang w:bidi="en-US"/>
            </w:rPr>
            <w:t xml:space="preserve"> gerinti</w:t>
          </w:r>
          <w:r>
            <w:rPr>
              <w:szCs w:val="24"/>
              <w:lang w:bidi="en-US"/>
            </w:rPr>
            <w:t xml:space="preserve"> informacijos apie žaliuosius pirkimus rinkimą ir sisteminimą, stiprinti konsultavimą ŽVP vykdymo klausimais, vykdyti nutarimo nuostatų įgyvendinimo stebėseną ir pasiektos pažangos vertinimą. Viešųjų pirkimų tarnyba, remiantis Viešųjų pirkimų įstatymo 93 straipsnio 4 dalimi, taip pat įpareigojama, teikiant metines veiklos ataskaitas, teikti Vyriausybei susistemintą informaciją apie ŽVP stebėsenos rezultatus. Šiomis nuostatomis įgyvendinami Vyriausybės programos įgyvendinimo plano projekto veiksmai, susiję su kompetencijų ir stebėsenos ŽVP srityje tobulinimu.</w:t>
          </w:r>
        </w:p>
      </w:sdtContent>
    </w:sdt>
    <w:sdt>
      <w:sdtPr>
        <w:alias w:val="pastraipa"/>
        <w:tag w:val="part_3ffad7aac29a4efbaab44040a28c0dbc"/>
        <w:lock w:val="sdtLocked"/>
        <w:richText/>
      </w:sdtPr>
      <w:sdtContent>
        <w:p>
          <w:pPr>
            <w:widowControl w:val="0"/>
            <w:suppressAutoHyphens/>
            <w:spacing w:line="276" w:lineRule="auto"/>
            <w:ind w:firstLine="709"/>
            <w:jc w:val="both"/>
            <w:rPr>
              <w:szCs w:val="24"/>
              <w:lang w:bidi="en-US"/>
            </w:rPr>
          </w:pPr>
          <w:r>
            <w:rPr>
              <w:szCs w:val="24"/>
              <w:lang w:bidi="en-US"/>
            </w:rPr>
            <w:t>Projektu pavedama, kad Vyriausybei atskaitingi subjektai, atsakingi už Europos Sąjungos ir nacionalinių finansavimo programų lėšų skirstymą ir administravimą, turi rengti ir atnaujinti, derinant su Aplinkos ministerija, su šių lėšų skirstymu ir administravimu susijusį teisinį reguliavimą, įtraukiant prievolę subjektams, įgyvendinantiems Europos Sąjungos ir nacionalinių finansavimo programų lėšomis finansuojamus projektus, atliekant pirkimus taikyti žaliųjų pirkimų reikalavimus. Šiomis nuostatomis įgyvendinami Vyriausybės programos įgyvendinimo plano projekto veiksmai, susiję su ŽVP plėtra skirstant Europos Sąjungos ir nacionalines lėšas.</w:t>
          </w:r>
        </w:p>
      </w:sdtContent>
    </w:sdt>
    <w:sdt>
      <w:sdtPr>
        <w:alias w:val="pastraipa"/>
        <w:tag w:val="part_e0c3ef1b9aa140fd85af242ae09d6292"/>
        <w:lock w:val="sdtLocked"/>
        <w:richText/>
      </w:sdtPr>
      <w:sdtContent>
        <w:p>
          <w:pPr>
            <w:widowControl w:val="0"/>
            <w:suppressAutoHyphens/>
            <w:spacing w:line="276" w:lineRule="auto"/>
            <w:ind w:firstLine="709"/>
            <w:jc w:val="both"/>
            <w:rPr>
              <w:szCs w:val="24"/>
              <w:lang w:bidi="en-US"/>
            </w:rPr>
          </w:pPr>
          <w:r>
            <w:rPr>
              <w:szCs w:val="24"/>
              <w:lang w:bidi="en-US"/>
            </w:rPr>
            <w:t xml:space="preserve">Projektu taip pat pavedama Aplinkos ministerijai, suderinus su Viešųjų pirkimų tarnyba, patvirtinti ŽVP įgyvendinimo 2021–2025 m. priemonių planą, kuriame bus numatytos konkrečios priemonės, kaip bus stiprinami perkančiųjų organizacijų gebėjimai vykdant ŽVP, vykdoma ŽVP stebėsena, tobulinamas ŽVP reglamentavimas. </w:t>
          </w:r>
        </w:p>
      </w:sdtContent>
    </w:sdt>
    <w:sdt>
      <w:sdtPr>
        <w:alias w:val="pastraipa"/>
        <w:tag w:val="part_42a833cabce249d6836f0d8a46b12a92"/>
        <w:lock w:val="sdtLocked"/>
        <w:richText/>
      </w:sdtPr>
      <w:sdtContent>
        <w:p>
          <w:pPr>
            <w:widowControl w:val="0"/>
            <w:suppressAutoHyphens/>
            <w:spacing w:line="276" w:lineRule="auto"/>
            <w:ind w:firstLine="720"/>
            <w:jc w:val="both"/>
            <w:rPr>
              <w:szCs w:val="24"/>
              <w:lang w:bidi="en-US"/>
            </w:rPr>
          </w:pPr>
          <w:r>
            <w:rPr>
              <w:szCs w:val="24"/>
              <w:lang w:bidi="en-US"/>
            </w:rPr>
            <w:t xml:space="preserve">Su visuomene konsultuojamasi projektą paskelbus Lietuvos Respublikos Seimo teisės aktų informacinėje sistemoje (TAIS). </w:t>
          </w:r>
        </w:p>
      </w:sdtContent>
    </w:sdt>
    <w:sdt>
      <w:sdtPr>
        <w:alias w:val="pastraipa"/>
        <w:tag w:val="part_11c7e608938d4e8e801130b81f2f2117"/>
        <w:lock w:val="sdtLocked"/>
        <w:richText/>
      </w:sdtPr>
      <w:sdtContent>
        <w:p>
          <w:pPr>
            <w:widowControl w:val="0"/>
            <w:suppressAutoHyphens/>
            <w:spacing w:line="276" w:lineRule="auto"/>
            <w:ind w:firstLine="720"/>
            <w:jc w:val="both"/>
            <w:rPr>
              <w:szCs w:val="24"/>
              <w:lang w:bidi="en-US"/>
            </w:rPr>
          </w:pPr>
          <w:r>
            <w:rPr>
              <w:szCs w:val="24"/>
              <w:lang w:bidi="en-US"/>
            </w:rPr>
            <w:t>Prašome pastabas ir pasiūlymus pateikti per 10 darbo dienų nuo projekto paskelbimo TAIS. Negavę pastabų per nurodytą terminą, laikysime, kad pastabų projektui neturite.</w:t>
          </w:r>
        </w:p>
      </w:sdtContent>
    </w:sdt>
    <w:sdt>
      <w:sdtPr>
        <w:alias w:val="pastraipa"/>
        <w:tag w:val="part_6f1b9cb84de04d06a571891d49c3f849"/>
        <w:lock w:val="sdtLocked"/>
        <w:richText/>
      </w:sdtPr>
      <w:sdtContent>
        <w:p>
          <w:pPr>
            <w:widowControl w:val="0"/>
            <w:suppressAutoHyphens/>
            <w:spacing w:line="276" w:lineRule="auto"/>
            <w:ind w:firstLine="782"/>
            <w:jc w:val="both"/>
            <w:rPr>
              <w:szCs w:val="24"/>
              <w:lang w:bidi="en-US"/>
            </w:rPr>
          </w:pPr>
          <w:r>
            <w:rPr>
              <w:szCs w:val="24"/>
              <w:lang w:bidi="en-US"/>
            </w:rPr>
            <w:t xml:space="preserve">Projektą parengė Aplinkos ministerijos Strateginių pokyčių grupės (vadovas Aurimas Saladžius, tel. 8 696 59321, el. p. </w:t>
          </w:r>
          <w:r>
            <w:rPr>
              <w:color w:val="000080"/>
              <w:szCs w:val="24"/>
              <w:u w:val="single"/>
              <w:lang w:bidi="en-US"/>
            </w:rPr>
            <w:t>aurimas.saladzius@am.lt</w:t>
          </w:r>
          <w:r>
            <w:rPr>
              <w:szCs w:val="24"/>
              <w:lang w:bidi="en-US"/>
            </w:rPr>
            <w:t xml:space="preserve">) vyr. specialistas </w:t>
          </w:r>
          <w:r>
            <w:rPr>
              <w:color w:val="000080"/>
              <w:szCs w:val="24"/>
              <w:u w:val="single"/>
              <w:lang w:bidi="en-US"/>
            </w:rPr>
            <w:t>arnas.liauksminas@am.lt</w:t>
          </w:r>
          <w:r>
            <w:rPr>
              <w:szCs w:val="24"/>
              <w:lang w:bidi="en-US"/>
            </w:rPr>
            <w:t xml:space="preserve">, tel. 8 614 08 012, el. p. </w:t>
          </w:r>
          <w:r>
            <w:rPr>
              <w:color w:val="000080"/>
              <w:szCs w:val="24"/>
              <w:u w:val="single"/>
              <w:lang w:bidi="en-US"/>
            </w:rPr>
            <w:t>arnas.liauksminas@am.lt</w:t>
          </w:r>
          <w:r>
            <w:rPr>
              <w:szCs w:val="24"/>
              <w:lang w:bidi="en-US"/>
            </w:rPr>
            <w:t xml:space="preserve">). </w:t>
          </w:r>
        </w:p>
      </w:sdtContent>
    </w:sdt>
    <w:sdt>
      <w:sdtPr>
        <w:alias w:val="pastraipa"/>
        <w:tag w:val="part_c124ab18e7034f51a92ce1025ef69e47"/>
        <w:lock w:val="sdtLocked"/>
        <w:richText/>
      </w:sdtPr>
      <w:sdtContent>
        <w:p>
          <w:pPr>
            <w:widowControl w:val="0"/>
            <w:suppressAutoHyphens/>
            <w:spacing w:line="276" w:lineRule="auto"/>
            <w:ind w:firstLine="720"/>
            <w:jc w:val="both"/>
            <w:rPr>
              <w:rFonts w:eastAsia="Andale Sans UI"/>
              <w:szCs w:val="24"/>
              <w:lang w:bidi="en-US"/>
            </w:rPr>
          </w:pPr>
          <w:r>
            <w:rPr>
              <w:rFonts w:eastAsia="Andale Sans UI"/>
              <w:szCs w:val="24"/>
              <w:lang w:bidi="en-US"/>
            </w:rPr>
            <w:t xml:space="preserve">PRIDEDAMA. </w:t>
          </w:r>
        </w:p>
        <w:sdt>
          <w:sdtPr>
            <w:alias w:val="1 p."/>
            <w:tag w:val="part_40ac45ac812c4bbf80f15feb344cdfac"/>
            <w:lock w:val="sdtLocked"/>
            <w:richText/>
          </w:sdtPr>
          <w:sdtContent>
            <w:p>
              <w:pPr>
                <w:widowControl w:val="0"/>
                <w:suppressAutoHyphens/>
                <w:spacing w:line="276" w:lineRule="auto"/>
                <w:ind w:left="993" w:hanging="360"/>
                <w:jc w:val="both"/>
                <w:rPr>
                  <w:szCs w:val="24"/>
                  <w:lang w:bidi="en-US"/>
                </w:rPr>
              </w:pPr>
              <w:sdt>
                <w:sdtPr>
                  <w:alias w:val="Numeris"/>
                  <w:tag w:val="nr_40ac45ac812c4bbf80f15feb344cdfac"/>
                  <w:lock w:val="sdtLocked"/>
                  <w:richText/>
                </w:sdtPr>
                <w:sdtContent>
                  <w:r>
                    <w:rPr>
                      <w:szCs w:val="24"/>
                    </w:rPr>
                    <w:t>1</w:t>
                  </w:r>
                </w:sdtContent>
              </w:sdt>
              <w:r>
                <w:rPr>
                  <w:szCs w:val="24"/>
                </w:rPr>
                <w:t>.</w:t>
                <w:tab/>
              </w:r>
              <w:r>
                <w:rPr>
                  <w:szCs w:val="24"/>
                  <w:lang w:bidi="en-US"/>
                </w:rPr>
                <w:t>Nutarimo pakeitimo projektas, 2 lapai.</w:t>
              </w:r>
            </w:p>
          </w:sdtContent>
        </w:sdt>
        <w:sdt>
          <w:sdtPr>
            <w:alias w:val="2 p."/>
            <w:tag w:val="part_5d8dbc9e81c74e2b8123cba9e060430e"/>
            <w:lock w:val="sdtLocked"/>
            <w:richText/>
          </w:sdtPr>
          <w:sdtContent>
            <w:p>
              <w:pPr>
                <w:widowControl w:val="0"/>
                <w:suppressAutoHyphens/>
                <w:spacing w:line="276" w:lineRule="auto"/>
                <w:ind w:left="993" w:hanging="360"/>
                <w:jc w:val="both"/>
                <w:rPr>
                  <w:szCs w:val="24"/>
                  <w:lang w:bidi="en-US"/>
                </w:rPr>
              </w:pPr>
              <w:sdt>
                <w:sdtPr>
                  <w:alias w:val="Numeris"/>
                  <w:tag w:val="nr_5d8dbc9e81c74e2b8123cba9e060430e"/>
                  <w:lock w:val="sdtLocked"/>
                  <w:richText/>
                </w:sdtPr>
                <w:sdtContent>
                  <w:r>
                    <w:rPr>
                      <w:szCs w:val="24"/>
                    </w:rPr>
                    <w:t>2</w:t>
                  </w:r>
                </w:sdtContent>
              </w:sdt>
              <w:r>
                <w:rPr>
                  <w:szCs w:val="24"/>
                </w:rPr>
                <w:t>.</w:t>
                <w:tab/>
              </w:r>
              <w:r>
                <w:rPr>
                  <w:szCs w:val="24"/>
                  <w:lang w:bidi="en-US"/>
                </w:rPr>
                <w:t>Numatomo teisinio reguliavimo poveikio vertinimo pažyma, 2 lapai.</w:t>
              </w:r>
            </w:p>
          </w:sdtContent>
        </w:sdt>
        <w:sdt>
          <w:sdtPr>
            <w:alias w:val="3 p."/>
            <w:tag w:val="part_7810751dff4d4fbc865b1c8744c245ed"/>
            <w:lock w:val="sdtLocked"/>
            <w:richText/>
          </w:sdtPr>
          <w:sdtContent>
            <w:p>
              <w:pPr>
                <w:widowControl w:val="0"/>
                <w:suppressAutoHyphens/>
                <w:spacing w:line="276" w:lineRule="auto"/>
                <w:ind w:left="993" w:hanging="360"/>
                <w:jc w:val="both"/>
                <w:rPr>
                  <w:szCs w:val="24"/>
                  <w:lang w:bidi="en-US"/>
                </w:rPr>
              </w:pPr>
              <w:sdt>
                <w:sdtPr>
                  <w:alias w:val="Numeris"/>
                  <w:tag w:val="nr_7810751dff4d4fbc865b1c8744c245ed"/>
                  <w:lock w:val="sdtLocked"/>
                  <w:richText/>
                </w:sdtPr>
                <w:sdtContent>
                  <w:r>
                    <w:rPr>
                      <w:szCs w:val="24"/>
                    </w:rPr>
                    <w:t>3</w:t>
                  </w:r>
                </w:sdtContent>
              </w:sdt>
              <w:r>
                <w:rPr>
                  <w:szCs w:val="24"/>
                </w:rPr>
                <w:t>.</w:t>
                <w:tab/>
              </w:r>
              <w:r>
                <w:rPr>
                  <w:szCs w:val="24"/>
                  <w:lang w:bidi="en-US"/>
                </w:rPr>
                <w:t xml:space="preserve">Antikorupcinio vertinimo pažyma, 9 lapai. </w:t>
              </w: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spacing w:line="276" w:lineRule="auto"/>
                      <w:rPr>
                        <w:rFonts w:eastAsia="Andale Sans UI" w:cs="Tahoma"/>
                        <w:szCs w:val="24"/>
                        <w:lang w:bidi="en-US"/>
                      </w:rPr>
                    </w:pPr>
                    <w:r>
                      <w:rPr>
                        <w:rFonts w:eastAsia="Andale Sans UI" w:cs="Tahoma"/>
                        <w:szCs w:val="24"/>
                        <w:lang w:bidi="en-US"/>
                      </w:rPr>
                      <w:t>Aplinkos ministerijos kanclerė</w:t>
                    </w:r>
                  </w:p>
                </w:tc>
                <w:tc>
                  <w:tcPr>
                    <w:tcW w:w="4826" w:type="dxa"/>
                    <w:vAlign w:val="bottom"/>
                  </w:tcPr>
                  <w:p>
                    <w:pPr>
                      <w:widowControl w:val="0"/>
                      <w:suppressAutoHyphens/>
                      <w:spacing w:line="276" w:lineRule="auto"/>
                      <w:ind w:right="34"/>
                      <w:jc w:val="right"/>
                      <w:rPr>
                        <w:rFonts w:eastAsia="Andale Sans UI" w:cs="Tahoma"/>
                        <w:szCs w:val="24"/>
                        <w:lang w:bidi="en-US"/>
                      </w:rPr>
                    </w:pPr>
                    <w:r>
                      <w:rPr>
                        <w:rFonts w:eastAsia="Andale Sans UI" w:cs="Tahoma"/>
                        <w:szCs w:val="24"/>
                        <w:lang w:bidi="en-US"/>
                      </w:rPr>
                      <w:t>Sigita Vasiljevaitė</w:t>
                    </w:r>
                  </w:p>
                </w:tc>
              </w:tr>
            </w:tbl>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p>
              <w:pPr>
                <w:widowControl w:val="0"/>
                <w:suppressAutoHyphens/>
                <w:spacing w:line="276" w:lineRule="auto"/>
                <w:jc w:val="both"/>
                <w:rPr>
                  <w:rFonts w:eastAsia="Andale Sans UI" w:cs="Tahoma"/>
                  <w:szCs w:val="24"/>
                  <w:lang w:bidi="en-US"/>
                </w:rPr>
              </w:pPr>
            </w:p>
            <w:p>
              <w:pPr>
                <w:widowControl w:val="0"/>
                <w:suppressAutoHyphens/>
                <w:spacing w:line="276" w:lineRule="auto"/>
                <w:ind w:firstLine="567"/>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p>
                  <w:p>
                    <w:pPr>
                      <w:widowControl w:val="0"/>
                      <w:suppressLineNumbers/>
                      <w:suppressAutoHyphens/>
                      <w:spacing w:line="276" w:lineRule="auto"/>
                      <w:rPr>
                        <w:rFonts w:eastAsia="Andale Sans UI" w:cs="Tahoma"/>
                        <w:szCs w:val="24"/>
                        <w:lang w:bidi="en-US"/>
                      </w:rPr>
                    </w:pPr>
                    <w:r>
                      <w:rPr>
                        <w:rFonts w:eastAsia="Andale Sans UI" w:cs="Tahoma"/>
                        <w:szCs w:val="24"/>
                        <w:lang w:bidi="en-US"/>
                      </w:rPr>
                      <w:t>A. Liauksminas, 8 614 08012, el. p. arnas.liauksminas@am.lt</w:t>
                    </w:r>
                  </w:p>
                </w:tc>
              </w:tr>
            </w:tbl>
            <w:p>
              <w:pPr>
                <w:widowControl w:val="0"/>
                <w:suppressAutoHyphens/>
                <w:spacing w:line="276" w:lineRule="auto"/>
                <w:jc w:val="both"/>
                <w:rPr>
                  <w:rFonts w:eastAsia="Andale Sans UI" w:cs="Tahoma"/>
                  <w:szCs w:val="24"/>
                  <w:lang w:bidi="en-US"/>
                </w:rPr>
              </w:pPr>
            </w:p>
          </w:sdtContent>
        </w:sdt>
      </w:sdtContent>
    </w:sdt>
    <w:sectPr>
      <w:headerReference w:type="even" r:id="rId15"/>
      <w:headerReference w:type="default" r:id="rId16"/>
      <w:footerReference w:type="even" r:id="rId17"/>
      <w:footerReference w:type="default" r:id="rId18"/>
      <w:headerReference w:type="first" r:id="rId19"/>
      <w:footerReference w:type="first" r:id="rId20"/>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center"/>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339742CE" wp14:editId="4CEAB226">
          <wp:extent cx="469265" cy="77406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265" cy="774065"/>
                  </a:xfrm>
                  <a:prstGeom prst="rect">
                    <a:avLst/>
                  </a:prstGeom>
                  <a:noFill/>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widowControl w:val="0"/>
        <w:suppressAutoHyphens/>
        <w:jc w:val="both"/>
        <w:rPr>
          <w:rFonts w:eastAsia="Andale Sans UI" w:cs="Tahoma"/>
          <w:szCs w:val="24"/>
          <w:lang w:bidi="en-US"/>
        </w:rPr>
      </w:pPr>
      <w:r>
        <w:rPr>
          <w:rFonts w:eastAsia="Andale Sans UI" w:cs="Tahoma"/>
          <w:szCs w:val="24"/>
          <w:vertAlign w:val="superscript"/>
          <w:lang w:bidi="en-US"/>
        </w:rPr>
        <w:footnoteRef/>
      </w:r>
      <w:r>
        <w:rPr>
          <w:rFonts w:eastAsia="Andale Sans UI" w:cs="Tahoma"/>
          <w:sz w:val="20"/>
          <w:lang w:bidi="en-US"/>
        </w:rPr>
        <w:t xml:space="preserve">Vyriausybės 2020 m. rugsėjo 9 d. nutarimas Nr. 996 „Dėl 2021–2030 metų Nacionalinio pažangos plano patvirtinimo“. Prieiga per internetą: </w:t>
      </w:r>
      <w:hyperlink r:id="rId1" w:history="1">
        <w:r>
          <w:rPr>
            <w:rFonts w:eastAsia="Andale Sans UI" w:cs="Tahoma"/>
            <w:color w:val="000080"/>
            <w:sz w:val="20"/>
            <w:u w:val="single"/>
            <w:lang w:bidi="en-US"/>
          </w:rPr>
          <w:t>https://www.e-tar.lt/portal/lt/legalAct/d492e050f7dd11eaa12ad7c04a383ca0</w:t>
        </w:r>
      </w:hyperlink>
      <w:r>
        <w:rPr>
          <w:rFonts w:eastAsia="Andale Sans UI" w:cs="Tahoma"/>
          <w:sz w:val="20"/>
          <w:lang w:bidi="en-US"/>
        </w:rPr>
        <w:t>.</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74753"/>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4D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customXml" Target="../customXml/item2.xml"/>
  <Relationship Id="rId20" Type="http://schemas.openxmlformats.org/officeDocument/2006/relationships/footer" Target="footer3.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d492e050f7dd11eaa12ad7c04a383ca0"/>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0c13054a5470403088f1719aaa917a9d" PartId="ca6b714ddc814e7eb7b85b3f5c9ce4ce"/>
  <Part Type="pastraipa" DocPartId="08607a7c61cc4169b4b8be9015403cd8" PartId="48a68dd9510340a68db088587e7afbcb"/>
  <Part Type="pastraipa" DocPartId="ad6de29216004b72a40a91484aa1a666" PartId="e1954f3a1cb148df89b40a8b77ba7c98"/>
  <Part Type="pastraipa" DocPartId="c11885ac688942e3b2adc199fee08ec6" PartId="a208bb38f3184b41b76246d0cd24d3f5"/>
  <Part Type="pastraipa" DocPartId="b6025832f74345e787ff6b29e61116f4" PartId="cffc540e564b471dbc44323719f6824c"/>
  <Part Type="pastraipa" DocPartId="73cc1b6ccf3e427082df8c663076d005" PartId="f0c88fea95e648c8932a24d9e9184676"/>
  <Part Type="pastraipa" DocPartId="2df66ee190c94165b803cabba387c71c" PartId="3ffad7aac29a4efbaab44040a28c0dbc"/>
  <Part Type="pastraipa" DocPartId="e33bdc22d49146cf9b56d36653d8ba99" PartId="e0c3ef1b9aa140fd85af242ae09d6292"/>
  <Part Type="pastraipa" DocPartId="13d23d94cbec4984abdca0a79fc8edf4" PartId="42a833cabce249d6836f0d8a46b12a92"/>
  <Part Type="pastraipa" DocPartId="0b97d35a9d6b4edaa191276542170a87" PartId="11c7e608938d4e8e801130b81f2f2117"/>
  <Part Type="pastraipa" DocPartId="e118137d94ed4de5bb961e4f6ba3f346" PartId="6f1b9cb84de04d06a571891d49c3f849"/>
  <Part Type="pastraipa" DocPartId="5b498b9cab9c43f5aeabddea2cc7ea59" PartId="c124ab18e7034f51a92ce1025ef69e47">
    <Part Type="punktas" Nr="1" Abbr="1 p." DocPartId="97905211199d475386984653d209ac99" PartId="40ac45ac812c4bbf80f15feb344cdfac"/>
    <Part Type="punktas" Nr="2" Abbr="2 p." DocPartId="9282e3c8a78a4c839dad24732b2edde4" PartId="5d8dbc9e81c74e2b8123cba9e060430e"/>
    <Part Type="punktas" Nr="3" Abbr="3 p." DocPartId="ac8aee081b6947c29d6fe2917f591c96" PartId="7810751dff4d4fbc865b1c8744c245ed"/>
  </Part>
</Parts>
</file>

<file path=customXml/itemProps1.xml><?xml version="1.0" encoding="utf-8"?>
<ds:datastoreItem xmlns:ds="http://schemas.openxmlformats.org/officeDocument/2006/customXml" ds:itemID="{BB25DEE0-2643-4DC5-A285-49220330CA6E}">
  <ds:schemaRefs>
    <ds:schemaRef ds:uri="http://schemas.microsoft.com/sharepoint/v3"/>
    <ds:schemaRef ds:uri="19cf09c5-daa1-4028-a0ff-74a0be4ec5cc"/>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f5aad5d0-9c26-490e-8743-a6c7ceabd501"/>
    <ds:schemaRef ds:uri="http://www.w3.org/XML/1998/namespace"/>
  </ds:schemaRefs>
</ds:datastoreItem>
</file>

<file path=customXml/itemProps2.xml><?xml version="1.0" encoding="utf-8"?>
<ds:datastoreItem xmlns:ds="http://schemas.openxmlformats.org/officeDocument/2006/customXml" ds:itemID="{B176B0CD-8A5A-4741-A4A1-3F033AD55D22}">
  <ds:schemaRefs>
    <ds:schemaRef ds:uri="http://schemas.microsoft.com/sharepoint/v3/contenttype/forms"/>
  </ds:schemaRefs>
</ds:datastoreItem>
</file>

<file path=customXml/itemProps3.xml><?xml version="1.0" encoding="utf-8"?>
<ds:datastoreItem xmlns:ds="http://schemas.openxmlformats.org/officeDocument/2006/customXml" ds:itemID="{C0CEBC74-D1D7-4570-9C63-776688061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69E35F3-35D5-46A2-B8BA-396C3A87214C}">
  <ds:schemaRefs>
    <ds:schemaRef ds:uri="http://schemas.openxmlformats.org/officeDocument/2006/bibliography"/>
  </ds:schemaRefs>
</ds:datastoreItem>
</file>

<file path=customXml/itemProps5.xml><?xml version="1.0" encoding="utf-8"?>
<ds:datastoreItem xmlns:ds="http://schemas.openxmlformats.org/officeDocument/2006/customXml" ds:itemID="{9A2B9BEC-A87C-42E0-9001-8AE40AE9DBE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643</Words>
  <Characters>4452</Characters>
  <Application>Microsoft Office Word</Application>
  <DocSecurity>4</DocSecurity>
  <Lines>96</Lines>
  <Paragraphs>30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2021-03-12T13:45:00Z</dcterms:created>
  <dcterms:modified xsi:type="dcterms:W3CDTF">2021-03-12T13:45:00Z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