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e760e2e39ac4671b87dde827198e0a5"/>
        <w:lock w:val="sdtLocked"/>
        <w:richText/>
      </w:sdtPr>
      <w:sdtContent>
        <w:tbl>
          <w:tblPr>
            <w:tblW w:w="9639" w:type="dxa"/>
            <w:tblInd w:w="108" w:type="dxa"/>
            <w:tblLayout w:type="fixed"/>
            <w:tblLook w:val="00A0" w:firstRow="1" w:lastRow="0" w:firstColumn="1" w:lastColumn="0" w:noHBand="0" w:noVBand="0"/>
          </w:tblPr>
          <w:tblGrid>
            <w:gridCol w:w="3828"/>
            <w:gridCol w:w="283"/>
            <w:gridCol w:w="5528"/>
          </w:tblGrid>
          <w:tr w14:paraId="7893D63D" w14:textId="77777777">
            <w:trPr>
              <w:trHeight w:hRule="exact" w:val="1020"/>
            </w:trPr>
            <w:tc>
              <w:tcPr>
                <w:tcW w:w="9639" w:type="dxa"/>
                <w:gridSpan w:val="3"/>
              </w:tcPr>
              <w:p w14:paraId="3DBE0B41" w14:textId="77777777">
                <w:pPr>
                  <w:widowControl w:val="0"/>
                  <w:tabs>
                    <w:tab w:val="center" w:pos="4153"/>
                    <w:tab w:val="right" w:pos="8306"/>
                  </w:tabs>
                  <w:rPr>
                    <w:rFonts w:ascii="Verdana" w:hAnsi="Verdana"/>
                    <w:sz w:val="20"/>
                    <w:lang w:val="en-US"/>
                  </w:rPr>
                </w:pPr>
              </w:p>
              <w:p w14:paraId="2B1FA89A" w14:textId="77777777">
                <w:pPr>
                  <w:widowControl w:val="0"/>
                  <w:jc w:val="center"/>
                  <w:rPr>
                    <w:rFonts w:ascii="Verdana" w:hAnsi="Verdana"/>
                    <w:color w:val="000000"/>
                    <w:sz w:val="20"/>
                  </w:rPr>
                </w:pPr>
                <w:r>
                  <w:rPr>
                    <w:rFonts w:ascii="Verdana" w:hAnsi="Verdana"/>
                    <w:sz w:val="20"/>
                    <w:lang w:val="en-US"/>
                  </w:rPr>
                  <w:drawing>
                    <wp:inline distT="0" distB="0" distL="0" distR="0" wp14:anchorId="67AE0906" wp14:editId="1A9D08B1">
                      <wp:extent cx="504825" cy="571500"/>
                      <wp:effectExtent l="0" t="0" r="9525" b="0"/>
                      <wp:docPr id="2" name="Picture 1" descr="herbas-L_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L_spalvot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04825" cy="571500"/>
                              </a:xfrm>
                              <a:prstGeom prst="rect">
                                <a:avLst/>
                              </a:prstGeom>
                              <a:noFill/>
                              <a:ln>
                                <a:noFill/>
                              </a:ln>
                            </pic:spPr>
                          </pic:pic>
                        </a:graphicData>
                      </a:graphic>
                    </wp:inline>
                  </w:drawing>
                </w:r>
              </w:p>
            </w:tc>
          </w:tr>
          <w:tr w14:paraId="319464AE" w14:textId="77777777">
            <w:trPr>
              <w:trHeight w:hRule="exact" w:val="1134"/>
            </w:trPr>
            <w:tc>
              <w:tcPr>
                <w:tcW w:w="9639" w:type="dxa"/>
                <w:gridSpan w:val="3"/>
              </w:tcPr>
              <w:p w14:paraId="5A8EC823" w14:textId="77777777">
                <w:pPr>
                  <w:keepNext/>
                  <w:widowControl w:val="0"/>
                  <w:jc w:val="center"/>
                  <w:rPr>
                    <w:rFonts w:ascii="Verdana" w:hAnsi="Verdana"/>
                    <w:b/>
                    <w:szCs w:val="24"/>
                  </w:rPr>
                </w:pPr>
                <w:r>
                  <w:rPr>
                    <w:rFonts w:ascii="Verdana" w:hAnsi="Verdana"/>
                    <w:b/>
                    <w:szCs w:val="24"/>
                  </w:rPr>
                  <w:t>LIETUVOS BANKO</w:t>
                </w:r>
              </w:p>
              <w:p w14:paraId="16681258" w14:textId="36A4FD96">
                <w:pPr>
                  <w:keepNext/>
                  <w:widowControl w:val="0"/>
                  <w:jc w:val="center"/>
                  <w:rPr>
                    <w:rFonts w:ascii="Verdana" w:hAnsi="Verdana"/>
                    <w:b/>
                    <w:sz w:val="20"/>
                  </w:rPr>
                </w:pPr>
                <w:r>
                  <w:rPr>
                    <w:rFonts w:ascii="Verdana" w:hAnsi="Verdana"/>
                    <w:b/>
                    <w:szCs w:val="24"/>
                  </w:rPr>
                  <w:t>TEISĖS IR LICENCIJAVIMO DEPARTAMENTAS</w:t>
                </w:r>
              </w:p>
            </w:tc>
          </w:tr>
          <w:tr w14:paraId="540B402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85"/>
            </w:trPr>
            <w:tc>
              <w:tcPr>
                <w:tcW w:w="9639" w:type="dxa"/>
                <w:gridSpan w:val="3"/>
                <w:tcBorders>
                  <w:top w:val="nil"/>
                  <w:left w:val="nil"/>
                  <w:bottom w:val="nil"/>
                  <w:right w:val="nil"/>
                </w:tcBorders>
              </w:tcPr>
              <w:p w14:paraId="24E72F38" w14:textId="77777777">
                <w:pPr>
                  <w:widowControl w:val="0"/>
                  <w:rPr>
                    <w:rFonts w:ascii="Verdana" w:hAnsi="Verdana"/>
                    <w:b/>
                    <w:bCs/>
                    <w:sz w:val="20"/>
                  </w:rPr>
                </w:pPr>
              </w:p>
            </w:tc>
          </w:tr>
          <w:tr w14:paraId="10E8D9C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571"/>
            </w:trPr>
            <w:tc>
              <w:tcPr>
                <w:tcW w:w="3828" w:type="dxa"/>
                <w:tcBorders>
                  <w:top w:val="nil"/>
                  <w:left w:val="nil"/>
                  <w:bottom w:val="nil"/>
                  <w:right w:val="nil"/>
                </w:tcBorders>
              </w:tcPr>
              <w:p w14:paraId="0A248E40" w14:textId="77777777">
                <w:pPr>
                  <w:widowControl w:val="0"/>
                  <w:rPr>
                    <w:rFonts w:ascii="Verdana" w:hAnsi="Verdana"/>
                    <w:sz w:val="20"/>
                  </w:rPr>
                </w:pPr>
                <w:r>
                  <w:rPr>
                    <w:rFonts w:ascii="Verdana" w:hAnsi="Verdana"/>
                    <w:sz w:val="20"/>
                  </w:rPr>
                  <w:t>Pagal adresatų sąrašą</w:t>
                </w:r>
              </w:p>
              <w:p w14:paraId="255A01AB" w14:textId="77777777">
                <w:pPr>
                  <w:widowControl w:val="0"/>
                  <w:rPr>
                    <w:rFonts w:ascii="Verdana" w:hAnsi="Verdana"/>
                    <w:sz w:val="20"/>
                  </w:rPr>
                </w:pPr>
              </w:p>
              <w:p w14:paraId="4EA9C71A" w14:textId="60826815">
                <w:pPr>
                  <w:widowControl w:val="0"/>
                  <w:rPr>
                    <w:rFonts w:ascii="Verdana" w:hAnsi="Verdana"/>
                    <w:i/>
                    <w:iCs/>
                    <w:sz w:val="20"/>
                  </w:rPr>
                </w:pPr>
                <w:r>
                  <w:rPr>
                    <w:rFonts w:ascii="Verdana" w:hAnsi="Verdana"/>
                    <w:i/>
                    <w:iCs/>
                    <w:sz w:val="20"/>
                  </w:rPr>
                  <w:t>Siunčiama per TAIS</w:t>
                </w:r>
              </w:p>
            </w:tc>
            <w:tc>
              <w:tcPr>
                <w:tcW w:w="283" w:type="dxa"/>
                <w:tcBorders>
                  <w:top w:val="nil"/>
                  <w:left w:val="nil"/>
                  <w:bottom w:val="nil"/>
                  <w:right w:val="nil"/>
                </w:tcBorders>
              </w:tcPr>
              <w:p w14:paraId="62481898" w14:textId="77777777">
                <w:pPr>
                  <w:keepNext/>
                  <w:widowControl w:val="0"/>
                  <w:jc w:val="right"/>
                  <w:outlineLvl w:val="1"/>
                  <w:rPr>
                    <w:rFonts w:ascii="Verdana" w:hAnsi="Verdana"/>
                    <w:sz w:val="20"/>
                  </w:rPr>
                </w:pPr>
              </w:p>
              <w:p w14:paraId="02E46B7F" w14:textId="6CDD9850">
                <w:pPr>
                  <w:keepNext/>
                  <w:widowControl w:val="0"/>
                  <w:jc w:val="right"/>
                  <w:outlineLvl w:val="1"/>
                  <w:rPr>
                    <w:rFonts w:ascii="Verdana" w:hAnsi="Verdana"/>
                    <w:sz w:val="20"/>
                  </w:rPr>
                </w:pPr>
              </w:p>
            </w:tc>
            <w:tc>
              <w:tcPr>
                <w:tcW w:w="5528" w:type="dxa"/>
                <w:tcBorders>
                  <w:top w:val="nil"/>
                  <w:left w:val="nil"/>
                  <w:bottom w:val="nil"/>
                  <w:right w:val="nil"/>
                </w:tcBorders>
              </w:tcPr>
              <w:p w14:paraId="0FFC864F" w14:textId="77777777">
                <w:pPr>
                  <w:widowControl w:val="0"/>
                  <w:ind w:firstLine="360"/>
                  <w:rPr>
                    <w:rFonts w:ascii="Verdana" w:hAnsi="Verdana"/>
                    <w:sz w:val="20"/>
                  </w:rPr>
                </w:pPr>
                <w:r>
                  <w:rPr>
                    <w:rFonts w:ascii="Verdana" w:hAnsi="Verdana"/>
                    <w:sz w:val="20"/>
                  </w:rPr>
                  <w:t>Nr.     </w:t>
                </w:r>
              </w:p>
              <w:p w14:paraId="65B94DC1" w14:textId="0C29187F">
                <w:pPr>
                  <w:widowControl w:val="0"/>
                  <w:rPr>
                    <w:rFonts w:ascii="Verdana" w:hAnsi="Verdana"/>
                    <w:sz w:val="20"/>
                  </w:rPr>
                </w:pPr>
              </w:p>
            </w:tc>
          </w:tr>
          <w:tr w14:paraId="6410B34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85"/>
            </w:trPr>
            <w:tc>
              <w:tcPr>
                <w:tcW w:w="9639" w:type="dxa"/>
                <w:gridSpan w:val="3"/>
                <w:tcBorders>
                  <w:top w:val="nil"/>
                  <w:left w:val="nil"/>
                  <w:bottom w:val="nil"/>
                  <w:right w:val="nil"/>
                </w:tcBorders>
              </w:tcPr>
              <w:p w14:paraId="1510CFB5" w14:textId="77777777">
                <w:pPr>
                  <w:widowControl w:val="0"/>
                  <w:rPr>
                    <w:rFonts w:ascii="Verdana" w:hAnsi="Verdana"/>
                    <w:b/>
                    <w:bCs/>
                    <w:sz w:val="20"/>
                    <w:highlight w:val="yellow"/>
                  </w:rPr>
                </w:pPr>
              </w:p>
              <w:p w14:paraId="4FF77A03" w14:textId="77777777">
                <w:pPr>
                  <w:widowControl w:val="0"/>
                  <w:rPr>
                    <w:rFonts w:ascii="Verdana" w:hAnsi="Verdana"/>
                    <w:b/>
                    <w:bCs/>
                    <w:sz w:val="20"/>
                    <w:highlight w:val="yellow"/>
                  </w:rPr>
                </w:pPr>
              </w:p>
            </w:tc>
          </w:tr>
          <w:tr w14:paraId="10998E0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5"/>
            </w:trPr>
            <w:tc>
              <w:tcPr>
                <w:tcW w:w="9639" w:type="dxa"/>
                <w:gridSpan w:val="3"/>
                <w:tcBorders>
                  <w:top w:val="nil"/>
                  <w:left w:val="nil"/>
                  <w:bottom w:val="nil"/>
                  <w:right w:val="nil"/>
                </w:tcBorders>
              </w:tcPr>
              <w:p w14:paraId="6FBBBEF4" w14:textId="446287B7">
                <w:pPr>
                  <w:widowControl w:val="0"/>
                  <w:rPr>
                    <w:rFonts w:ascii="Verdana" w:hAnsi="Verdana"/>
                    <w:sz w:val="20"/>
                    <w:highlight w:val="yellow"/>
                  </w:rPr>
                </w:pPr>
                <w:r>
                  <w:rPr>
                    <w:rFonts w:ascii="Verdana" w:hAnsi="Verdana"/>
                    <w:b/>
                    <w:bCs/>
                    <w:sz w:val="20"/>
                  </w:rPr>
                  <w:t>DĖL</w:t>
                </w:r>
                <w:r>
                  <w:rPr>
                    <w:rFonts w:ascii="Verdana" w:hAnsi="Verdana"/>
                    <w:b/>
                    <w:sz w:val="20"/>
                  </w:rPr>
                  <w:t xml:space="preserve"> </w:t>
                </w:r>
                <w:r>
                  <w:rPr>
                    <w:rFonts w:ascii="Verdana" w:hAnsi="Verdana"/>
                    <w:b/>
                    <w:sz w:val="20"/>
                    <w:lang w:val="en-US"/>
                  </w:rPr>
                  <w:t>LIETUVOS BANKO VALDYBOS NUTARIMŲ PROJEKTŲ DERINIMO</w:t>
                </w:r>
              </w:p>
            </w:tc>
          </w:tr>
        </w:tbl>
        <w:p w14:paraId="14A88C67" w14:textId="77777777">
          <w:pPr>
            <w:widowControl w:val="0"/>
            <w:rPr>
              <w:rFonts w:ascii="Verdana" w:hAnsi="Verdana"/>
              <w:sz w:val="20"/>
              <w:highlight w:val="yellow"/>
            </w:rPr>
          </w:pPr>
        </w:p>
        <w:p w14:paraId="141AAB4F" w14:textId="77777777">
          <w:pPr>
            <w:widowControl w:val="0"/>
            <w:rPr>
              <w:rFonts w:ascii="Verdana" w:hAnsi="Verdana"/>
              <w:sz w:val="20"/>
              <w:highlight w:val="yellow"/>
            </w:rPr>
          </w:pPr>
        </w:p>
      </w:sdtContent>
    </w:sdt>
    <w:sdt>
      <w:sdtPr>
        <w:alias w:val="pastraipa"/>
        <w:tag w:val="part_538ec2432c884515b153be458f93f11d"/>
        <w:lock w:val="sdtLocked"/>
        <w:richText/>
      </w:sdtPr>
      <w:sdtContent>
        <w:p w14:paraId="684095DB" w14:textId="6DC7B176">
          <w:pPr>
            <w:widowControl w:val="0"/>
            <w:ind w:firstLine="709"/>
            <w:jc w:val="both"/>
            <w:rPr>
              <w:rFonts w:ascii="Verdana" w:hAnsi="Verdana"/>
              <w:sz w:val="20"/>
            </w:rPr>
          </w:pPr>
          <w:r>
            <w:rPr>
              <w:rFonts w:ascii="Verdana" w:hAnsi="Verdana" w:cs="Calibri"/>
              <w:bCs/>
              <w:sz w:val="20"/>
            </w:rPr>
            <w:t xml:space="preserve">Siekdamas užtikrinti efektyvų kriptoturto paslaugų teikėjų licencijavimo procesą pagal 2023 m. gegužės 31 d. Europos Parlamento ir Tarybos Reglamentą </w:t>
          </w:r>
          <w:fldSimple w:instr="HYPERLINK http://eur-lex.europa.eu/legal-content/LIT/TXT/?uri=CELEX:32023R1114&amp;locale=lt \t _blank">
            <w:r>
              <w:rPr>
                <w:rFonts w:ascii="Verdana" w:hAnsi="Verdana" w:cs="Calibri"/>
                <w:bCs/>
                <w:sz w:val="20"/>
                <w:u w:val="single"/>
                <w:color w:val="0000FF" w:themeColor="hyperlink"/>
              </w:rPr>
              <w:t>(ES) 2023/1114</w:t>
            </w:r>
          </w:fldSimple>
          <w:r>
            <w:rPr>
              <w:rFonts w:ascii="Verdana" w:hAnsi="Verdana" w:cs="Calibri"/>
              <w:bCs/>
              <w:sz w:val="20"/>
            </w:rPr>
            <w:t xml:space="preserve"> dėl kriptoturto rinkų, kuriuo iš dalies keičiami reglamentai </w:t>
          </w:r>
          <w:fldSimple w:instr="HYPERLINK http://eur-lex.europa.eu/legal-content/LIT/TXT/?uri=CELEX:32010R1093&amp;locale=lt \t _blank">
            <w:r>
              <w:rPr>
                <w:rFonts w:ascii="Verdana" w:hAnsi="Verdana" w:cs="Calibri"/>
                <w:bCs/>
                <w:sz w:val="20"/>
                <w:u w:val="single"/>
                <w:color w:val="0000FF" w:themeColor="hyperlink"/>
              </w:rPr>
              <w:t>(ES) Nr. 1093/2010</w:t>
            </w:r>
          </w:fldSimple>
          <w:r>
            <w:rPr>
              <w:rFonts w:ascii="Verdana" w:hAnsi="Verdana" w:cs="Calibri"/>
              <w:bCs/>
              <w:sz w:val="20"/>
            </w:rPr>
            <w:t xml:space="preserve"> bei </w:t>
          </w:r>
          <w:fldSimple w:instr="HYPERLINK http://eur-lex.europa.eu/legal-content/LIT/TXT/?uri=CELEX:32010R1095&amp;locale=lt \t _blank">
            <w:r>
              <w:rPr>
                <w:rFonts w:ascii="Verdana" w:hAnsi="Verdana" w:cs="Calibri"/>
                <w:bCs/>
                <w:sz w:val="20"/>
                <w:u w:val="single"/>
                <w:color w:val="0000FF" w:themeColor="hyperlink"/>
              </w:rPr>
              <w:t>(ES) Nr. 1095/2010</w:t>
            </w:r>
          </w:fldSimple>
          <w:r>
            <w:rPr>
              <w:rFonts w:ascii="Verdana" w:hAnsi="Verdana" w:cs="Calibri"/>
              <w:bCs/>
              <w:sz w:val="20"/>
            </w:rPr>
            <w:t xml:space="preserve"> ir direktyvos </w:t>
          </w:r>
          <w:fldSimple w:instr="HYPERLINK http://eur-lex.europa.eu/legal-content/LIT/TXT/?uri=CELEX:32013L0036&amp;locale=lt \t _blank">
            <w:r>
              <w:rPr>
                <w:rFonts w:ascii="Verdana" w:hAnsi="Verdana" w:cs="Calibri"/>
                <w:bCs/>
                <w:sz w:val="20"/>
                <w:u w:val="single"/>
                <w:color w:val="0000FF" w:themeColor="hyperlink"/>
              </w:rPr>
              <w:t>2013/36/ES</w:t>
            </w:r>
          </w:fldSimple>
          <w:r>
            <w:rPr>
              <w:rFonts w:ascii="Verdana" w:hAnsi="Verdana" w:cs="Calibri"/>
              <w:bCs/>
              <w:sz w:val="20"/>
            </w:rPr>
            <w:t xml:space="preserve"> bei </w:t>
          </w:r>
          <w:fldSimple w:instr="HYPERLINK http://eur-lex.europa.eu/legal-content/LIT/TXT/?uri=CELEX:32019L1937&amp;locale=lt \t _blank">
            <w:r>
              <w:rPr>
                <w:rFonts w:ascii="Verdana" w:hAnsi="Verdana" w:cs="Calibri"/>
                <w:bCs/>
                <w:sz w:val="20"/>
                <w:u w:val="single"/>
                <w:color w:val="0000FF" w:themeColor="hyperlink"/>
              </w:rPr>
              <w:t>(ES) 2019/1937</w:t>
            </w:r>
          </w:fldSimple>
          <w:r>
            <w:rPr>
              <w:rFonts w:ascii="Verdana" w:hAnsi="Verdana" w:cs="Calibri"/>
              <w:bCs/>
              <w:sz w:val="20"/>
            </w:rPr>
            <w:t xml:space="preserve"> (toliau - MiCA reglamentas) ir Lietuvos Respublikos kriptoturto rinkų įstatymą, </w:t>
          </w:r>
          <w:r>
            <w:rPr>
              <w:rFonts w:ascii="Verdana" w:hAnsi="Verdana"/>
              <w:sz w:val="20"/>
            </w:rPr>
            <w:t>Lietuvos bankas parengė pirmąjį teisės aktų projektų paketą ir teikia viešoms konsultacijoms šiuos Lietuvos banko valdybos nutarimų projektus:</w:t>
          </w:r>
        </w:p>
      </w:sdtContent>
    </w:sdt>
    <w:sdt>
      <w:sdtPr>
        <w:alias w:val="pastraipa"/>
        <w:tag w:val="part_d813c80cc088468fb8f1018579a760ae"/>
        <w:lock w:val="sdtLocked"/>
        <w:richText/>
      </w:sdtPr>
      <w:sdtContent>
        <w:p w14:paraId="47E405A0" w14:textId="49A52EC1">
          <w:pPr>
            <w:widowControl w:val="0"/>
            <w:ind w:left="1134" w:hanging="425"/>
            <w:jc w:val="both"/>
            <w:rPr>
              <w:rFonts w:ascii="Verdana" w:hAnsi="Verdana"/>
              <w:sz w:val="20"/>
            </w:rPr>
          </w:pPr>
          <w:r>
            <w:rPr>
              <w:rFonts w:ascii="Symbol" w:hAnsi="Symbol"/>
              <w:sz w:val="20"/>
            </w:rPr>
            <w:t></w:t>
            <w:tab/>
          </w:r>
          <w:r>
            <w:rPr>
              <w:rFonts w:ascii="Verdana" w:hAnsi="Verdana"/>
              <w:sz w:val="20"/>
            </w:rPr>
            <w:t>Lietuvos banko valdybos nutarimo „Dėl kriptoturto paslaugų teikėjų licencijavimo taisyklių patvirtinimo“ projektas (kartu su priedais Nr. 1 - 7);</w:t>
          </w:r>
        </w:p>
      </w:sdtContent>
    </w:sdt>
    <w:sdt>
      <w:sdtPr>
        <w:alias w:val="pastraipa"/>
        <w:tag w:val="part_5f446b513b94428facedda1411cfc240"/>
        <w:lock w:val="sdtLocked"/>
        <w:richText/>
      </w:sdtPr>
      <w:sdtContent>
        <w:p w14:paraId="0C8270A1" w14:textId="7C4930A0">
          <w:pPr>
            <w:widowControl w:val="0"/>
            <w:ind w:left="1134" w:hanging="425"/>
            <w:jc w:val="both"/>
            <w:rPr>
              <w:rFonts w:ascii="Verdana" w:hAnsi="Verdana"/>
              <w:sz w:val="20"/>
            </w:rPr>
          </w:pPr>
          <w:r>
            <w:rPr>
              <w:rFonts w:ascii="Symbol" w:hAnsi="Symbol"/>
              <w:sz w:val="20"/>
            </w:rPr>
            <w:t></w:t>
            <w:tab/>
          </w:r>
          <w:r>
            <w:rPr>
              <w:rFonts w:ascii="Verdana" w:hAnsi="Verdana" w:cs="Calibri"/>
              <w:bCs/>
              <w:sz w:val="20"/>
            </w:rPr>
            <w:t xml:space="preserve">Lietuvos banko valdybos 2017 m. rugsėjo 12 d. nutarimo Nr. 03-138 „Dėl Pranešimo apie Lietuvos banko prižiūrimų finansų rinkos dalyvių kvalifikuotosios įstatinio kapitalo ir (arba) balsavimo teisių dalies įsigijimą ir perleidimą teikimo taisyklių patvirtinimo“ pakeitimo </w:t>
          </w:r>
          <w:r>
            <w:rPr>
              <w:rFonts w:ascii="Verdana" w:hAnsi="Verdana"/>
              <w:sz w:val="20"/>
            </w:rPr>
            <w:t>projektas;</w:t>
          </w:r>
        </w:p>
      </w:sdtContent>
    </w:sdt>
    <w:sdt>
      <w:sdtPr>
        <w:alias w:val="pastraipa"/>
        <w:tag w:val="part_f125e30272204156a7feab07a6ac8f48"/>
        <w:lock w:val="sdtLocked"/>
        <w:richText/>
      </w:sdtPr>
      <w:sdtContent>
        <w:p w14:paraId="77C24017" w14:textId="69A0EA4C">
          <w:pPr>
            <w:widowControl w:val="0"/>
            <w:ind w:left="1134"/>
            <w:jc w:val="both"/>
            <w:rPr>
              <w:rFonts w:ascii="Verdana" w:hAnsi="Verdana"/>
              <w:sz w:val="20"/>
            </w:rPr>
          </w:pPr>
          <w:r>
            <w:rPr>
              <w:rFonts w:ascii="Verdana" w:hAnsi="Verdana"/>
              <w:sz w:val="20"/>
            </w:rPr>
            <w:t>Lietuvos banko valdybos 2013 m. lapkričio 14 d. nutarimo Nr. 03-181 „Dėl Lietuvos banko prižiūrimų finansų rinkos dalyvių vadovų ir pagrindines funkcijas atliekančių asmenų vertinimo nuostatų patvirtinimo“ pakeitimo projektas.</w:t>
          </w:r>
        </w:p>
        <w:p w14:paraId="2D5EE430" w14:textId="77777777">
          <w:pPr>
            <w:widowControl w:val="0"/>
            <w:ind w:firstLine="709"/>
            <w:jc w:val="both"/>
            <w:rPr>
              <w:rFonts w:ascii="Verdana" w:hAnsi="Verdana" w:cs="Calibri"/>
              <w:bCs/>
              <w:sz w:val="20"/>
            </w:rPr>
          </w:pPr>
        </w:p>
      </w:sdtContent>
    </w:sdt>
    <w:sdt>
      <w:sdtPr>
        <w:alias w:val="pastraipa"/>
        <w:tag w:val="part_3da77535b2d94f30ab115cd89bf01b50"/>
        <w:lock w:val="sdtLocked"/>
        <w:richText/>
      </w:sdtPr>
      <w:sdtContent>
        <w:p w14:paraId="72015D61" w14:textId="30E072AC">
          <w:pPr>
            <w:widowControl w:val="0"/>
            <w:ind w:firstLine="709"/>
            <w:jc w:val="both"/>
            <w:rPr>
              <w:rFonts w:ascii="Verdana" w:hAnsi="Verdana" w:cs="Calibri"/>
              <w:bCs/>
              <w:sz w:val="20"/>
              <w:highlight w:val="yellow"/>
            </w:rPr>
          </w:pPr>
          <w:r>
            <w:rPr>
              <w:rFonts w:ascii="Verdana" w:hAnsi="Verdana" w:cs="Calibri"/>
              <w:bCs/>
              <w:sz w:val="20"/>
            </w:rPr>
            <w:t xml:space="preserve">Nutarimų projektai parengti atsižvelgus į MiCA reglamento reikalavimus, </w:t>
          </w:r>
          <w:r>
            <w:rPr>
              <w:rFonts w:ascii="Verdana" w:hAnsi="Verdana"/>
              <w:color w:val="000000"/>
              <w:sz w:val="20"/>
            </w:rPr>
            <w:t>Europos vertybinių popierių ir rinkų institucijos (</w:t>
          </w:r>
          <w:r>
            <w:rPr>
              <w:rFonts w:ascii="Verdana" w:eastAsia="Verdana" w:hAnsi="Verdana" w:cs="Verdana"/>
              <w:color w:val="000000"/>
              <w:sz w:val="20"/>
            </w:rPr>
            <w:t xml:space="preserve">angl. </w:t>
          </w:r>
          <w:r>
            <w:rPr>
              <w:rFonts w:ascii="Verdana" w:eastAsia="Verdana" w:hAnsi="Verdana" w:cs="Verdana"/>
              <w:i/>
              <w:iCs/>
              <w:color w:val="000000"/>
              <w:sz w:val="20"/>
            </w:rPr>
            <w:t>European Securities and Markets Authority</w:t>
          </w:r>
          <w:r>
            <w:rPr>
              <w:rFonts w:ascii="Verdana" w:eastAsia="Verdana" w:hAnsi="Verdana" w:cs="Verdana"/>
              <w:color w:val="000000"/>
              <w:sz w:val="20"/>
            </w:rPr>
            <w:t xml:space="preserve">, </w:t>
          </w:r>
          <w:r>
            <w:rPr>
              <w:rFonts w:ascii="Verdana" w:hAnsi="Verdana"/>
              <w:color w:val="000000"/>
              <w:sz w:val="20"/>
            </w:rPr>
            <w:t>ESMA) parengtus techninių standartų dėl informacijos, pateiktinos prašymuose išduoti leidimą teikti kriptoturto paslaugas</w:t>
          </w:r>
          <w:r>
            <w:rPr>
              <w:rFonts w:ascii="Verdana" w:hAnsi="Verdana"/>
              <w:color w:val="000000"/>
              <w:sz w:val="20"/>
              <w:vertAlign w:val="superscript"/>
            </w:rPr>
            <w:footnoteReference w:id="1"/>
          </w:r>
          <w:r>
            <w:rPr>
              <w:rFonts w:ascii="Verdana" w:hAnsi="Verdana"/>
              <w:color w:val="000000"/>
              <w:sz w:val="20"/>
            </w:rPr>
            <w:t xml:space="preserve">, bei bendrų Europos bankininkystės institucijos (angl. </w:t>
          </w:r>
          <w:r>
            <w:rPr>
              <w:rFonts w:ascii="Verdana" w:hAnsi="Verdana"/>
              <w:i/>
              <w:iCs/>
              <w:color w:val="000000"/>
              <w:sz w:val="20"/>
            </w:rPr>
            <w:t>European Banking Authority, EBA</w:t>
          </w:r>
          <w:r>
            <w:rPr>
              <w:rFonts w:ascii="Verdana" w:hAnsi="Verdana"/>
              <w:color w:val="000000"/>
              <w:sz w:val="20"/>
            </w:rPr>
            <w:t>) bei ESMA parengtų gairių</w:t>
          </w:r>
          <w:r>
            <w:rPr>
              <w:rFonts w:ascii="Verdana" w:hAnsi="Verdana"/>
              <w:color w:val="000000"/>
              <w:sz w:val="20"/>
              <w:vertAlign w:val="superscript"/>
            </w:rPr>
            <w:footnoteReference w:id="2"/>
          </w:r>
          <w:r>
            <w:rPr>
              <w:rFonts w:ascii="Verdana" w:hAnsi="Verdana"/>
              <w:color w:val="000000"/>
              <w:sz w:val="20"/>
            </w:rPr>
            <w:t xml:space="preserve"> dėl kriptoturto paslaugų teikėjų vadovų bei kvalifikuotąją įstatinio kapitalo ir (ar) balsavimo teisių dalį turinčių subjektų tinkamumo vertinimo projektus. </w:t>
          </w:r>
        </w:p>
        <w:p w14:paraId="4F5E95D2" w14:textId="77777777">
          <w:pPr>
            <w:widowControl w:val="0"/>
            <w:ind w:firstLine="709"/>
            <w:jc w:val="both"/>
            <w:rPr>
              <w:rFonts w:ascii="Verdana" w:hAnsi="Verdana" w:cs="Calibri"/>
              <w:bCs/>
              <w:sz w:val="20"/>
              <w:highlight w:val="yellow"/>
            </w:rPr>
          </w:pPr>
        </w:p>
      </w:sdtContent>
    </w:sdt>
    <w:sdt>
      <w:sdtPr>
        <w:alias w:val="pastraipa"/>
        <w:tag w:val="part_a1a6c8ba10ca4063acce730d4f1ec0d3"/>
        <w:lock w:val="sdtLocked"/>
        <w:richText/>
      </w:sdtPr>
      <w:sdtContent>
        <w:p w14:paraId="28E20080" w14:textId="57ED167A">
          <w:pPr>
            <w:widowControl w:val="0"/>
            <w:ind w:firstLine="709"/>
            <w:jc w:val="both"/>
            <w:rPr>
              <w:rFonts w:ascii="Verdana" w:hAnsi="Verdana" w:cs="Calibri"/>
              <w:bCs/>
              <w:sz w:val="20"/>
            </w:rPr>
          </w:pPr>
          <w:r>
            <w:rPr>
              <w:rFonts w:ascii="Verdana" w:hAnsi="Verdana" w:cs="Calibri"/>
              <w:bCs/>
              <w:sz w:val="20"/>
            </w:rPr>
            <w:t xml:space="preserve">Taip pat informuojame, kad  Lietuvos bankas rengia ir artimiausiu metu ketina teikti viešam derinimui  Lietuvos banko valdybos nutarimų projektus, kuriais  nustatomi  kriptoturto paslaugų teikėjų, su turtu susietų žetonų bei el. pinigų žetonų emitentų priežiūrai skirtų ataskaitų teikimo reikalavimai, kriptoturto paslaugų teikėjų darbuotojų teikiančių rekomendacijos ir portfelio valdymo paslaugas kvalifikacijos reikalavimai, veiklos funkcijų perdavimo tvarka ir kt. Daugiau informacijos galima rasti Lietuvos banko interneto svetainėje</w:t>
          </w:r>
          <w:r>
            <w:rPr>
              <w:rFonts w:ascii="Verdana" w:hAnsi="Verdana" w:cs="Calibri"/>
              <w:bCs/>
              <w:sz w:val="20"/>
              <w:vertAlign w:val="superscript"/>
            </w:rPr>
            <w:footnoteReference w:id="3"/>
          </w:r>
          <w:r>
            <w:rPr>
              <w:rFonts w:ascii="Verdana" w:hAnsi="Verdana" w:cs="Calibri"/>
              <w:bCs/>
              <w:sz w:val="20"/>
            </w:rPr>
            <w:t xml:space="preserve"> (žr. pasirengimas MiCA įgyvendinimui). Apie parengtus projektus Lietuvos bankas informuos atskirai.</w:t>
          </w:r>
        </w:p>
      </w:sdtContent>
    </w:sdt>
    <w:sdt>
      <w:sdtPr>
        <w:alias w:val="pastraipa"/>
        <w:tag w:val="part_e1f75d080fca4c40ab04e35fb91561b8"/>
        <w:lock w:val="sdtLocked"/>
        <w:richText/>
      </w:sdtPr>
      <w:sdtContent>
        <w:p w14:paraId="021219EB" w14:textId="69CE0DCF">
          <w:pPr>
            <w:widowControl w:val="0"/>
            <w:ind w:firstLine="709"/>
            <w:jc w:val="both"/>
            <w:rPr>
              <w:rFonts w:ascii="Verdana" w:hAnsi="Verdana"/>
              <w:sz w:val="20"/>
            </w:rPr>
          </w:pPr>
          <w:r>
            <w:rPr>
              <w:rFonts w:ascii="Verdana" w:hAnsi="Verdana"/>
              <w:sz w:val="20"/>
            </w:rPr>
            <w:t xml:space="preserve">Nutarimų projektus parengė Lietuvos banko </w:t>
          </w:r>
          <w:r>
            <w:rPr>
              <w:rFonts w:ascii="Verdana" w:hAnsi="Verdana" w:cs="Helvetica"/>
              <w:sz w:val="20"/>
            </w:rPr>
            <w:t>Teisės ir licencijavimo</w:t>
          </w:r>
          <w:r>
            <w:rPr>
              <w:rFonts w:ascii="Verdana" w:hAnsi="Verdana"/>
              <w:sz w:val="20"/>
            </w:rPr>
            <w:t xml:space="preserve"> departamento </w:t>
          </w:r>
          <w:r>
            <w:rPr>
              <w:rFonts w:ascii="Verdana" w:hAnsi="Verdana" w:cs="Helvetica"/>
              <w:sz w:val="20"/>
            </w:rPr>
            <w:t xml:space="preserve">Licencijavimo </w:t>
          </w:r>
          <w:r>
            <w:rPr>
              <w:rFonts w:ascii="Verdana" w:hAnsi="Verdana"/>
              <w:sz w:val="20"/>
            </w:rPr>
            <w:t>skyriaus asmenų vertinimo ekspertas Tomas Remeikis</w:t>
          </w:r>
          <w:r>
            <w:rPr>
              <w:rFonts w:ascii="Verdana" w:hAnsi="Verdana"/>
              <w:sz w:val="20"/>
            </w:rPr>
            <w:t xml:space="preserve">, tel. +370 660 30081, el. pašto adresas </w:t>
          </w:r>
          <w:r>
            <w:rPr>
              <w:rFonts w:ascii="Verdana" w:hAnsi="Verdana"/>
              <w:color w:val="0000FF"/>
              <w:sz w:val="20"/>
              <w:u w:val="single"/>
            </w:rPr>
            <w:t>tremeikis@lb.lt</w:t>
          </w:r>
          <w:r>
            <w:rPr>
              <w:rFonts w:ascii="Verdana" w:hAnsi="Verdana"/>
              <w:sz w:val="20"/>
            </w:rPr>
            <w:t>.</w:t>
          </w:r>
        </w:p>
      </w:sdtContent>
    </w:sdt>
    <w:sdt>
      <w:sdtPr>
        <w:alias w:val="pastraipa"/>
        <w:tag w:val="part_6cf0016c30bc40d09480da121e5e289f"/>
        <w:lock w:val="sdtLocked"/>
        <w:richText/>
      </w:sdtPr>
      <w:sdtContent>
        <w:p w14:paraId="39611783" w14:textId="1B2F0557">
          <w:pPr>
            <w:widowControl w:val="0"/>
            <w:ind w:firstLine="709"/>
            <w:jc w:val="both"/>
            <w:rPr>
              <w:rFonts w:ascii="Verdana" w:hAnsi="Verdana"/>
              <w:sz w:val="20"/>
            </w:rPr>
          </w:pPr>
          <w:r>
            <w:rPr>
              <w:rFonts w:ascii="Verdana" w:hAnsi="Verdana"/>
              <w:sz w:val="20"/>
            </w:rPr>
            <w:t xml:space="preserve">Nutarimų projektai skelbiami Lietuvos Respublikos Seimo kanceliarijos teisės aktų informacinėje sistemoje (toliau – TAIS). </w:t>
          </w:r>
        </w:p>
      </w:sdtContent>
    </w:sdt>
    <w:sdt>
      <w:sdtPr>
        <w:alias w:val="pastraipa"/>
        <w:tag w:val="part_7803c9417873407abd4163ec2b9d6386"/>
        <w:lock w:val="sdtLocked"/>
        <w:richText/>
      </w:sdtPr>
      <w:sdtContent>
        <w:p w14:paraId="29903015" w14:textId="1312DE86">
          <w:pPr>
            <w:widowControl w:val="0"/>
            <w:ind w:firstLine="709"/>
            <w:jc w:val="both"/>
            <w:rPr>
              <w:rFonts w:ascii="Verdana" w:hAnsi="Verdana"/>
              <w:sz w:val="20"/>
              <w:highlight w:val="yellow"/>
            </w:rPr>
          </w:pPr>
          <w:r>
            <w:rPr>
              <w:rFonts w:ascii="Verdana" w:hAnsi="Verdana"/>
              <w:sz w:val="20"/>
            </w:rPr>
            <w:t xml:space="preserve">Prašome pastabas ir pasiūlymus dėl šių Nutarimų projektų Lietuvos bankui pateikti per TAIS arba elektroniniu paštu </w:t>
          </w:r>
          <w:r>
            <w:rPr>
              <w:rFonts w:ascii="Verdana" w:hAnsi="Verdana"/>
              <w:color w:val="0000FF"/>
              <w:sz w:val="20"/>
              <w:u w:val="single"/>
            </w:rPr>
            <w:t>prieziura@lb.lt</w:t>
          </w:r>
          <w:r>
            <w:rPr>
              <w:rFonts w:ascii="Verdana" w:hAnsi="Verdana"/>
              <w:sz w:val="20"/>
            </w:rPr>
            <w:t xml:space="preserve"> </w:t>
          </w:r>
          <w:r>
            <w:rPr>
              <w:rFonts w:ascii="Verdana" w:hAnsi="Verdana"/>
              <w:b/>
              <w:bCs/>
              <w:sz w:val="20"/>
            </w:rPr>
            <w:t xml:space="preserve">iki 2024 m. spalio 11 d. </w:t>
          </w:r>
          <w:r>
            <w:rPr>
              <w:rFonts w:ascii="Verdana" w:hAnsi="Verdana"/>
              <w:sz w:val="20"/>
            </w:rPr>
            <w:t xml:space="preserve"> </w:t>
          </w:r>
        </w:p>
        <w:p w14:paraId="65424A22" w14:textId="77777777">
          <w:pPr>
            <w:widowControl w:val="0"/>
            <w:ind w:firstLine="709"/>
            <w:jc w:val="both"/>
            <w:rPr>
              <w:rFonts w:ascii="Verdana" w:hAnsi="Verdana"/>
              <w:sz w:val="20"/>
              <w:highlight w:val="yellow"/>
            </w:rPr>
          </w:pPr>
        </w:p>
        <w:p w14:paraId="7544C91A" w14:textId="77777777">
          <w:pPr>
            <w:widowControl w:val="0"/>
            <w:ind w:firstLine="709"/>
            <w:jc w:val="both"/>
            <w:rPr>
              <w:rFonts w:ascii="Verdana" w:hAnsi="Verdana"/>
              <w:sz w:val="20"/>
              <w:highlight w:val="yellow"/>
            </w:rPr>
          </w:pPr>
        </w:p>
      </w:sdtContent>
    </w:sdt>
    <w:sdt>
      <w:sdtPr>
        <w:alias w:val="pastraipa"/>
        <w:tag w:val="part_a89a5eeadb6440f6aed4a06a50e2f11d"/>
        <w:lock w:val="sdtLocked"/>
        <w:richText/>
      </w:sdtPr>
      <w:sdtContent>
        <w:p w14:paraId="79273A4B" w14:textId="77777777">
          <w:pPr>
            <w:widowControl w:val="0"/>
            <w:ind w:firstLine="720"/>
            <w:jc w:val="both"/>
            <w:rPr>
              <w:rFonts w:ascii="Verdana" w:hAnsi="Verdana"/>
              <w:sz w:val="20"/>
            </w:rPr>
          </w:pPr>
          <w:r>
            <w:rPr>
              <w:rFonts w:ascii="Verdana" w:hAnsi="Verdana"/>
              <w:sz w:val="20"/>
            </w:rPr>
            <w:t>PRIDEDAMA:</w:t>
          </w:r>
        </w:p>
        <w:sdt>
          <w:sdtPr>
            <w:alias w:val="1 p."/>
            <w:tag w:val="part_3de0f00981a3498db5404f6d60711e9d"/>
            <w:lock w:val="sdtLocked"/>
            <w:richText/>
          </w:sdtPr>
          <w:sdtContent>
            <w:p w14:paraId="4BC39065" w14:textId="7C5498C6">
              <w:pPr>
                <w:widowControl w:val="0"/>
                <w:tabs>
                  <w:tab w:val="left" w:pos="1134"/>
                </w:tabs>
                <w:ind w:firstLine="709"/>
                <w:jc w:val="both"/>
                <w:rPr>
                  <w:rFonts w:ascii="Verdana" w:hAnsi="Verdana"/>
                  <w:sz w:val="20"/>
                </w:rPr>
              </w:pPr>
              <w:sdt>
                <w:sdtPr>
                  <w:alias w:val="Numeris"/>
                  <w:tag w:val="nr_3de0f00981a3498db5404f6d60711e9d"/>
                  <w:lock w:val="sdtLocked"/>
                  <w:richText/>
                </w:sdtPr>
                <w:sdtContent>
                  <w:r>
                    <w:rPr>
                      <w:rFonts w:ascii="Verdana" w:hAnsi="Verdana"/>
                      <w:sz w:val="20"/>
                    </w:rPr>
                    <w:t>1</w:t>
                  </w:r>
                </w:sdtContent>
              </w:sdt>
              <w:r>
                <w:rPr>
                  <w:rFonts w:ascii="Verdana" w:hAnsi="Verdana"/>
                  <w:sz w:val="20"/>
                </w:rPr>
                <w:t>.</w:t>
                <w:tab/>
                <w:t>Lietuvos banko valdybos nutarimo „Dėl kriptoturto paslaugų teikėjų licencijavimo taisyklių patvirtinimo“ projektas (su priedais Nr. 1 - 7), 26 lapai;</w:t>
              </w:r>
            </w:p>
          </w:sdtContent>
        </w:sdt>
        <w:sdt>
          <w:sdtPr>
            <w:alias w:val="2 p."/>
            <w:tag w:val="part_4a56ce07494d4d7c848587c935acc16e"/>
            <w:lock w:val="sdtLocked"/>
            <w:richText/>
          </w:sdtPr>
          <w:sdtContent>
            <w:p w14:paraId="34D5C71F" w14:textId="27477C48">
              <w:pPr>
                <w:widowControl w:val="0"/>
                <w:tabs>
                  <w:tab w:val="left" w:pos="1134"/>
                </w:tabs>
                <w:ind w:firstLine="709"/>
                <w:jc w:val="both"/>
                <w:rPr>
                  <w:rFonts w:ascii="Verdana" w:hAnsi="Verdana"/>
                  <w:sz w:val="20"/>
                </w:rPr>
              </w:pPr>
              <w:sdt>
                <w:sdtPr>
                  <w:alias w:val="Numeris"/>
                  <w:tag w:val="nr_4a56ce07494d4d7c848587c935acc16e"/>
                  <w:lock w:val="sdtLocked"/>
                  <w:richText/>
                </w:sdtPr>
                <w:sdtContent>
                  <w:r>
                    <w:rPr>
                      <w:rFonts w:ascii="Verdana" w:hAnsi="Verdana"/>
                      <w:sz w:val="20"/>
                    </w:rPr>
                    <w:t>2</w:t>
                  </w:r>
                </w:sdtContent>
              </w:sdt>
              <w:r>
                <w:rPr>
                  <w:rFonts w:ascii="Verdana" w:hAnsi="Verdana"/>
                  <w:sz w:val="20"/>
                </w:rPr>
                <w:t>.</w:t>
                <w:tab/>
              </w:r>
              <w:r>
                <w:rPr>
                  <w:rFonts w:ascii="Verdana" w:hAnsi="Verdana" w:cs="Calibri"/>
                  <w:bCs/>
                  <w:sz w:val="20"/>
                </w:rPr>
                <w:t xml:space="preserve">Lietuvos banko valdybos 2017 m. rugsėjo 12 d. nutarimo Nr. 03-138 „Dėl Pranešimo apie Lietuvos banko prižiūrimų finansų rinkos dalyvių kvalifikuotosios įstatinio kapitalo ir (arba) balsavimo teisių dalies įsigijimą ir perleidimą teikimo taisyklių patvirtinimo“ pakeitimo </w:t>
              </w:r>
              <w:r>
                <w:rPr>
                  <w:rFonts w:ascii="Verdana" w:hAnsi="Verdana"/>
                  <w:sz w:val="20"/>
                </w:rPr>
                <w:t>projektas, 5 lapai;</w:t>
              </w:r>
            </w:p>
          </w:sdtContent>
        </w:sdt>
        <w:sdt>
          <w:sdtPr>
            <w:alias w:val="3 p."/>
            <w:tag w:val="part_2276de8c73bf48ea9fdfcb4cd26b3d0f"/>
            <w:lock w:val="sdtLocked"/>
            <w:richText/>
          </w:sdtPr>
          <w:sdtContent>
            <w:p w14:paraId="5E9529BE" w14:textId="66788F2F">
              <w:pPr>
                <w:widowControl w:val="0"/>
                <w:tabs>
                  <w:tab w:val="left" w:pos="1134"/>
                </w:tabs>
                <w:ind w:firstLine="709"/>
                <w:jc w:val="both"/>
                <w:rPr>
                  <w:rFonts w:ascii="Verdana" w:hAnsi="Verdana"/>
                  <w:sz w:val="20"/>
                </w:rPr>
              </w:pPr>
              <w:sdt>
                <w:sdtPr>
                  <w:alias w:val="Numeris"/>
                  <w:tag w:val="nr_2276de8c73bf48ea9fdfcb4cd26b3d0f"/>
                  <w:lock w:val="sdtLocked"/>
                  <w:richText/>
                </w:sdtPr>
                <w:sdtContent>
                  <w:r>
                    <w:rPr>
                      <w:rFonts w:ascii="Verdana" w:hAnsi="Verdana"/>
                      <w:sz w:val="20"/>
                    </w:rPr>
                    <w:t>3</w:t>
                  </w:r>
                </w:sdtContent>
              </w:sdt>
              <w:r>
                <w:rPr>
                  <w:rFonts w:ascii="Verdana" w:hAnsi="Verdana"/>
                  <w:sz w:val="20"/>
                </w:rPr>
                <w:t>.</w:t>
                <w:tab/>
              </w:r>
              <w:r>
                <w:rPr>
                  <w:rFonts w:ascii="Verdana" w:hAnsi="Verdana" w:cs="Calibri"/>
                  <w:bCs/>
                  <w:sz w:val="20"/>
                </w:rPr>
                <w:t xml:space="preserve">Lietuvos banko valdybos 2017 m. rugsėjo 12 d. nutarimo Nr. 03-138 „Dėl Pranešimo apie Lietuvos banko prižiūrimų finansų rinkos dalyvių kvalifikuotosios įstatinio kapitalo ir (arba) balsavimo teisių dalies įsigijimą ir perleidimą teikimo taisyklių patvirtinimo“ </w:t>
              </w:r>
              <w:r>
                <w:rPr>
                  <w:rFonts w:ascii="Verdana" w:hAnsi="Verdana"/>
                  <w:sz w:val="20"/>
                </w:rPr>
                <w:t>pakeitimo projekto lyginamasis variantas, 5 lapai;</w:t>
              </w:r>
            </w:p>
          </w:sdtContent>
        </w:sdt>
        <w:sdt>
          <w:sdtPr>
            <w:alias w:val="4 p."/>
            <w:tag w:val="part_157945667a624878b3c752bb6092a892"/>
            <w:lock w:val="sdtLocked"/>
            <w:richText/>
          </w:sdtPr>
          <w:sdtContent>
            <w:p w14:paraId="1821DE97" w14:textId="0E2F70F5">
              <w:pPr>
                <w:widowControl w:val="0"/>
                <w:tabs>
                  <w:tab w:val="left" w:pos="1134"/>
                </w:tabs>
                <w:ind w:firstLine="709"/>
                <w:jc w:val="both"/>
                <w:rPr>
                  <w:rFonts w:ascii="Verdana" w:hAnsi="Verdana"/>
                  <w:sz w:val="20"/>
                </w:rPr>
              </w:pPr>
              <w:sdt>
                <w:sdtPr>
                  <w:alias w:val="Numeris"/>
                  <w:tag w:val="nr_157945667a624878b3c752bb6092a892"/>
                  <w:lock w:val="sdtLocked"/>
                  <w:richText/>
                </w:sdtPr>
                <w:sdtContent>
                  <w:r>
                    <w:rPr>
                      <w:rFonts w:ascii="Verdana" w:hAnsi="Verdana"/>
                      <w:sz w:val="20"/>
                    </w:rPr>
                    <w:t>4</w:t>
                  </w:r>
                </w:sdtContent>
              </w:sdt>
              <w:r>
                <w:rPr>
                  <w:rFonts w:ascii="Verdana" w:hAnsi="Verdana"/>
                  <w:sz w:val="20"/>
                </w:rPr>
                <w:t>.</w:t>
                <w:tab/>
                <w:t>Lietuvos banko valdybos 2013 m. lapkričio 14 d. nutarimo Nr. 03-181 „Dėl Lietuvos banko prižiūrimų finansų rinkos dalyvių vadovų ir pagrindines funkcijas atliekančių asmenų vertinimo nuostatų patvirtinimo“ pakeitimo projektas, 3 lapai;</w:t>
              </w:r>
            </w:p>
          </w:sdtContent>
        </w:sdt>
        <w:sdt>
          <w:sdtPr>
            <w:alias w:val="5 p."/>
            <w:tag w:val="part_63340be36eb04c5388b3f4df45added7"/>
            <w:lock w:val="sdtLocked"/>
            <w:richText/>
          </w:sdtPr>
          <w:sdtContent>
            <w:p w14:paraId="0905E2C2" w14:textId="741E4DB5">
              <w:pPr>
                <w:widowControl w:val="0"/>
                <w:tabs>
                  <w:tab w:val="left" w:pos="1134"/>
                </w:tabs>
                <w:ind w:firstLine="709"/>
                <w:jc w:val="both"/>
                <w:rPr>
                  <w:rFonts w:ascii="Verdana" w:hAnsi="Verdana"/>
                  <w:sz w:val="20"/>
                </w:rPr>
              </w:pPr>
              <w:sdt>
                <w:sdtPr>
                  <w:alias w:val="Numeris"/>
                  <w:tag w:val="nr_63340be36eb04c5388b3f4df45added7"/>
                  <w:lock w:val="sdtLocked"/>
                  <w:richText/>
                </w:sdtPr>
                <w:sdtContent>
                  <w:r>
                    <w:rPr>
                      <w:rFonts w:ascii="Verdana" w:hAnsi="Verdana"/>
                      <w:sz w:val="20"/>
                    </w:rPr>
                    <w:t>5</w:t>
                  </w:r>
                </w:sdtContent>
              </w:sdt>
              <w:r>
                <w:rPr>
                  <w:rFonts w:ascii="Verdana" w:hAnsi="Verdana"/>
                  <w:sz w:val="20"/>
                </w:rPr>
                <w:t>.</w:t>
                <w:tab/>
                <w:t>Lietuvos banko valdybos 2013 m. lapkričio 14 d. nutarimo Nr. 03-181 „Dėl Lietuvos banko prižiūrimų finansų rinkos dalyvių vadovų ir pagrindines funkcijas atliekančių asmenų vertinimo nuostatų patvirtinimo“ pakeitimo projekto lyginamasis variantas, 3 lapai.</w:t>
              </w:r>
            </w:p>
            <w:p w14:paraId="0844BDE4" w14:textId="77777777">
              <w:pPr>
                <w:widowControl w:val="0"/>
                <w:ind w:firstLine="709"/>
                <w:jc w:val="both"/>
                <w:rPr>
                  <w:rFonts w:ascii="Verdana" w:hAnsi="Verdana"/>
                  <w:sz w:val="20"/>
                  <w:highlight w:val="yellow"/>
                </w:rPr>
              </w:pPr>
            </w:p>
            <w:p w14:paraId="50358E32" w14:textId="77777777">
              <w:pPr>
                <w:widowControl w:val="0"/>
                <w:ind w:left="1069"/>
                <w:jc w:val="both"/>
                <w:rPr>
                  <w:rFonts w:ascii="Verdana" w:hAnsi="Verdana"/>
                  <w:sz w:val="20"/>
                </w:rPr>
              </w:pPr>
            </w:p>
            <w:tbl>
              <w:tblPr>
                <w:tblW w:w="9639" w:type="dxa"/>
                <w:tblInd w:w="108" w:type="dxa"/>
                <w:tblLayout w:type="fixed"/>
                <w:tblLook w:val="0000" w:firstRow="0" w:lastRow="0" w:firstColumn="0" w:lastColumn="0" w:noHBand="0" w:noVBand="0"/>
              </w:tblPr>
              <w:tblGrid>
                <w:gridCol w:w="4763"/>
                <w:gridCol w:w="4876"/>
              </w:tblGrid>
              <w:tr w14:paraId="498D4157" w14:textId="77777777">
                <w:tc>
                  <w:tcPr>
                    <w:tcW w:w="4763" w:type="dxa"/>
                  </w:tcPr>
                  <w:p w14:paraId="444E320D" w14:textId="77777777">
                    <w:pPr>
                      <w:widowControl w:val="0"/>
                      <w:ind w:firstLine="288"/>
                      <w:rPr>
                        <w:rFonts w:ascii="Verdana" w:hAnsi="Verdana"/>
                        <w:sz w:val="20"/>
                      </w:rPr>
                    </w:pPr>
                  </w:p>
                </w:tc>
                <w:tc>
                  <w:tcPr>
                    <w:tcW w:w="4876" w:type="dxa"/>
                  </w:tcPr>
                  <w:p w14:paraId="06E2E58F" w14:textId="77777777">
                    <w:pPr>
                      <w:keepNext/>
                      <w:widowControl w:val="0"/>
                      <w:ind w:firstLine="288"/>
                      <w:jc w:val="right"/>
                      <w:outlineLvl w:val="2"/>
                      <w:rPr>
                        <w:rFonts w:ascii="Verdana" w:hAnsi="Verdana"/>
                        <w:sz w:val="20"/>
                      </w:rPr>
                    </w:pPr>
                  </w:p>
                </w:tc>
              </w:tr>
            </w:tbl>
            <w:p w14:paraId="4B108EC1" w14:textId="77777777">
              <w:pPr>
                <w:widowControl w:val="0"/>
                <w:rPr>
                  <w:rFonts w:ascii="Verdana" w:hAnsi="Verdana"/>
                  <w:sz w:val="20"/>
                </w:rPr>
              </w:pPr>
            </w:p>
            <w:p w14:paraId="753C8F1F" w14:textId="736AD1D4">
              <w:pPr>
                <w:widowControl w:val="0"/>
                <w:rPr>
                  <w:rFonts w:ascii="Verdana" w:hAnsi="Verdana"/>
                  <w:sz w:val="20"/>
                </w:rPr>
              </w:pPr>
            </w:p>
            <w:p w14:paraId="6400A64D" w14:textId="77777777">
              <w:pPr>
                <w:widowControl w:val="0"/>
                <w:rPr>
                  <w:rFonts w:ascii="Verdana" w:hAnsi="Verdana"/>
                  <w:sz w:val="20"/>
                </w:rPr>
              </w:pPr>
            </w:p>
            <w:p w14:paraId="3FF6F447" w14:textId="77777777">
              <w:pPr>
                <w:widowControl w:val="0"/>
                <w:rPr>
                  <w:rFonts w:ascii="Verdana" w:hAnsi="Verdana"/>
                  <w:sz w:val="20"/>
                </w:rPr>
              </w:pPr>
            </w:p>
            <w:p w14:paraId="03DDF134" w14:textId="77777777">
              <w:pPr>
                <w:widowControl w:val="0"/>
                <w:rPr>
                  <w:rFonts w:ascii="Verdana" w:hAnsi="Verdana"/>
                  <w:sz w:val="20"/>
                </w:rPr>
              </w:pPr>
            </w:p>
            <w:p w14:paraId="2F4D7607" w14:textId="77777777">
              <w:pPr>
                <w:widowControl w:val="0"/>
                <w:rPr>
                  <w:rFonts w:ascii="Verdana" w:hAnsi="Verdana"/>
                  <w:sz w:val="20"/>
                </w:rPr>
              </w:pPr>
            </w:p>
            <w:p w14:paraId="2EA0815F" w14:textId="77777777">
              <w:pPr>
                <w:widowControl w:val="0"/>
                <w:rPr>
                  <w:rFonts w:ascii="Verdana" w:hAnsi="Verdana"/>
                  <w:sz w:val="20"/>
                </w:rPr>
              </w:pPr>
            </w:p>
            <w:p w14:paraId="677E9F96" w14:textId="77777777">
              <w:pPr>
                <w:widowControl w:val="0"/>
                <w:rPr>
                  <w:rFonts w:ascii="Verdana" w:hAnsi="Verdana"/>
                  <w:sz w:val="20"/>
                </w:rPr>
              </w:pPr>
            </w:p>
            <w:p w14:paraId="15F560D8" w14:textId="77777777">
              <w:pPr>
                <w:widowControl w:val="0"/>
                <w:rPr>
                  <w:rFonts w:ascii="Verdana" w:hAnsi="Verdana"/>
                  <w:sz w:val="20"/>
                </w:rPr>
              </w:pPr>
            </w:p>
            <w:p w14:paraId="30C12109" w14:textId="77777777">
              <w:pPr>
                <w:widowControl w:val="0"/>
                <w:rPr>
                  <w:rFonts w:ascii="Verdana" w:hAnsi="Verdana"/>
                  <w:sz w:val="20"/>
                </w:rPr>
              </w:pPr>
            </w:p>
            <w:p w14:paraId="0510D344" w14:textId="77777777">
              <w:pPr>
                <w:widowControl w:val="0"/>
                <w:rPr>
                  <w:rFonts w:ascii="Verdana" w:hAnsi="Verdana"/>
                  <w:sz w:val="20"/>
                </w:rPr>
              </w:pPr>
            </w:p>
            <w:p w14:paraId="2ABABB13" w14:textId="77777777">
              <w:pPr>
                <w:widowControl w:val="0"/>
                <w:rPr>
                  <w:rFonts w:ascii="Verdana" w:hAnsi="Verdana"/>
                  <w:sz w:val="20"/>
                </w:rPr>
              </w:pPr>
            </w:p>
            <w:p w14:paraId="3056DA52" w14:textId="77777777">
              <w:pPr>
                <w:widowControl w:val="0"/>
                <w:rPr>
                  <w:rFonts w:ascii="Verdana" w:hAnsi="Verdana"/>
                  <w:sz w:val="20"/>
                </w:rPr>
              </w:pPr>
            </w:p>
            <w:p w14:paraId="647CB71C" w14:textId="77777777">
              <w:pPr>
                <w:widowControl w:val="0"/>
                <w:rPr>
                  <w:rFonts w:ascii="Verdana" w:hAnsi="Verdana"/>
                  <w:sz w:val="20"/>
                </w:rPr>
              </w:pPr>
            </w:p>
            <w:p w14:paraId="7EF2975F" w14:textId="77777777">
              <w:pPr>
                <w:widowControl w:val="0"/>
                <w:rPr>
                  <w:rFonts w:ascii="Verdana" w:hAnsi="Verdana"/>
                  <w:sz w:val="20"/>
                </w:rPr>
              </w:pPr>
            </w:p>
            <w:p w14:paraId="524E83E1" w14:textId="77777777">
              <w:pPr>
                <w:widowControl w:val="0"/>
                <w:rPr>
                  <w:rFonts w:ascii="Verdana" w:hAnsi="Verdana"/>
                  <w:sz w:val="20"/>
                </w:rPr>
              </w:pPr>
            </w:p>
            <w:p w14:paraId="3AB5877F" w14:textId="77777777">
              <w:pPr>
                <w:widowControl w:val="0"/>
                <w:rPr>
                  <w:rFonts w:ascii="Verdana" w:hAnsi="Verdana"/>
                  <w:sz w:val="20"/>
                </w:rPr>
              </w:pPr>
            </w:p>
            <w:p w14:paraId="043D0894" w14:textId="77777777">
              <w:pPr>
                <w:widowControl w:val="0"/>
                <w:rPr>
                  <w:rFonts w:ascii="Verdana" w:hAnsi="Verdana"/>
                  <w:sz w:val="20"/>
                </w:rPr>
              </w:pPr>
            </w:p>
            <w:p w14:paraId="7EBEC3E8" w14:textId="77777777">
              <w:pPr>
                <w:widowControl w:val="0"/>
                <w:rPr>
                  <w:rFonts w:ascii="Verdana" w:hAnsi="Verdana"/>
                  <w:sz w:val="20"/>
                </w:rPr>
              </w:pPr>
            </w:p>
            <w:p w14:paraId="6AB7058D" w14:textId="77777777">
              <w:pPr>
                <w:widowControl w:val="0"/>
                <w:rPr>
                  <w:rFonts w:ascii="Verdana" w:hAnsi="Verdana"/>
                  <w:sz w:val="20"/>
                </w:rPr>
              </w:pPr>
            </w:p>
            <w:p w14:paraId="28492E3E" w14:textId="77777777">
              <w:pPr>
                <w:widowControl w:val="0"/>
                <w:rPr>
                  <w:rFonts w:ascii="Verdana" w:hAnsi="Verdana"/>
                  <w:sz w:val="20"/>
                </w:rPr>
              </w:pPr>
            </w:p>
            <w:p w14:paraId="3073F250" w14:textId="77777777">
              <w:pPr>
                <w:widowControl w:val="0"/>
                <w:rPr>
                  <w:rFonts w:ascii="Verdana" w:hAnsi="Verdana"/>
                  <w:sz w:val="20"/>
                </w:rPr>
              </w:pPr>
            </w:p>
            <w:p w14:paraId="510BE4DF" w14:textId="77777777">
              <w:pPr>
                <w:widowControl w:val="0"/>
                <w:rPr>
                  <w:rFonts w:ascii="Verdana" w:hAnsi="Verdana"/>
                  <w:sz w:val="20"/>
                </w:rPr>
              </w:pPr>
            </w:p>
            <w:p w14:paraId="602E2450" w14:textId="77777777">
              <w:pPr>
                <w:widowControl w:val="0"/>
                <w:rPr>
                  <w:rFonts w:ascii="Verdana" w:hAnsi="Verdana"/>
                  <w:sz w:val="20"/>
                </w:rPr>
              </w:pPr>
            </w:p>
            <w:p w14:paraId="152621D1" w14:textId="77777777">
              <w:pPr>
                <w:widowControl w:val="0"/>
                <w:rPr>
                  <w:rFonts w:ascii="Verdana" w:hAnsi="Verdana"/>
                  <w:sz w:val="20"/>
                </w:rPr>
              </w:pPr>
            </w:p>
            <w:p w14:paraId="627882D9" w14:textId="77777777">
              <w:pPr>
                <w:widowControl w:val="0"/>
                <w:rPr>
                  <w:rFonts w:ascii="Verdana" w:hAnsi="Verdana"/>
                  <w:sz w:val="20"/>
                </w:rPr>
              </w:pPr>
            </w:p>
            <w:p w14:paraId="7FB1B32F" w14:textId="77777777">
              <w:pPr>
                <w:widowControl w:val="0"/>
                <w:rPr>
                  <w:rFonts w:ascii="Verdana" w:hAnsi="Verdana"/>
                  <w:sz w:val="20"/>
                </w:rPr>
              </w:pPr>
            </w:p>
            <w:p w14:paraId="6B40C474" w14:textId="77777777">
              <w:pPr>
                <w:widowControl w:val="0"/>
                <w:rPr>
                  <w:rFonts w:ascii="Verdana" w:hAnsi="Verdana"/>
                  <w:sz w:val="20"/>
                </w:rPr>
              </w:pPr>
            </w:p>
            <w:p w14:paraId="2F4BA115" w14:textId="77777777">
              <w:pPr>
                <w:widowControl w:val="0"/>
                <w:rPr>
                  <w:rFonts w:ascii="Verdana" w:hAnsi="Verdana"/>
                  <w:sz w:val="20"/>
                </w:rPr>
              </w:pPr>
            </w:p>
          </w:sdtContent>
        </w:sdt>
        <w:sdt>
          <w:sdtPr>
            <w:alias w:val="signatura"/>
            <w:tag w:val="part_a5fb820d3afc408fb85fa7d757821549"/>
            <w:lock w:val="sdtLocked"/>
            <w:richText/>
          </w:sdtPr>
          <w:sdtContent>
            <w:p w14:paraId="036F702F" w14:textId="6924EE02">
              <w:pPr>
                <w:widowControl w:val="0"/>
                <w:rPr>
                  <w:rFonts w:ascii="Verdana" w:hAnsi="Verdana"/>
                  <w:sz w:val="20"/>
                </w:rPr>
              </w:pPr>
              <w:r>
                <w:rPr>
                  <w:rFonts w:ascii="Verdana" w:hAnsi="Verdana"/>
                  <w:sz w:val="20"/>
                </w:rPr>
                <w:t xml:space="preserve">Tomas Remeikis, tel. +370 660 30081, el. p. </w:t>
              </w:r>
              <w:r>
                <w:rPr>
                  <w:rFonts w:ascii="Verdana" w:hAnsi="Verdana"/>
                  <w:color w:val="0000FF"/>
                  <w:sz w:val="20"/>
                  <w:u w:val="single"/>
                </w:rPr>
                <w:t>TRemeikis@lb.lt</w:t>
              </w:r>
            </w:p>
          </w:sdtContent>
        </w:sdt>
      </w:sdtContent>
    </w:sdt>
    <w:sectPr>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4" w:right="680" w:bottom="567" w:left="1701" w:header="567" w:footer="567" w:gutter="0"/>
      <w:cols w:space="1296"/>
      <w:titlePg/>
      <w:docGrid w:linePitch="272"/>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66B349" w14:textId="77777777">
      <w:pPr>
        <w:widowControl w:val="0"/>
        <w:rPr>
          <w:rFonts w:ascii="Verdana" w:hAnsi="Verdana"/>
          <w:sz w:val="20"/>
          <w:lang w:val="en-US"/>
        </w:rPr>
      </w:pPr>
      <w:r>
        <w:rPr>
          <w:rFonts w:ascii="Verdana" w:hAnsi="Verdana"/>
          <w:sz w:val="20"/>
          <w:lang w:val="en-US"/>
        </w:rPr>
        <w:separator/>
      </w:r>
    </w:p>
  </w:endnote>
  <w:endnote w:type="continuationSeparator" w:id="0">
    <w:p w14:paraId="243799A1" w14:textId="77777777">
      <w:pPr>
        <w:widowControl w:val="0"/>
        <w:rPr>
          <w:rFonts w:ascii="Verdana" w:hAnsi="Verdana"/>
          <w:sz w:val="20"/>
          <w:lang w:val="en-US"/>
        </w:rPr>
      </w:pPr>
      <w:r>
        <w:rPr>
          <w:rFonts w:ascii="Verdana" w:hAnsi="Verdana"/>
          <w:sz w:val="20"/>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95125" w14:textId="77777777">
    <w:pPr>
      <w:tabs>
        <w:tab w:val="center" w:pos="4153"/>
        <w:tab w:val="right" w:pos="8306"/>
      </w:tabs>
      <w:rPr>
        <w:rFonts w:ascii="Verdana" w:hAnsi="Verdana"/>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5F01E" w14:textId="77777777">
    <w:pPr>
      <w:tabs>
        <w:tab w:val="center" w:pos="4153"/>
        <w:tab w:val="right" w:pos="8306"/>
      </w:tabs>
      <w:rPr>
        <w:rFonts w:ascii="Verdana" w:hAnsi="Verdana"/>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5BF96A" w14:textId="77777777">
    <w:pPr>
      <w:widowControl w:val="0"/>
      <w:jc w:val="center"/>
      <w:rPr>
        <w:rFonts w:ascii="Verdana" w:hAnsi="Verdana"/>
        <w:sz w:val="16"/>
      </w:rPr>
    </w:pPr>
  </w:p>
  <w:p w14:paraId="5CD0C348" w14:textId="1E242995">
    <w:pPr>
      <w:widowControl w:val="0"/>
      <w:jc w:val="center"/>
      <w:rPr>
        <w:rFonts w:ascii="Verdana" w:hAnsi="Verdana"/>
        <w:sz w:val="16"/>
      </w:rPr>
    </w:pPr>
    <w:r>
      <w:rPr>
        <w:rFonts w:ascii="Verdana" w:hAnsi="Verdana"/>
        <w:sz w:val="20"/>
        <w:lang w:val="en-US"/>
      </w:rPr>
      <mc:AlternateContent>
        <mc:Choice Requires="wps">
          <w:drawing>
            <wp:anchor distT="0" distB="0" distL="114300" distR="114300" simplePos="0" relativeHeight="251657728" behindDoc="0" locked="0" layoutInCell="1" allowOverlap="1" wp14:anchorId="18F0AE92" wp14:editId="6465CF4F">
              <wp:simplePos x="0" y="0"/>
              <wp:positionH relativeFrom="column">
                <wp:posOffset>28575</wp:posOffset>
              </wp:positionH>
              <wp:positionV relativeFrom="paragraph">
                <wp:posOffset>-63500</wp:posOffset>
              </wp:positionV>
              <wp:extent cx="6217920" cy="0"/>
              <wp:effectExtent l="0" t="0" r="0" b="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7920" cy="0"/>
                      </a:xfrm>
                      <a:prstGeom prst="line">
                        <a:avLst/>
                      </a:prstGeom>
                      <a:noFill/>
                      <a:ln w="9525">
                        <a:solidFill>
                          <a:srgbClr val="00B0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568B392" id="Line 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5pt" to="491.85pt,-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GRCWrswEAAEgDAAAOAAAAZHJzL2Uyb0RvYy54bWysU8tu2zAQvBfoPxC815IFJGkEywFqN72k rYGkH7DmQyJKcQkubcl/X5Kx3aC9Fb0QJHd3ODO7XD3Mo2VHFcig6/hyUXOmnEBpXN/xHy+PHz5y RhGcBItOdfykiD+s379bTb5VDQ5opQosgThqJ9/xIUbfVhWJQY1AC/TKpaDGMEJMx9BXMsCU0Edb NXV9W00YpA8oFFG63b4G+brga61E/K41qchsxxO3WNZQ1n1eq/UK2j6AH4w404B/YDGCcenRK9QW IrBDMH9BjUYEJNRxIXCsUGsjVNGQ1CzrP9Q8D+BV0ZLMIX+1if4frPh23LhdyNTF7J79E4qfxBxu BnC9KgReTj41bpmtqiZP7bUkH8jvAttPX1GmHDhELC7MOowZMuljczH7dDVbzZGJdHnbLO/um9QT cYlV0F4KfaD4ReHI8qbj1rjsA7RwfKKYiUB7ScnXDh+NtaWX1rGp4/c3zU0pILRG5mBOo9DvNzaw I+RpqD/Vd9uiKkXepgU8OFnABgXy83kfwdjXfXrcurMZWX8eNmr3KE+7cDEptauwPI9Wnoe351L9 +wOsfwEAAP//AwBQSwMEFAAGAAgAAAAhAEOa2N/eAAAACQEAAA8AAABkcnMvZG93bnJldi54bWxM j8FOwzAQRO9I/IO1SNxau4VCCXEqVIkDF0RDe+htG5skEK+j2K3Tv2eRkOC4M6PZN/lqdJ042SG0 njTMpgqEpcqblmoN2/fnyRJEiEgGO09Ww9kGWBWXFzlmxifa2FMZa8ElFDLU0MTYZ1KGqrEOw9T3 ltj78IPDyOdQSzNg4nLXyblSd9JhS/yhwd6uG1t9lUen4eVzW0bc78xcLVL9mt7OqXJrra+vxqdH ENGO8S8MP/iMDgUzHfyRTBCdhtsFBzVMZoonsf+wvLkHcfhVZJHL/wuKbwAAAP//AwBQSwECLQAU AAYACAAAACEAtoM4kv4AAADhAQAAEwAAAAAAAAAAAAAAAAAAAAAAW0NvbnRlbnRfVHlwZXNdLnht bFBLAQItABQABgAIAAAAIQA4/SH/1gAAAJQBAAALAAAAAAAAAAAAAAAAAC8BAABfcmVscy8ucmVs c1BLAQItABQABgAIAAAAIQBGRCWrswEAAEgDAAAOAAAAAAAAAAAAAAAAAC4CAABkcnMvZTJvRG9j LnhtbFBLAQItABQABgAIAAAAIQBDmtjf3gAAAAkBAAAPAAAAAAAAAAAAAAAAAA0EAABkcnMvZG93 bnJldi54bWxQSwUGAAAAAAQABADzAAAAGAUAAAAA " strokecolor="#00b07d"/>
          </w:pict>
        </mc:Fallback>
      </mc:AlternateContent>
    </w:r>
    <w:r>
      <w:rPr>
        <w:rFonts w:ascii="Verdana" w:hAnsi="Verdana"/>
        <w:sz w:val="16"/>
      </w:rPr>
      <w:t xml:space="preserve">Centrinis bankas, Gedimino pr. 6, LT-01103 Vilnius </w:t>
    </w:r>
  </w:p>
  <w:p w14:paraId="4FE08C14" w14:textId="77777777">
    <w:pPr>
      <w:widowControl w:val="0"/>
      <w:jc w:val="center"/>
      <w:rPr>
        <w:rFonts w:ascii="Verdana" w:hAnsi="Verdana"/>
        <w:sz w:val="16"/>
      </w:rPr>
    </w:pPr>
    <w:r>
      <w:rPr>
        <w:rFonts w:ascii="Verdana" w:hAnsi="Verdana"/>
        <w:sz w:val="16"/>
      </w:rPr>
      <w:t>Duomenys kaupiami ir saugomi Juridinių asmenų registre, kodas 188607684</w:t>
    </w:r>
  </w:p>
  <w:p w14:paraId="746ABCD2" w14:textId="6E9C940B">
    <w:pPr>
      <w:widowControl w:val="0"/>
      <w:jc w:val="center"/>
      <w:rPr>
        <w:rFonts w:ascii="Verdana" w:hAnsi="Verdana"/>
        <w:sz w:val="16"/>
      </w:rPr>
    </w:pPr>
    <w:r>
      <w:rPr>
        <w:rFonts w:ascii="Verdana" w:hAnsi="Verdana"/>
        <w:sz w:val="16"/>
      </w:rPr>
      <w:t xml:space="preserve">Adresas korespondencijai: Totorių g. 4, LT-01121 Vilnius, tel. +370 800 50 500, el. p. </w:t>
    </w:r>
    <w:r>
      <w:rPr>
        <w:rFonts w:ascii="Verdana" w:hAnsi="Verdana"/>
        <w:color w:val="0000FF"/>
        <w:sz w:val="16"/>
        <w:u w:val="single"/>
      </w:rPr>
      <w:t>prieziura@lb.lt</w:t>
    </w:r>
  </w:p>
  <w:p w14:paraId="3DDAB129" w14:textId="77777777">
    <w:pPr>
      <w:widowControl w:val="0"/>
      <w:jc w:val="center"/>
      <w:rPr>
        <w:rFonts w:ascii="Verdana" w:hAnsi="Verdana"/>
        <w:sz w:val="16"/>
        <w:szCs w:val="16"/>
      </w:rPr>
    </w:pPr>
    <w:r>
      <w:rPr>
        <w:rFonts w:ascii="Verdana" w:eastAsia="Calibri" w:hAnsi="Verdana"/>
        <w:sz w:val="16"/>
        <w:szCs w:val="16"/>
      </w:rPr>
      <w:t xml:space="preserve">Informacija apie asmens duomenų apsaugą pateikta </w:t>
    </w:r>
    <w:r>
      <w:rPr>
        <w:rFonts w:ascii="Verdana" w:eastAsia="Calibri" w:hAnsi="Verdana"/>
        <w:color w:val="0000FF"/>
        <w:sz w:val="16"/>
        <w:szCs w:val="16"/>
        <w:u w:val="single"/>
      </w:rPr>
      <w:t>https://www.lb.lt/lt/asmens-duomenu-apsauga</w:t>
    </w:r>
  </w:p>
  <w:p w14:paraId="09CB48E4" w14:textId="77777777">
    <w:pPr>
      <w:widowControl w:val="0"/>
      <w:tabs>
        <w:tab w:val="left" w:pos="3960"/>
      </w:tabs>
      <w:jc w:val="center"/>
      <w:rPr>
        <w:rFonts w:ascii="Verdana" w:hAnsi="Verdana"/>
        <w:sz w:val="16"/>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628C71" w14:textId="77777777">
      <w:pPr>
        <w:widowControl w:val="0"/>
        <w:rPr>
          <w:rFonts w:ascii="Verdana" w:hAnsi="Verdana"/>
          <w:sz w:val="20"/>
          <w:lang w:val="en-US"/>
        </w:rPr>
      </w:pPr>
      <w:r>
        <w:rPr>
          <w:rFonts w:ascii="Verdana" w:hAnsi="Verdana"/>
          <w:sz w:val="20"/>
          <w:lang w:val="en-US"/>
        </w:rPr>
        <w:separator/>
      </w:r>
    </w:p>
  </w:footnote>
  <w:footnote w:type="continuationSeparator" w:id="0">
    <w:p w14:paraId="457CF653" w14:textId="77777777">
      <w:pPr>
        <w:widowControl w:val="0"/>
        <w:rPr>
          <w:rFonts w:ascii="Verdana" w:hAnsi="Verdana"/>
          <w:sz w:val="20"/>
          <w:lang w:val="en-US"/>
        </w:rPr>
      </w:pPr>
      <w:r>
        <w:rPr>
          <w:rFonts w:ascii="Verdana" w:hAnsi="Verdana"/>
          <w:sz w:val="20"/>
          <w:lang w:val="en-US"/>
        </w:rPr>
        <w:continuationSeparator/>
      </w:r>
    </w:p>
  </w:footnote>
  <w:footnote w:id="1">
    <w:p w14:paraId="6A6811F4" w14:textId="77777777">
      <w:pPr>
        <w:widowControl w:val="0"/>
        <w:jc w:val="both"/>
        <w:rPr>
          <w:rFonts w:ascii="Verdana" w:hAnsi="Verdana"/>
          <w:sz w:val="16"/>
          <w:szCs w:val="16"/>
        </w:rPr>
      </w:pPr>
      <w:r>
        <w:rPr>
          <w:rFonts w:ascii="Verdana" w:hAnsi="Verdana"/>
          <w:sz w:val="16"/>
          <w:szCs w:val="16"/>
          <w:vertAlign w:val="superscript"/>
          <w:lang w:val="en-US"/>
        </w:rPr>
        <w:footnoteRef/>
      </w:r>
      <w:r>
        <w:rPr>
          <w:rFonts w:ascii="Verdana" w:hAnsi="Verdana"/>
          <w:sz w:val="16"/>
          <w:szCs w:val="16"/>
          <w:lang w:val="it-IT"/>
        </w:rPr>
        <w:t xml:space="preserve"> </w:t>
      </w:r>
      <w:r>
        <w:rPr>
          <w:rFonts w:ascii="Verdana" w:hAnsi="Verdana"/>
          <w:sz w:val="16"/>
          <w:szCs w:val="16"/>
        </w:rPr>
        <w:t xml:space="preserve">Žr. nuorodą: </w:t>
      </w:r>
      <w:r>
        <w:rPr>
          <w:rFonts w:ascii="Verdana" w:hAnsi="Verdana"/>
          <w:color w:val="0000FF"/>
          <w:sz w:val="16"/>
          <w:szCs w:val="16"/>
          <w:u w:val="single"/>
        </w:rPr>
        <w:t>https://www.esma.europa.eu/esmas-activities/digital-finance-and-innovation/markets-crypto-assets-regulation-mica</w:t>
      </w:r>
      <w:r>
        <w:rPr>
          <w:rFonts w:ascii="Verdana" w:hAnsi="Verdana"/>
          <w:sz w:val="16"/>
          <w:szCs w:val="16"/>
        </w:rPr>
        <w:t xml:space="preserve"> </w:t>
      </w:r>
    </w:p>
  </w:footnote>
  <w:footnote w:id="2">
    <w:p w14:paraId="2B50FB0C" w14:textId="0044804D">
      <w:pPr>
        <w:widowControl w:val="0"/>
        <w:jc w:val="both"/>
        <w:rPr>
          <w:rFonts w:ascii="Verdana" w:hAnsi="Verdana"/>
          <w:sz w:val="16"/>
          <w:szCs w:val="16"/>
        </w:rPr>
      </w:pPr>
      <w:r>
        <w:rPr>
          <w:rFonts w:ascii="Verdana" w:hAnsi="Verdana"/>
          <w:sz w:val="16"/>
          <w:szCs w:val="16"/>
          <w:vertAlign w:val="superscript"/>
          <w:lang w:val="en-US"/>
        </w:rPr>
        <w:footnoteRef/>
      </w:r>
      <w:r>
        <w:rPr>
          <w:rFonts w:ascii="Verdana" w:hAnsi="Verdana"/>
          <w:sz w:val="16"/>
          <w:szCs w:val="16"/>
        </w:rPr>
        <w:t xml:space="preserve"> Žr. nuorodą: </w:t>
      </w:r>
      <w:r>
        <w:rPr>
          <w:rFonts w:ascii="Verdana" w:hAnsi="Verdana"/>
          <w:color w:val="0000FF"/>
          <w:sz w:val="16"/>
          <w:szCs w:val="16"/>
          <w:u w:val="single"/>
        </w:rPr>
        <w:t>https://www.eba.europa.eu/activities/single-rulebook/regulatory-activities/asset-referenced-and-e-money-tokens-micar/joint-eba-and-esma-guidelines-suitability-assessment-members-management-body-issuers-arts-and-casps</w:t>
      </w:r>
      <w:r>
        <w:rPr>
          <w:rFonts w:ascii="Verdana" w:hAnsi="Verdana"/>
          <w:sz w:val="16"/>
          <w:szCs w:val="16"/>
        </w:rPr>
        <w:t xml:space="preserve"> </w:t>
      </w:r>
    </w:p>
  </w:footnote>
  <w:footnote w:id="3">
    <w:p w14:paraId="46C00232" w14:textId="31D74F20">
      <w:pPr>
        <w:widowControl w:val="0"/>
        <w:rPr>
          <w:rFonts w:ascii="Verdana" w:hAnsi="Verdana"/>
          <w:sz w:val="20"/>
        </w:rPr>
      </w:pPr>
      <w:r>
        <w:rPr>
          <w:rFonts w:ascii="Verdana" w:hAnsi="Verdana"/>
          <w:sz w:val="16"/>
          <w:szCs w:val="16"/>
          <w:vertAlign w:val="superscript"/>
          <w:lang w:val="en-US"/>
        </w:rPr>
        <w:footnoteRef/>
      </w:r>
      <w:r>
        <w:rPr>
          <w:rFonts w:ascii="Verdana" w:hAnsi="Verdana"/>
          <w:sz w:val="16"/>
          <w:szCs w:val="16"/>
        </w:rPr>
        <w:t xml:space="preserve"> Žr. nuorodą: </w:t>
      </w:r>
      <w:r>
        <w:rPr>
          <w:rFonts w:ascii="Verdana" w:hAnsi="Verdana"/>
          <w:color w:val="0000FF"/>
          <w:sz w:val="16"/>
          <w:szCs w:val="16"/>
          <w:u w:val="single"/>
        </w:rPr>
        <w:t>https://www.lb.lt/uploads/documents/files/2024%20m_%20teisėkūros%20darbų%20planas.pdf</w:t>
      </w:r>
      <w:r>
        <w:rPr>
          <w:rFonts w:ascii="Verdana" w:hAnsi="Verdana"/>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E99E4D" w14:textId="77777777">
    <w:pPr>
      <w:widowControl w:val="0"/>
      <w:tabs>
        <w:tab w:val="center" w:pos="4153"/>
        <w:tab w:val="right" w:pos="8306"/>
      </w:tabs>
      <w:rPr>
        <w:rFonts w:ascii="Verdana" w:hAnsi="Verdana"/>
        <w:sz w:val="20"/>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F552C" w14:textId="77777777">
    <w:pPr>
      <w:widowControl w:val="0"/>
      <w:tabs>
        <w:tab w:val="center" w:pos="4153"/>
        <w:tab w:val="right" w:pos="8306"/>
      </w:tabs>
      <w:rPr>
        <w:rFonts w:ascii="Verdana" w:hAnsi="Verdana"/>
        <w:sz w:val="20"/>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924B3" w14:textId="77777777">
    <w:pPr>
      <w:widowControl w:val="0"/>
      <w:tabs>
        <w:tab w:val="center" w:pos="4153"/>
        <w:tab w:val="right" w:pos="8306"/>
      </w:tabs>
      <w:rPr>
        <w:rFonts w:ascii="Verdana" w:hAnsi="Verdana"/>
        <w:sz w:val="20"/>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bordersDoNotSurroundHeader/>
  <w:bordersDoNotSurroundFooter/>
  <w:revisionView w:inkAnnotations="0"/>
  <w:defaultTabStop w:val="720"/>
  <w:hyphenationZone w:val="39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E5A7B8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84971ea512b74432b7f1f8a49bebd3f6" PartId="8e760e2e39ac4671b87dde827198e0a5"/>
  <Part Type="pastraipa" DocPartId="ae143383af364c109c46319e785ba95d" PartId="538ec2432c884515b153be458f93f11d"/>
  <Part Type="pastraipa" DocPartId="12fc0794a1d54308b56af2158eac9953" PartId="d813c80cc088468fb8f1018579a760ae"/>
  <Part Type="pastraipa" DocPartId="5b20983e366b4d04b063c555732f67c7" PartId="5f446b513b94428facedda1411cfc240"/>
  <Part Type="pastraipa" DocPartId="6332cd027eff4fc183fdb19fdbdd3f86" PartId="f125e30272204156a7feab07a6ac8f48"/>
  <Part Type="pastraipa" DocPartId="0558fd4edfe9451ab95dc7a68ecc5c09" PartId="3da77535b2d94f30ab115cd89bf01b50"/>
  <Part Type="pastraipa" DocPartId="1f50ed9cb2974b55825fc4bb2b932176" PartId="a1a6c8ba10ca4063acce730d4f1ec0d3"/>
  <Part Type="pastraipa" DocPartId="9a809f4cb98241d3a6331a0f5dedf178" PartId="e1f75d080fca4c40ab04e35fb91561b8"/>
  <Part Type="pastraipa" DocPartId="0b4ab74947244aa7b7c841eba3aa57cf" PartId="6cf0016c30bc40d09480da121e5e289f"/>
  <Part Type="pastraipa" DocPartId="e26b4d3ae64a46ddb4497f99a69a269d" PartId="7803c9417873407abd4163ec2b9d6386"/>
  <Part Type="pastraipa" DocPartId="f15d4fd56f5d4d5790e51f6a8a49d70b" PartId="a89a5eeadb6440f6aed4a06a50e2f11d">
    <Part Type="punktas" Nr="1" Abbr="1 p." DocPartId="dcf3c26d3ee3403794f4ec8046e4c992" PartId="3de0f00981a3498db5404f6d60711e9d"/>
    <Part Type="punktas" Nr="2" Abbr="2 p." DocPartId="c33764d7f0144e2fb59726645a48fb92" PartId="4a56ce07494d4d7c848587c935acc16e"/>
    <Part Type="punktas" Nr="3" Abbr="3 p." DocPartId="c3b27bcf460946bca376dbd9da4e38b3" PartId="2276de8c73bf48ea9fdfcb4cd26b3d0f"/>
    <Part Type="punktas" Nr="4" Abbr="4 p." DocPartId="3cf3b2e6a7d242088f81bfc617818ed4" PartId="157945667a624878b3c752bb6092a892"/>
    <Part Type="punktas" Nr="5" Abbr="5 p." DocPartId="974f9c903b2c40938e65a6417b2a7835" PartId="63340be36eb04c5388b3f4df45added7"/>
    <Part Type="signatura" DocPartId="56f891ce630e4e28b683cfe193766d40" PartId="a5fb820d3afc408fb85fa7d757821549"/>
  </Part>
</Parts>
</file>

<file path=customXml/itemProps1.xml><?xml version="1.0" encoding="utf-8"?>
<ds:datastoreItem xmlns:ds="http://schemas.openxmlformats.org/officeDocument/2006/customXml" ds:itemID="{B8CADF56-B1BC-45AD-9FAA-5C97B8CE7FCE}">
  <ds:schemaRefs>
    <ds:schemaRef ds:uri="http://schemas.openxmlformats.org/officeDocument/2006/bibliography"/>
  </ds:schemaRefs>
</ds:datastoreItem>
</file>

<file path=customXml/itemProps2.xml><?xml version="1.0" encoding="utf-8"?>
<ds:datastoreItem xmlns:ds="http://schemas.openxmlformats.org/officeDocument/2006/customXml" ds:itemID="{E85C2E68-3255-415F-BC1F-FAE920C4DC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585</Words>
  <Characters>4032</Characters>
  <Application>Microsoft Office Word</Application>
  <DocSecurity>4</DocSecurity>
  <Lines>118</Lines>
  <Paragraphs>26</Paragraphs>
  <ScaleCrop>false</ScaleCrop>
  <Company/>
  <LinksUpToDate>false</LinksUpToDate>
  <CharactersWithSpaces>4591</CharactersWithSpaces>
  <SharedDoc>false</SharedDoc>
  <HyperlinkBase/>
  <HLinks>
    <vt:vector size="6" baseType="variant">
      <vt:variant>
        <vt:i4>4391036</vt:i4>
      </vt:variant>
      <vt:variant>
        <vt:i4>0</vt:i4>
      </vt:variant>
      <vt:variant>
        <vt:i4>0</vt:i4>
      </vt:variant>
      <vt:variant>
        <vt:i4>5</vt:i4>
      </vt:variant>
      <vt:variant>
        <vt:lpwstr>mailto:ot@lb.lt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2024-09-20T11:49:00Z</dcterms:created>
  <dcterms:modified xsi:type="dcterms:W3CDTF">2024-09-20T11:49:00Z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5564178-1ca1-4992-b45e-fdaf9919e704_Enabled">
    <vt:lpwstr>true</vt:lpwstr>
  </property>
  <property fmtid="{D5CDD505-2E9C-101B-9397-08002B2CF9AE}" pid="3" name="MSIP_Label_e5564178-1ca1-4992-b45e-fdaf9919e704_SetDate">
    <vt:lpwstr>2024-09-20T04:09:40Z</vt:lpwstr>
  </property>
  <property fmtid="{D5CDD505-2E9C-101B-9397-08002B2CF9AE}" pid="4" name="MSIP_Label_e5564178-1ca1-4992-b45e-fdaf9919e704_Method">
    <vt:lpwstr>Privileged</vt:lpwstr>
  </property>
  <property fmtid="{D5CDD505-2E9C-101B-9397-08002B2CF9AE}" pid="5" name="MSIP_Label_e5564178-1ca1-4992-b45e-fdaf9919e704_Name">
    <vt:lpwstr>LB VIEŠA (ECB PUBLIC)</vt:lpwstr>
  </property>
  <property fmtid="{D5CDD505-2E9C-101B-9397-08002B2CF9AE}" pid="6" name="MSIP_Label_e5564178-1ca1-4992-b45e-fdaf9919e704_SiteId">
    <vt:lpwstr>5a40b399-6903-4594-ad73-dc4ed7ed91c0</vt:lpwstr>
  </property>
  <property fmtid="{D5CDD505-2E9C-101B-9397-08002B2CF9AE}" pid="7" name="MSIP_Label_e5564178-1ca1-4992-b45e-fdaf9919e704_ActionId">
    <vt:lpwstr>bcd8ebd9-2161-452d-aef2-b54137e7e9bc</vt:lpwstr>
  </property>
  <property fmtid="{D5CDD505-2E9C-101B-9397-08002B2CF9AE}" pid="8" name="MSIP_Label_e5564178-1ca1-4992-b45e-fdaf9919e704_ContentBits">
    <vt:lpwstr>0</vt:lpwstr>
  </property>
</Properties>
</file>