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0d5639778494c5baae4bb9797331112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spacing w:line="264" w:lineRule="atLeast"/>
            <w:ind w:left="6803" w:firstLine="312"/>
            <w:jc w:val="right"/>
            <w:textAlignment w:val="center"/>
            <w:rPr>
              <w:rFonts w:ascii="Calibri" w:hAnsi="Calibri"/>
              <w:color w:val="000000"/>
              <w:sz w:val="22"/>
              <w:szCs w:val="22"/>
              <w:lang w:val="en-US"/>
            </w:rPr>
          </w:pPr>
          <w:r>
            <w:rPr>
              <w:b/>
              <w:bCs/>
              <w:color w:val="000000"/>
              <w:szCs w:val="24"/>
            </w:rPr>
            <w:t>Projektas</w:t>
          </w:r>
        </w:p>
        <w:p>
          <w:pPr>
            <w:tabs>
              <w:tab w:val="center" w:pos="4513"/>
              <w:tab w:val="right" w:pos="9026"/>
            </w:tabs>
            <w:jc w:val="center"/>
            <w:rPr>
              <w:b/>
              <w:caps/>
              <w:szCs w:val="24"/>
              <w:lang w:eastAsia="lt-LT"/>
            </w:rPr>
          </w:pPr>
        </w:p>
        <w:p>
          <w:pPr>
            <w:tabs>
              <w:tab w:val="left" w:pos="709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LIETUVOS RESPUBLIKOS energetikos MINISTRAS</w:t>
          </w: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ENERGETIKOS MINISTRO 2014 M. GRUODŽIO 2 D. ĮSAKYMO NR. 1-298 „DĖL 2014–2020 M. EUROPOS SĄJUNGOS FONDŲ INVESTICIJŲ VEIKSMŲ PROGRAMOS PRIORITETŲ ĮGYVENDINIMO PRIEMONIŲ ĮGYVENDINIMO PLANO IR 2014-2020 METŲ EUROPOS SĄJUNGOS FONDŲ INVESTICIJŲ VEIKSMŲ PROGRAMOS NACIONALINIŲ STEBĖSENOS RODIKLIŲ</w:t>
          </w: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SKAIČIAVIMO APRAŠO PATVIRTINIMO“ PAKEITIMO</w:t>
          </w: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9639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2018 m.                                d. Nr.</w:t>
          </w: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9639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9639"/>
            </w:tabs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37c02956bb8425c9a5f3c5dec361cb0"/>
            <w:lock w:val="sdtLocked"/>
            <w:richText/>
          </w:sdtPr>
          <w:sdtContent>
            <w:p>
              <w:pPr>
                <w:tabs>
                  <w:tab w:val="left" w:pos="9639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2014–2020 metų Europos Sąjungos fondų investicijų veiksmų programos prioritetų įgyvendinimo priemonių įgyvendinimo planą, patvirtintą Lietuvos Respublikos energetikos ministro 2014 m. gruodžio 2 d. įsakymu Nr. 1-298 „Dėl 2014–2020 m. Europos Sąjungos fondų investicijų veiksmų programos prioritetų įgyvendinimo priemonių įgyvendinimo plano ir </w:t>
              </w:r>
              <w:r>
                <w:rPr>
                  <w:color w:val="000000"/>
                  <w:shd w:val="clear" w:color="auto" w:fill="FFFFFF"/>
                </w:rPr>
                <w:t>2014–2020 metų Europos Sąjungos fondų investicijų veiksmų programos nacionalinių stebėsenos rodiklių skaičiavimo aprašo pa</w:t>
              </w:r>
              <w:r>
                <w:rPr>
                  <w:szCs w:val="24"/>
                  <w:lang w:eastAsia="lt-LT"/>
                </w:rPr>
                <w:t>tvirtinimo“:</w:t>
              </w:r>
            </w:p>
          </w:sdtContent>
        </w:sdt>
        <w:sdt>
          <w:sdtPr>
            <w:alias w:val="1 p."/>
            <w:tag w:val="part_608fbf76949d4453a8da330a181c9e77"/>
            <w:lock w:val="sdtLocked"/>
            <w:richText/>
          </w:sdtPr>
          <w:sdtContent>
            <w:p>
              <w:pPr>
                <w:tabs>
                  <w:tab w:val="left" w:pos="9639"/>
                </w:tabs>
                <w:ind w:left="1069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08fbf76949d4453a8da330a181c9e7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Papildau</w:t>
              </w:r>
              <w:r>
                <w:rPr>
                  <w:rFonts w:cs="Arial"/>
                  <w:szCs w:val="24"/>
                  <w:lang w:eastAsia="lt-LT"/>
                </w:rPr>
                <w:t xml:space="preserve"> I skyrių vienuoliktuoju skirsniu:</w:t>
              </w:r>
            </w:p>
            <w:p>
              <w:pPr>
                <w:tabs>
                  <w:tab w:val="left" w:pos="0"/>
                  <w:tab w:val="left" w:pos="567"/>
                </w:tabs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202b07ab54aa40d1af1faeda05ee341a"/>
                <w:lock w:val="sdtLocked"/>
                <w:richText/>
              </w:sdtPr>
              <w:sdtContent>
                <w:sdt>
                  <w:sdtPr>
                    <w:alias w:val="skirsnis"/>
                    <w:tag w:val="part_b5bbc692c79c4ad2a2eb8ed6f002fff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0"/>
                          <w:tab w:val="left" w:pos="567"/>
                        </w:tabs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5bbc692c79c4ad2a2eb8ed6f002fff4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VIENUOLIKTASIS</w:t>
                          </w:r>
                        </w:sdtContent>
                      </w:sdt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SKIRSNIS </w:t>
                      </w:r>
                    </w:p>
                    <w:sdt>
                      <w:sdtPr>
                        <w:alias w:val="4.1.1 pp."/>
                        <w:tag w:val="part_2ce406d9197c42c9b79d3a4021d1bae2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567"/>
                            </w:tabs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ce406d9197c42c9b79d3a4021d1bae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04.1.1-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LVPA-V-114 PRIEMONĖ „</w:t>
                          </w:r>
                          <w:r>
                            <w:rPr>
                              <w:b/>
                              <w:bCs/>
                            </w:rPr>
                            <w:t>ELEKTROS ENERGIJOS IŠ ATSINAUJINANČIŲ IŠTEKLIŲ GAMYBOS ĮRENGINIŲ ĮRENGIMAS NAMŲ ŪKIUOSE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rPr>
                              <w:color w:val="000000"/>
                              <w:szCs w:val="24"/>
                            </w:rPr>
                          </w:pPr>
                        </w:p>
                        <w:p>
                          <w:pPr>
                            <w:tabs>
                              <w:tab w:val="left" w:pos="0"/>
                              <w:tab w:val="left" w:pos="567"/>
                            </w:tabs>
                            <w:jc w:val="center"/>
                            <w:rPr>
                              <w:b/>
                              <w:szCs w:val="24"/>
                              <w:lang w:val="en-US" w:eastAsia="lt-LT"/>
                            </w:rPr>
                          </w:pPr>
                        </w:p>
                      </w:sdtContent>
                    </w:sdt>
                    <w:sdt>
                      <w:sdtPr>
                        <w:alias w:val="1 p."/>
                        <w:tag w:val="part_21021246fd6f4fc2932de6d0b23e49e2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ind w:left="709" w:right="609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1021246fd6f4fc2932de6d0b23e49e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Priemonės aprašymas</w:t>
                          </w:r>
                        </w:p>
                        <w:tbl>
                          <w:tblPr>
                            <w:tblW w:w="5000" w:type="pct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nil"/>
                              <w:insideV w:val="nil"/>
                            </w:tblBorders>
                            <w:tblCellMar>
                              <w:left w:w="0" w:type="dxa"/>
                              <w:right w:w="72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715"/>
                          </w:tblGrid>
                          <w:tr>
                            <w:tc>
                              <w:tcPr>
                                <w:tcW w:w="5000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993"/>
                                    <w:tab w:val="left" w:pos="9639"/>
                                  </w:tabs>
                                  <w:ind w:left="1124" w:hanging="420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1.1.</w:t>
                                  <w:tab/>
                                  <w:t>Priemonės įgyvendinimas finansuojamas Sanglaudos fondo lėšomis.</w:t>
                                </w:r>
                              </w:p>
                              <w:p>
                                <w:pPr>
                                  <w:tabs>
                                    <w:tab w:val="left" w:pos="993"/>
                                    <w:tab w:val="left" w:pos="9639"/>
                                  </w:tabs>
                                  <w:ind w:left="1124" w:hanging="420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1.2.</w:t>
                                  <w:tab/>
                                  <w:t>Įgyvendinant priemonę prisidedama prie 2014–2020 metų Europos Sąjungos fondų investicijų veiksmų programos 4.1.1. konkretaus uždavinio „Padidinti atsinaujinančių išteklių energijos naudojimą“ įgyvendinimo.</w:t>
                                </w:r>
                              </w:p>
                              <w:p>
                                <w:pPr>
                                  <w:tabs>
                                    <w:tab w:val="left" w:pos="993"/>
                                    <w:tab w:val="left" w:pos="9639"/>
                                  </w:tabs>
                                  <w:ind w:left="1124" w:hanging="420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1.3.</w:t>
                                  <w:tab/>
                                  <w:t>Remiama veikla: mažos galios atsinaujinančių išteklių energiją naudojančių technologijų, skirtų pasigaminti elektros energiją namų ūkių reikmėms, įrengimas.</w:t>
                                </w:r>
                              </w:p>
                              <w:p>
                                <w:pPr>
                                  <w:tabs>
                                    <w:tab w:val="left" w:pos="1129"/>
                                    <w:tab w:val="left" w:pos="9639"/>
                                  </w:tabs>
                                  <w:ind w:left="1124" w:hanging="420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1.4.</w:t>
                                  <w:tab/>
                                  <w:t xml:space="preserve">Galimas pareiškėjas: </w:t>
                                </w:r>
                                <w:r>
                                  <w:rPr>
                                    <w:spacing w:val="-5"/>
                                  </w:rPr>
                                  <w:t xml:space="preserve">Lietuvos Respublikos aplinkos ministerijos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Aplinkos projektų valdymo agentūra.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tabs>
                              <w:tab w:val="left" w:pos="9639"/>
                            </w:tabs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  <w:sdt>
                      <w:sdtPr>
                        <w:alias w:val="2 p."/>
                        <w:tag w:val="part_75ec4504766148f5850db1454864ea20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9639"/>
                            </w:tabs>
                            <w:ind w:left="1080" w:hanging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5ec4504766148f5850db1454864ea2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Priemonės finansavimo forma</w:t>
                          </w:r>
                        </w:p>
                        <w:tbl>
                          <w:tblPr>
                            <w:tblW w:w="5000" w:type="pct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nil"/>
                              <w:insideV w:val="nil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648"/>
                          </w:tblGrid>
                          <w:tr>
                            <w:tc>
                              <w:tcPr>
                                <w:tcW w:w="5000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562"/>
                                    <w:tab w:val="left" w:pos="9639"/>
                                  </w:tabs>
                                  <w:ind w:firstLine="709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Negrąžinamoji subsidija.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tabs>
                              <w:tab w:val="left" w:pos="9639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  <w:sdt>
                      <w:sdtPr>
                        <w:alias w:val="3 p."/>
                        <w:tag w:val="part_c44ee45e96dc41749cf8ff65070ad32c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9639"/>
                            </w:tabs>
                            <w:ind w:left="1080" w:hanging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44ee45e96dc41749cf8ff65070ad32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Projektų atrankos būdas</w:t>
                          </w:r>
                        </w:p>
                        <w:tbl>
                          <w:tblPr>
                            <w:tblW w:w="5000" w:type="pct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648"/>
                          </w:tblGrid>
                          <w:tr>
                            <w:tc>
                              <w:tcPr>
                                <w:tcW w:w="5000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567"/>
                                    <w:tab w:val="left" w:pos="9639"/>
                                  </w:tabs>
                                  <w:ind w:firstLine="709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Valstybės projektų planavimas.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tabs>
                              <w:tab w:val="left" w:pos="9639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  <w:sdt>
                      <w:sdtPr>
                        <w:alias w:val="4 p."/>
                        <w:tag w:val="part_1cbfb5f6963342c993cfab856500d43c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9639"/>
                            </w:tabs>
                            <w:ind w:left="1080" w:hanging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cbfb5f6963342c993cfab856500d43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Atsakinga įgyvendinančioji institucija</w:t>
                          </w:r>
                        </w:p>
                        <w:tbl>
                          <w:tblPr>
                            <w:tblW w:w="5000" w:type="pct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648"/>
                          </w:tblGrid>
                          <w:tr>
                            <w:tc>
                              <w:tcPr>
                                <w:tcW w:w="5000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567"/>
                                    <w:tab w:val="left" w:pos="9639"/>
                                  </w:tabs>
                                  <w:ind w:firstLine="709"/>
                                  <w:jc w:val="both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Viešoji įstaiga Lietuvos verslo paramos agentūra.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tabs>
                              <w:tab w:val="left" w:pos="9639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  <w:sdt>
                      <w:sdtPr>
                        <w:alias w:val="5 p."/>
                        <w:tag w:val="part_28b611a9c03a43be99bbfd86420f357c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1134"/>
                              <w:tab w:val="left" w:pos="9639"/>
                            </w:tabs>
                            <w:ind w:left="142"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8b611a9c03a43be99bbfd86420f357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Reikalavimai, taikomi priemonei atskirti nuo kitų iš Europos Sąjungos (toliau – ES) bei kitos tarptautinės finansinės paramos finansuojamų programų priemonių</w:t>
                          </w:r>
                        </w:p>
                        <w:tbl>
                          <w:tblPr>
                            <w:tblW w:w="5000" w:type="pct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648"/>
                          </w:tblGrid>
                          <w:tr>
                            <w:tc>
                              <w:tcPr>
                                <w:tcW w:w="5000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567"/>
                                    <w:tab w:val="left" w:pos="9639"/>
                                  </w:tabs>
                                  <w:ind w:firstLine="709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</w:rPr>
                                  <w:t>P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apildomi reikalavimai netaikomi.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br/>
                          </w:r>
                        </w:p>
                      </w:sdtContent>
                    </w:sdt>
                    <w:sdt>
                      <w:sdtPr>
                        <w:alias w:val="6 p."/>
                        <w:tag w:val="part_9bcf715e8c3b458096bae9d39030acf6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9639"/>
                            </w:tabs>
                            <w:ind w:left="1080" w:hanging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bcf715e8c3b458096bae9d39030acf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Priemonės įgyvendinimo stebėsenos rodikliai</w:t>
                          </w:r>
                        </w:p>
                        <w:tbl>
                          <w:tblPr>
                            <w:tblW w:w="5000" w:type="pct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1452"/>
                            <w:gridCol w:w="2626"/>
                            <w:gridCol w:w="1364"/>
                            <w:gridCol w:w="2099"/>
                            <w:gridCol w:w="2107"/>
                          </w:tblGrid>
                          <w:tr>
                            <w:tc>
                              <w:tcPr>
                                <w:tcW w:w="752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284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Stebėsenos rodiklio kodas</w:t>
                                </w:r>
                              </w:p>
                            </w:tc>
                            <w:tc>
                              <w:tcPr>
                                <w:tcW w:w="1361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Stebėsenos rodiklio pavadinimas</w:t>
                                </w:r>
                              </w:p>
                            </w:tc>
                            <w:tc>
                              <w:tcPr>
                                <w:tcW w:w="707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Matavimo vienetas</w:t>
                                </w:r>
                              </w:p>
                            </w:tc>
                            <w:tc>
                              <w:tcPr>
                                <w:tcW w:w="1088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Tarpinė reikšmė 2018 m. gruodžio 31 d.</w:t>
                                </w:r>
                              </w:p>
                            </w:tc>
                            <w:tc>
                              <w:tcPr>
                                <w:tcW w:w="1092" w:type="pc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Galutinė reikšmė 2023 m. gruodžio 31 d.</w:t>
                                </w:r>
                              </w:p>
                            </w:tc>
                          </w:tr>
                          <w:tr>
                            <w:tc>
                              <w:tcPr>
                                <w:tcW w:w="752" w:type="pct"/>
                              </w:tcPr>
                              <w:p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R.S.315</w:t>
                                </w:r>
                              </w:p>
                            </w:tc>
                            <w:tc>
                              <w:tcPr>
                                <w:tcW w:w="1361" w:type="pct"/>
                              </w:tcPr>
                              <w:p>
                                <w:pPr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„Atsinaujinančių išteklių energijos dalis galutiniame energijos balanse“</w:t>
                                </w:r>
                              </w:p>
                              <w:p>
                                <w:pPr>
                                  <w:rPr>
                                    <w:color w:val="000000"/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707" w:type="pct"/>
                                <w:vAlign w:val="center"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procentai</w:t>
                                </w:r>
                              </w:p>
                            </w:tc>
                            <w:tc>
                              <w:tcPr>
                                <w:tcW w:w="1088" w:type="pct"/>
                                <w:vAlign w:val="center"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21,72</w:t>
                                </w:r>
                              </w:p>
                            </w:tc>
                            <w:tc>
                              <w:tcPr>
                                <w:tcW w:w="1092" w:type="pct"/>
                                <w:vAlign w:val="center"/>
                              </w:tcPr>
                              <w:p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28</w:t>
                                </w:r>
                              </w:p>
                            </w:tc>
                          </w:tr>
                          <w:tr>
                            <w:tc>
                              <w:tcPr>
                                <w:tcW w:w="752" w:type="pct"/>
                                <w:hideMark/>
                              </w:tcPr>
                              <w:p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P.B.230 </w:t>
                                </w:r>
                              </w:p>
                              <w:p>
                                <w:pPr>
                                  <w:tabs>
                                    <w:tab w:val="left" w:pos="284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361" w:type="pct"/>
                                <w:hideMark/>
                              </w:tcPr>
                              <w:p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„Papildomi atsinaujinančių išteklių energijos gamybos pajėgumai“ </w:t>
                                </w:r>
                              </w:p>
                              <w:p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707" w:type="pct"/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MW</w:t>
                                </w:r>
                              </w:p>
                            </w:tc>
                            <w:tc>
                              <w:tcPr>
                                <w:tcW w:w="1088" w:type="pct"/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092" w:type="pct"/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35</w:t>
                                </w:r>
                              </w:p>
                            </w:tc>
                          </w:tr>
                          <w:tr>
                            <w:tc>
                              <w:tcPr>
                                <w:tcW w:w="752" w:type="pct"/>
                              </w:tcPr>
                              <w:p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P.B.234 </w:t>
                                </w:r>
                              </w:p>
                              <w:p>
                                <w:pPr>
                                  <w:tabs>
                                    <w:tab w:val="left" w:pos="284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361" w:type="pct"/>
                              </w:tcPr>
                              <w:p>
                                <w:pPr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„Bendras metinis šiltnamio efektą sukeliančių dujų sumažėjimas“</w:t>
                                </w:r>
                              </w:p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707" w:type="pct"/>
                                <w:vAlign w:val="center"/>
                              </w:tcPr>
                              <w:p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t CO2 ekvivalentu </w:t>
                                </w:r>
                              </w:p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88" w:type="pct"/>
                                <w:vAlign w:val="center"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092" w:type="pct"/>
                                <w:vAlign w:val="center"/>
                              </w:tcPr>
                              <w:p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21 000</w:t>
                                </w:r>
                              </w:p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</w:tbl>
                        <w:p>
                          <w:pPr>
                            <w:tabs>
                              <w:tab w:val="left" w:pos="0"/>
                              <w:tab w:val="left" w:pos="142"/>
                              <w:tab w:val="left" w:pos="7088"/>
                              <w:tab w:val="left" w:pos="8364"/>
                              <w:tab w:val="left" w:pos="9639"/>
                            </w:tabs>
                            <w:ind w:right="2664" w:firstLine="2400"/>
                            <w:jc w:val="right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  <w:sdt>
                      <w:sdtPr>
                        <w:alias w:val="7 p."/>
                        <w:tag w:val="part_674fab94c15c4d58ad24cbc5e3c76b06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142"/>
                              <w:tab w:val="left" w:pos="7088"/>
                              <w:tab w:val="left" w:pos="8364"/>
                              <w:tab w:val="left" w:pos="9639"/>
                            </w:tabs>
                            <w:ind w:right="2664" w:firstLine="709"/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74fab94c15c4d58ad24cbc5e3c76b0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Priemonės finansavimo šaltiniai</w:t>
                          </w:r>
                        </w:p>
                        <w:p>
                          <w:pPr>
                            <w:tabs>
                              <w:tab w:val="left" w:pos="4758"/>
                            </w:tabs>
                            <w:ind w:right="-108" w:firstLine="8505"/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  <w:t>(eurais)</w:t>
                          </w:r>
                        </w:p>
                        <w:tbl>
                          <w:tblPr>
                            <w:tblW w:w="9639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1547"/>
                            <w:gridCol w:w="1285"/>
                            <w:gridCol w:w="1377"/>
                            <w:gridCol w:w="1435"/>
                            <w:gridCol w:w="1446"/>
                            <w:gridCol w:w="1139"/>
                            <w:gridCol w:w="1410"/>
                          </w:tblGrid>
                          <w:tr>
                            <w:trPr>
                              <w:trHeight w:val="454"/>
                              <w:tblHeader/>
                            </w:trPr>
                            <w:tc>
                              <w:tcPr>
                                <w:tcW w:w="2830" w:type="dxa"/>
                                <w:gridSpan w:val="2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142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Projektams skiriamas finansavimas</w:t>
                                </w:r>
                              </w:p>
                            </w:tc>
                            <w:tc>
                              <w:tcPr>
                                <w:tcW w:w="6798" w:type="dxa"/>
                                <w:gridSpan w:val="5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142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Kiti projektų finansavimo šaltiniai</w:t>
                                </w:r>
                              </w:p>
                            </w:tc>
                          </w:tr>
                          <w:tr>
                            <w:trPr>
                              <w:trHeight w:val="454"/>
                              <w:tblHeader/>
                            </w:trPr>
                            <w:tc>
                              <w:tcPr>
                                <w:tcW w:w="1546" w:type="dxa"/>
                                <w:vMerge w:val="restar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ES struktūrinių fondų</w:t>
                                </w:r>
                              </w:p>
                              <w:p>
                                <w:pPr>
                                  <w:tabs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lėšos – iki</w:t>
                                </w:r>
                              </w:p>
                            </w:tc>
                            <w:tc>
                              <w:tcPr>
                                <w:tcW w:w="8082" w:type="dxa"/>
                                <w:gridSpan w:val="6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142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Nacionalinės lėšos</w:t>
                                </w:r>
                              </w:p>
                            </w:tc>
                          </w:tr>
                          <w:tr>
                            <w:trPr>
                              <w:cantSplit/>
                              <w:trHeight w:val="1020"/>
                              <w:tblHeader/>
                            </w:trPr>
                            <w:tc>
                              <w:tcPr>
                                <w:tcW w:w="1546" w:type="dxa"/>
                                <w:vMerge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9639"/>
                                  </w:tabs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284" w:type="dxa"/>
                                <w:vMerge w:val="restart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Lietuvos Respublikos valstybės biudžeto lėšos – iki</w:t>
                                </w:r>
                              </w:p>
                            </w:tc>
                            <w:tc>
                              <w:tcPr>
                                <w:tcW w:w="6798" w:type="dxa"/>
                                <w:gridSpan w:val="5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Projektų vykdytojų lėšos</w:t>
                                </w:r>
                              </w:p>
                            </w:tc>
                          </w:tr>
                          <w:tr>
                            <w:trPr>
                              <w:cantSplit/>
                              <w:trHeight w:val="1020"/>
                              <w:tblHeader/>
                            </w:trPr>
                            <w:tc>
                              <w:tcPr>
                                <w:tcW w:w="1546" w:type="dxa"/>
                                <w:vMerge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9639"/>
                                  </w:tabs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284" w:type="dxa"/>
                                <w:vMerge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9639"/>
                                  </w:tabs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375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Iš viso – ne mažiau kaip</w:t>
                                </w:r>
                              </w:p>
                            </w:tc>
                            <w:tc>
                              <w:tcPr>
                                <w:tcW w:w="1433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Lietuvos Respublikos valstybės biudžeto lėšos</w:t>
                                </w:r>
                              </w:p>
                            </w:tc>
                            <w:tc>
                              <w:tcPr>
                                <w:tcW w:w="144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Savivaldybės biudžeto lėšos</w:t>
                                </w:r>
                              </w:p>
                            </w:tc>
                            <w:tc>
                              <w:tcPr>
                                <w:tcW w:w="113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Kitos viešosios lėšos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Privačios lėšos</w:t>
                                </w:r>
                              </w:p>
                            </w:tc>
                          </w:tr>
                          <w:tr>
                            <w:trPr>
                              <w:trHeight w:val="249"/>
                              <w:tblHeader/>
                            </w:trPr>
                            <w:tc>
                              <w:tcPr>
                                <w:tcW w:w="9628" w:type="dxa"/>
                                <w:gridSpan w:val="7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1. Priemonės finansavimo šaltiniai, neįskaitant veiklos lėšų rezervo ir jam finansuoti skiriamų lėšų</w:t>
                                </w:r>
                              </w:p>
                            </w:tc>
                          </w:tr>
                          <w:tr>
                            <w:trPr>
                              <w:trHeight w:val="249"/>
                              <w:tblHeader/>
                            </w:trPr>
                            <w:tc>
                              <w:tcPr>
                                <w:tcW w:w="1546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15 000 000</w:t>
                                </w:r>
                              </w:p>
                            </w:tc>
                            <w:tc>
                              <w:tcPr>
                                <w:tcW w:w="128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375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33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4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13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</w:tr>
                          <w:tr>
                            <w:trPr>
                              <w:trHeight w:val="249"/>
                              <w:tblHeader/>
                            </w:trPr>
                            <w:tc>
                              <w:tcPr>
                                <w:tcW w:w="9628" w:type="dxa"/>
                                <w:gridSpan w:val="7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2. Veiklos lėšų rezervas ir jam finansuoti skiriamos nacionalinės lėšos</w:t>
                                </w:r>
                              </w:p>
                            </w:tc>
                          </w:tr>
                          <w:tr>
                            <w:trPr>
                              <w:trHeight w:val="249"/>
                              <w:tblHeader/>
                            </w:trPr>
                            <w:tc>
                              <w:tcPr>
                                <w:tcW w:w="1546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2 000 000</w:t>
                                </w:r>
                              </w:p>
                            </w:tc>
                            <w:tc>
                              <w:tcPr>
                                <w:tcW w:w="128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375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33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4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13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</w:tr>
                          <w:tr>
                            <w:trPr>
                              <w:trHeight w:val="249"/>
                              <w:tblHeader/>
                            </w:trPr>
                            <w:tc>
                              <w:tcPr>
                                <w:tcW w:w="9628" w:type="dxa"/>
                                <w:gridSpan w:val="7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3. Iš viso </w:t>
                                </w:r>
                              </w:p>
                            </w:tc>
                          </w:tr>
                          <w:tr>
                            <w:trPr>
                              <w:trHeight w:val="249"/>
                              <w:tblHeader/>
                            </w:trPr>
                            <w:tc>
                              <w:tcPr>
                                <w:tcW w:w="1546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17 000 000</w:t>
                                </w:r>
                              </w:p>
                            </w:tc>
                            <w:tc>
                              <w:tcPr>
                                <w:tcW w:w="128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375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33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4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13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>
                                <w:pPr>
                                  <w:tabs>
                                    <w:tab w:val="left" w:pos="0"/>
                                    <w:tab w:val="left" w:pos="9639"/>
                                  </w:tabs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0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tabs>
                              <w:tab w:val="left" w:pos="1134"/>
                            </w:tabs>
                            <w:ind w:right="-1" w:firstLine="709"/>
                            <w:jc w:val="right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ccd3441cb594cbb9ff63b960410fd25"/>
            <w:lock w:val="sdtLocked"/>
            <w:richText/>
          </w:sdtPr>
          <w:sdtContent>
            <w:p>
              <w:pPr>
                <w:ind w:left="1069" w:hanging="360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6ccd3441cb594cbb9ff63b960410fd25"/>
                  <w:lock w:val="sdtLocked"/>
                  <w:richText/>
                </w:sdtPr>
                <w:sdtContent>
                  <w:r>
                    <w:rPr>
                      <w:szCs w:val="24"/>
                      <w:lang w:val="en-US" w:eastAsia="lt-LT"/>
                    </w:rPr>
                    <w:t>2</w:t>
                  </w:r>
                </w:sdtContent>
              </w:sdt>
              <w:r>
                <w:rPr>
                  <w:szCs w:val="24"/>
                  <w:lang w:val="en-US"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>Pakeičiu II skyriaus antrojo skirsnio 6 punktą ir jį išdėstau taip:</w:t>
              </w:r>
            </w:p>
            <w:sdt>
              <w:sdtPr>
                <w:alias w:val="citata"/>
                <w:tag w:val="part_cca0a25c93554a5f93deb5ad4ed1228e"/>
                <w:lock w:val="sdtLocked"/>
                <w:richText/>
              </w:sdtPr>
              <w:sdtContent>
                <w:sdt>
                  <w:sdtPr>
                    <w:alias w:val="6 p."/>
                    <w:tag w:val="part_6812e3d9b9f34a9eb04f2fcb292f8219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812e3d9b9f34a9eb04f2fcb292f821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Priemonės įgyvendinimo stebėsenos rodikliai</w:t>
                      </w:r>
                    </w:p>
                    <w:tbl>
                      <w:tblPr>
                        <w:tblW w:w="9645" w:type="dxa"/>
                        <w:tblInd w:w="-5" w:type="dxa"/>
                        <w:tbl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703"/>
                        <w:gridCol w:w="2128"/>
                        <w:gridCol w:w="1418"/>
                        <w:gridCol w:w="1986"/>
                        <w:gridCol w:w="2410"/>
                      </w:tblGrid>
                      <w:tr>
                        <w:tc>
                          <w:tcPr>
                            <w:tcW w:w="1703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Matavimo vienetas</w:t>
                            </w: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Tarpinė reikšmė 2018 m. gruodžio 31 d.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Galutinė reikšmė 2023 m. gruodžio 31 d.</w:t>
                            </w:r>
                          </w:p>
                        </w:tc>
                      </w:tr>
                      <w:tr>
                        <w:trPr>
                          <w:trHeight w:val="1412"/>
                        </w:trPr>
                        <w:tc>
                          <w:tcPr>
                            <w:tcW w:w="1703" w:type="dxa"/>
                            <w:tcBorders>
                              <w:top w:val="nil"/>
                              <w:left w:val="single" w:sz="8" w:space="0" w:color="auto"/>
                              <w:bottom w:val="single" w:sz="4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color w:val="000000"/>
                                <w:szCs w:val="24"/>
                                <w:lang w:eastAsia="lt-LT"/>
                              </w:rPr>
                              <w:t>R.S.345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pPr>
                              <w:tabs>
                                <w:tab w:val="left" w:pos="9639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„Herfindahl -</w:t>
                            </w:r>
                          </w:p>
                          <w:p>
                            <w:pPr>
                              <w:tabs>
                                <w:tab w:val="left" w:pos="9639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Hirschman energijos </w:t>
                            </w:r>
                          </w:p>
                          <w:p>
                            <w:pPr>
                              <w:tabs>
                                <w:tab w:val="left" w:pos="9639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importo indeksas </w:t>
                            </w:r>
                          </w:p>
                          <w:p>
                            <w:pPr>
                              <w:tabs>
                                <w:tab w:val="left" w:pos="9639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Lietuvos gamtinių 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dujų rinkoje“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tabs>
                                <w:tab w:val="left" w:pos="9639"/>
                              </w:tabs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HHI</w:t>
                            </w:r>
                          </w:p>
                          <w:p>
                            <w:pPr>
                              <w:tabs>
                                <w:tab w:val="left" w:pos="9639"/>
                              </w:tabs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indeksas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t>5 000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3 333</w:t>
                            </w:r>
                          </w:p>
                        </w:tc>
                      </w:tr>
                      <w:tr>
                        <w:trPr>
                          <w:trHeight w:val="1702"/>
                        </w:trPr>
                        <w:tc>
                          <w:tcPr>
                            <w:tcW w:w="1703" w:type="dxa"/>
                            <w:tcBorders>
                              <w:top w:val="single" w:sz="4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color w:val="000000"/>
                                <w:szCs w:val="24"/>
                                <w:lang w:eastAsia="lt-LT"/>
                              </w:rPr>
                              <w:t>R.S.346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single" w:sz="4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ngsanaUPC"/>
                                <w:bCs/>
                                <w:szCs w:val="24"/>
                                <w:lang w:eastAsia="lt-LT"/>
                              </w:rPr>
                              <w:t>„N-1 kriterijaus įvykdymo gamtinių dujų sektoriuje lygis“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procentai</w:t>
                            </w: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single" w:sz="4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106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186</w:t>
                            </w:r>
                          </w:p>
                        </w:tc>
                      </w:tr>
                      <w:tr>
                        <w:trPr>
                          <w:trHeight w:val="1702"/>
                        </w:trPr>
                        <w:tc>
                          <w:tcPr>
                            <w:tcW w:w="1703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color w:val="000000"/>
                                <w:szCs w:val="24"/>
                                <w:lang w:eastAsia="lt-LT"/>
                              </w:rPr>
                              <w:t>P.S.347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„Nutiestų ir (ar) modernizuotų magistralinių dujotiekių ilgis“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km</w:t>
                            </w: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</w:t>
                            </w:r>
                          </w:p>
                        </w:tc>
                      </w:tr>
                      <w:tr>
                        <w:trPr>
                          <w:trHeight w:val="1702"/>
                        </w:trPr>
                        <w:tc>
                          <w:tcPr>
                            <w:tcW w:w="1703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color w:val="000000"/>
                                <w:szCs w:val="24"/>
                                <w:lang w:eastAsia="lt-LT"/>
                              </w:rPr>
                              <w:t>P.S.346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ngsanaUPC"/>
                                <w:bCs/>
                                <w:iCs/>
                                <w:szCs w:val="24"/>
                                <w:lang w:eastAsia="lt-LT"/>
                              </w:rPr>
                              <w:t>„Panaudojant išmaniąsias technologijas modernizuotos dujų skirstymo stotys“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skaičius</w:t>
                            </w: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</w:t>
                            </w:r>
                          </w:p>
                        </w:tc>
                      </w:tr>
                      <w:tr>
                        <w:trPr>
                          <w:trHeight w:val="1702"/>
                        </w:trPr>
                        <w:tc>
                          <w:tcPr>
                            <w:tcW w:w="1703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szCs w:val="24"/>
                                <w:lang w:eastAsia="lt-LT"/>
                              </w:rPr>
                              <w:t>P.N.103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ngsanaUPC" w:cs="Arial"/>
                                <w:bCs/>
                                <w:szCs w:val="24"/>
                                <w:lang w:eastAsia="lt-LT"/>
                              </w:rPr>
                              <w:t xml:space="preserve">„Įdiegus pažangius </w:t>
                            </w:r>
                            <w:r>
                              <w:rPr>
                                <w:rFonts w:cs="Arial"/>
                                <w:iCs/>
                                <w:szCs w:val="24"/>
                                <w:lang w:eastAsia="lt-LT"/>
                              </w:rPr>
                              <w:t>infrastruktūros elementus</w:t>
                            </w:r>
                            <w:r>
                              <w:rPr>
                                <w:rFonts w:eastAsia="AngsanaUPC" w:cs="Arial"/>
                                <w:bCs/>
                                <w:szCs w:val="24"/>
                                <w:lang w:eastAsia="lt-LT"/>
                              </w:rPr>
                              <w:t xml:space="preserve"> modernizuoti arba įrengti gamtinių dujų perdavimo sistemos technologiniai  priklausiniai“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skaičius</w:t>
                            </w: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20</w:t>
                            </w:r>
                          </w:p>
                        </w:tc>
                      </w:tr>
                      <w:tr>
                        <w:trPr>
                          <w:trHeight w:val="1702"/>
                        </w:trPr>
                        <w:tc>
                          <w:tcPr>
                            <w:tcW w:w="1703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iCs/>
                                <w:szCs w:val="24"/>
                                <w:lang w:eastAsia="lt-LT"/>
                              </w:rPr>
                              <w:t>P.N.104</w:t>
                            </w:r>
                          </w:p>
                        </w:tc>
                        <w:tc>
                          <w:tcPr>
                            <w:tcW w:w="212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„Įdiegta pažangi programinė ir technologinė įranga, reikalinga efektyviam dujų srautų valdymui ir perdavimo saugumui užtikrinti“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skaičius</w:t>
                            </w:r>
                          </w:p>
                        </w:tc>
                        <w:tc>
                          <w:tcPr>
                            <w:tcW w:w="1986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>
                            <w:pPr>
                              <w:ind w:firstLine="62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</w:tbl>
                    <w:p>
                      <w:pPr>
                        <w:tabs>
                          <w:tab w:val="left" w:pos="1134"/>
                        </w:tabs>
                        <w:ind w:right="-1" w:firstLine="5760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  <w:p>
                      <w:pPr>
                        <w:tabs>
                          <w:tab w:val="left" w:pos="1134"/>
                        </w:tabs>
                        <w:ind w:right="-1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8c54ee2595e4ba8988c6fd43dc0825f"/>
            <w:lock w:val="sdtLocked"/>
            <w:richText/>
          </w:sdtPr>
          <w:sdtContent>
            <w:p>
              <w:pPr>
                <w:tabs>
                  <w:tab w:val="left" w:pos="7513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Energetikos ministras</w:t>
                <w:tab/>
              </w:r>
            </w:p>
            <w:p/>
            <w:p/>
            <w:p/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SUDERINTA</w:t>
              </w: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finansų ministerijos</w:t>
              </w:r>
            </w:p>
            <w:p>
              <w:r>
                <w:rPr>
                  <w:szCs w:val="24"/>
                  <w:lang w:eastAsia="lt-LT"/>
                </w:rPr>
                <w:t xml:space="preserve">2018 m.                             raštu Nr. </w:t>
              </w:r>
            </w:p>
            <w:p>
              <w:pPr>
                <w:tabs>
                  <w:tab w:val="left" w:pos="6663"/>
                </w:tabs>
                <w:ind w:firstLine="6663"/>
              </w:pPr>
            </w:p>
            <w:p>
              <w:pPr>
                <w:tabs>
                  <w:tab w:val="left" w:pos="9639"/>
                </w:tabs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540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rawingGridHorizontalSpacing w:val="10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48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7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4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80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4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79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416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12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747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0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491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456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43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94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4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73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18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593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2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8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75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1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370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063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473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0625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13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6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0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4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6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80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11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641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0361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18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052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1964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89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295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20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33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91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b1a31f7792944a00932394b1d33f85a1" PartId="40d5639778494c5baae4bb9797331112">
    <Part Type="preambule" DocPartId="d9d0fd2ff9c64e4bb26a76d307a81686" PartId="a37c02956bb8425c9a5f3c5dec361cb0"/>
    <Part Type="punktas" Nr="1" Abbr="1 p." DocPartId="2f12095943db42fcb3037a26a89057a2" PartId="608fbf76949d4453a8da330a181c9e77">
      <Part Type="citata" DocPartId="5bdcbd5448aa471fa21d2645de338f92" PartId="202b07ab54aa40d1af1faeda05ee341a">
        <Part Type="skirsnis" Nr="11" DocPartId="379c6e7897244afdbf2ac1d8d99b29be" PartId="b5bbc692c79c4ad2a2eb8ed6f002fff4">
          <Part Type="papunktis" Nr="4.1.1" Abbr="4.1.1 pp." DocPartId="d5699bf78d03457cb27bc7206c26ae29" PartId="2ce406d9197c42c9b79d3a4021d1bae2"/>
          <Part Type="punktas" Nr="1" Abbr="1 p." DocPartId="9e8d411201a54333a56613458e5efd73" PartId="21021246fd6f4fc2932de6d0b23e49e2"/>
          <Part Type="punktas" Nr="2" Abbr="2 p." DocPartId="1b42071c304a468c824a5e338febf89f" PartId="75ec4504766148f5850db1454864ea20"/>
          <Part Type="punktas" Nr="3" Abbr="3 p." DocPartId="7c6845bdea164079987420d9ad5bf1fa" PartId="c44ee45e96dc41749cf8ff65070ad32c"/>
          <Part Type="punktas" Nr="4" Abbr="4 p." DocPartId="7243aa0057494ca79b9642b9da265eea" PartId="1cbfb5f6963342c993cfab856500d43c"/>
          <Part Type="punktas" Nr="5" Abbr="5 p." DocPartId="8982b3b953234aa1b94fe9ba4c4cb34e" PartId="28b611a9c03a43be99bbfd86420f357c"/>
          <Part Type="punktas" Nr="6" Abbr="6 p." DocPartId="ea139425c5a04346ad34b6295d9d7426" PartId="9bcf715e8c3b458096bae9d39030acf6"/>
          <Part Type="punktas" Nr="7" Abbr="7 p." DocPartId="3ac89f27a0244ddd8f80c0186f4407f2" PartId="674fab94c15c4d58ad24cbc5e3c76b06"/>
        </Part>
      </Part>
    </Part>
    <Part Type="punktas" Nr="2" Abbr="2 p." DocPartId="57b2cf6bf48b42f48bf7c13ab154811e" PartId="6ccd3441cb594cbb9ff63b960410fd25">
      <Part Type="citata" DocPartId="12bbba47b7b7430d928f31635eaa60cf" PartId="cca0a25c93554a5f93deb5ad4ed1228e">
        <Part Type="punktas" Nr="6" Abbr="6 p." DocPartId="52ccfba06932434883201d1a6c808ffb" PartId="6812e3d9b9f34a9eb04f2fcb292f8219"/>
      </Part>
    </Part>
    <Part Type="signatura" DocPartId="e8fa5c95a94b4e8abe08f8c244545547" PartId="68c54ee2595e4ba8988c6fd43dc0825f"/>
  </Part>
</Parts>
</file>

<file path=customXml/itemProps1.xml><?xml version="1.0" encoding="utf-8"?>
<ds:datastoreItem xmlns:ds="http://schemas.openxmlformats.org/officeDocument/2006/customXml" ds:itemID="{B939FB08-A2C4-45A1-8666-06628BFB6B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85E11A-6024-4258-9BC6-6A4E8F816F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564</Words>
  <Characters>3829</Characters>
  <Application>Microsoft Office Word</Application>
  <DocSecurity>4</DocSecurity>
  <Lines>255</Lines>
  <Paragraphs>151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ŪKIO MINISTRAS</vt:lpstr>
      <vt:lpstr>LIETUVOS RESPUBLIKOS ŪKIO MINISTRAS</vt:lpstr>
    </vt:vector>
  </TitlesOfParts>
  <Company>Infolex</Company>
  <LinksUpToDate>false</LinksUpToDate>
  <CharactersWithSpaces>4242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2018-10-24T09:13:00Z</dcterms:created>
  <dc:creator>rasaz</dc:creator>
  <lastModifiedBy>adlibuser</lastModifiedBy>
  <lastPrinted>2018-04-18T06:19:00Z</lastPrinted>
  <dcterms:modified xsi:type="dcterms:W3CDTF">2018-10-24T09:13:00Z</dcterms:modified>
  <revision>2</revision>
  <dc:title>LIETUVOS RESPUBLIKOS ŪKIO MINISTRAS</dc:title>
</coreProperties>
</file>