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ea78b48d27e4ef79d61609977204b3e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  <w:rPr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tabs>
              <w:tab w:val="left" w:pos="706"/>
            </w:tabs>
            <w:ind w:left="6480" w:firstLine="1860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>
          <w:pPr>
            <w:tabs>
              <w:tab w:val="center" w:pos="4986"/>
              <w:tab w:val="right" w:pos="9972"/>
            </w:tabs>
            <w:jc w:val="right"/>
            <w:rPr>
              <w:b/>
              <w:i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VIDAUS REIKALŲ MINISTRAS</w:t>
          </w:r>
        </w:p>
        <w:p>
          <w:pPr>
            <w:tabs>
              <w:tab w:val="center" w:pos="4986"/>
              <w:tab w:val="right" w:pos="9972"/>
            </w:tabs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DĖL LIETUVOS RESPUBLIKOS VIDAUS REIKALŲ MINISTRO 2015 M. KOVO 6 D. ĮSAKYMO NR. 1V-164 „dėl LIETUVOS RESPUBLIKOS VIDAUS REIKALŲ MINISTERIJOS 2014–2020 mETŲ europos sąjungos fondų investicijų veiksmų programos prioritetŲ įgyvendinimo priemonių įgyvendinimo plano IR </w:t>
          </w:r>
          <w:r>
            <w:rPr>
              <w:b/>
              <w:szCs w:val="24"/>
            </w:rPr>
            <w:t>NACIONALINIŲ STEBĖSENOS RODIKLIŲ SKAIČIAVIMO APRAŠO</w:t>
          </w:r>
          <w:r>
            <w:rPr>
              <w:b/>
              <w:bCs/>
              <w:caps/>
              <w:szCs w:val="24"/>
            </w:rPr>
            <w:t xml:space="preserve"> patvirtinimo“ PAKEITIMO</w:t>
          </w:r>
        </w:p>
        <w:p>
          <w:pPr>
            <w:jc w:val="center"/>
            <w:rPr>
              <w:szCs w:val="22"/>
            </w:rPr>
          </w:pPr>
        </w:p>
        <w:p>
          <w:pPr>
            <w:ind w:firstLine="62"/>
            <w:jc w:val="center"/>
            <w:rPr>
              <w:szCs w:val="22"/>
            </w:rPr>
          </w:pPr>
          <w:r>
            <w:rPr>
              <w:szCs w:val="22"/>
            </w:rPr>
            <w:t xml:space="preserve">Nr. </w:t>
          </w:r>
        </w:p>
        <w:p>
          <w:pPr>
            <w:jc w:val="center"/>
            <w:rPr>
              <w:szCs w:val="22"/>
            </w:rPr>
          </w:pPr>
          <w:r>
            <w:rPr>
              <w:szCs w:val="22"/>
            </w:rPr>
            <w:t>Vilnius</w:t>
          </w:r>
        </w:p>
        <w:p>
          <w:pPr>
            <w:jc w:val="center"/>
            <w:rPr>
              <w:szCs w:val="22"/>
            </w:rPr>
          </w:pPr>
        </w:p>
        <w:sdt>
          <w:sdtPr>
            <w:alias w:val="preambule"/>
            <w:tag w:val="part_866ba8bbb8c849b9962f4e8f44ec2b38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center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vidaus reikalų ministerijos 2014–2020 metų Europos Sąjungos fondų investicijų veiksmų programos prioritetų įgyvendinimo priemonių įgyvendinimo planą, patvirtintą Lietuvos Respublikos vidaus reikalų ministro 2015 m. kovo 6 d. įsakymu Nr. 1V-164 „Dėl Lietuvos Respublikos vidaus reikalų ministerijos 2014–2020 metų Europos Sąjungos fondų investicijų veiksmų programos prioritetų įgyvendinimo priemonių įgyvendinimo plano ir nacionalinių stebėsenos rodiklių skaičiavimo aprašo patvirtinimo“:</w:t>
              </w:r>
            </w:p>
          </w:sdtContent>
        </w:sdt>
        <w:sdt>
          <w:sdtPr>
            <w:alias w:val="1 p."/>
            <w:tag w:val="part_3469cf69f0154fc9974e06a5dfe5a4af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3469cf69f0154fc9974e06a5dfe5a4a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Pakeičiu IV skyriaus  ketvirtojo skirsnio „Priemonė 10.1.2-ESFA-V-915 „Viešojo valdymo institucijų atvirumo didinimas ir visuomenės įsitraukimo į viešojo valdymo procesus skatinimas“</w:t>
              </w:r>
              <w:r>
                <w:rPr>
                  <w:bCs/>
                </w:rPr>
                <w:t xml:space="preserve"> 7 punktą ir jį išdėstau taip</w:t>
              </w:r>
              <w:r>
                <w:rPr>
                  <w:szCs w:val="24"/>
                </w:rPr>
                <w:t>:</w:t>
              </w:r>
            </w:p>
            <w:sdt>
              <w:sdtPr>
                <w:alias w:val="citata"/>
                <w:tag w:val="part_29d8447fe9a8446b8db9777ac88d2364"/>
                <w:lock w:val="sdtLocked"/>
                <w:richText/>
              </w:sdtPr>
              <w:sdtContent>
                <w:sdt>
                  <w:sdtPr>
                    <w:alias w:val="7 p."/>
                    <w:tag w:val="part_59538786ffa94c798df4ee571f49d6e8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9538786ffa94c798df4ee571f49d6e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Priemonės finansavimo šaltiniai (eurais)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8a8492409b5b46a1bb15c5828faa2145"/>
                <w:lock w:val="sdtLocked"/>
                <w:richText/>
              </w:sdtPr>
              <w:sdtContent>
                <w:tbl>
                  <w:tblPr>
                    <w:tblW w:w="9930" w:type="dxa"/>
                    <w:tblInd w:w="-34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76"/>
                    <w:gridCol w:w="1419"/>
                    <w:gridCol w:w="1418"/>
                    <w:gridCol w:w="1418"/>
                    <w:gridCol w:w="1591"/>
                    <w:gridCol w:w="1248"/>
                    <w:gridCol w:w="1560"/>
                  </w:tblGrid>
                  <w:tr>
                    <w:trPr>
                      <w:trHeight w:val="454"/>
                      <w:tblHeader/>
                    </w:trPr>
                    <w:tc>
                      <w:tcPr>
                        <w:tcW w:w="2693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Projektams skiriamas finansavimas</w:t>
                        </w:r>
                      </w:p>
                    </w:tc>
                    <w:tc>
                      <w:tcPr>
                        <w:tcW w:w="7230" w:type="dxa"/>
                        <w:gridSpan w:val="5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Kiti projektų finansavimo šaltiniai</w:t>
                        </w:r>
                      </w:p>
                    </w:tc>
                  </w:tr>
                  <w:tr>
                    <w:trPr>
                      <w:trHeight w:val="454"/>
                      <w:tblHeader/>
                    </w:trPr>
                    <w:tc>
                      <w:tcPr>
                        <w:tcW w:w="1275" w:type="dxa"/>
                        <w:vMerge w:val="restart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ind w:left="-108" w:right="-10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ES struktūrinių fondų lėšos – iki</w:t>
                        </w:r>
                      </w:p>
                    </w:tc>
                    <w:tc>
                      <w:tcPr>
                        <w:tcW w:w="8648" w:type="dxa"/>
                        <w:gridSpan w:val="6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Nacionalinės lėšos</w:t>
                        </w:r>
                      </w:p>
                    </w:tc>
                  </w:tr>
                  <w:tr>
                    <w:trPr>
                      <w:cantSplit/>
                      <w:trHeight w:val="313"/>
                      <w:tblHeader/>
                    </w:trPr>
                    <w:tc>
                      <w:tcPr>
                        <w:tcW w:w="0" w:type="auto"/>
                        <w:vMerge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8" w:type="dxa"/>
                        <w:vMerge w:val="restart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Respublikos valstybės biudžeto lėšos – iki</w:t>
                        </w:r>
                      </w:p>
                    </w:tc>
                    <w:tc>
                      <w:tcPr>
                        <w:tcW w:w="7230" w:type="dxa"/>
                        <w:gridSpan w:val="5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Projektų vykdytojų lėšos</w:t>
                        </w:r>
                      </w:p>
                    </w:tc>
                  </w:tr>
                  <w:tr>
                    <w:trPr>
                      <w:cantSplit/>
                      <w:trHeight w:val="1020"/>
                      <w:tblHeader/>
                    </w:trPr>
                    <w:tc>
                      <w:tcPr>
                        <w:tcW w:w="0" w:type="auto"/>
                        <w:vMerge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right="-10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 – ne mažiau kaip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right="-10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Lietuvos Respublikos valstybės biudžeto lėšos </w:t>
                        </w:r>
                      </w:p>
                    </w:tc>
                    <w:tc>
                      <w:tcPr>
                        <w:tcW w:w="159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right="-10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Savivaldybės biudžeto lėšos </w:t>
                        </w:r>
                      </w:p>
                    </w:tc>
                    <w:tc>
                      <w:tcPr>
                        <w:tcW w:w="124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right="-10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Kitos viešosios lėšos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Privačios lėšos 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9923" w:type="dxa"/>
                        <w:gridSpan w:val="7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Priemonės finansavimo šaltiniai, neįskaitant veiklos lėšų rezervo ir jam finansuoti skiriamų lėšų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1275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3 470 550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612 450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9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24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9923" w:type="dxa"/>
                        <w:gridSpan w:val="7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Veiklos lėšų rezervas ir jam finansuoti skiriamos nacionalinės lėšos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1275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9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24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9923" w:type="dxa"/>
                        <w:gridSpan w:val="7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3. Iš viso 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1275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3 470 550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612 450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9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247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tcMar>
                          <w:top w:w="0" w:type="dxa"/>
                          <w:left w:w="108" w:type="dxa"/>
                          <w:bottom w:w="0" w:type="dxa"/>
                          <w:right w:w="108" w:type="dxa"/>
                        </w:tcMar>
                        <w:vAlign w:val="center"/>
                        <w:hideMark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0“</w:t>
                        </w:r>
                      </w:p>
                    </w:tc>
                  </w:tr>
                </w:tbl>
                <w:p/>
              </w:sdtContent>
            </w:sdt>
          </w:sdtContent>
        </w:sdt>
        <w:sdt>
          <w:sdtPr>
            <w:alias w:val="2 p."/>
            <w:tag w:val="part_de814ddf9b6542fa8280e4366c4cd6ab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textAlignment w:val="center"/>
                <w:rPr>
                  <w:szCs w:val="24"/>
                </w:rPr>
              </w:pPr>
              <w:sdt>
                <w:sdtPr>
                  <w:alias w:val="Numeris"/>
                  <w:tag w:val="nr_de814ddf9b6542fa8280e4366c4cd6a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Pakeičiu IV skyriaus septintojo skirsnio „P</w:t>
              </w:r>
              <w:r>
                <w:rPr>
                  <w:bCs/>
                  <w:color w:val="000000"/>
                  <w:szCs w:val="24"/>
                </w:rPr>
                <w:t xml:space="preserve">riemonė Nr. 10.1.3-ESFA-V-918 „Viešojo administravimo subjektų iniciatyvos, skirtos paslaugų ir asmenų aptarnavimo kokybės gerinimui“ </w:t>
              </w:r>
              <w:r>
                <w:rPr>
                  <w:bCs/>
                </w:rPr>
                <w:t>7 punktą ir jį išdėstau taip</w:t>
              </w:r>
              <w:r>
                <w:rPr>
                  <w:szCs w:val="24"/>
                </w:rPr>
                <w:t>:</w:t>
              </w:r>
            </w:p>
            <w:p>
              <w:pPr>
                <w:tabs>
                  <w:tab w:val="left" w:pos="0"/>
                  <w:tab w:val="left" w:pos="709"/>
                </w:tabs>
                <w:ind w:firstLine="709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„7. </w:t>
              </w:r>
              <w:r>
                <w:rPr>
                  <w:bCs/>
                  <w:szCs w:val="24"/>
                </w:rPr>
                <w:t xml:space="preserve">Priemonės finansavimo šaltiniai </w:t>
              </w:r>
              <w:r>
                <w:rPr>
                  <w:szCs w:val="24"/>
                </w:rPr>
                <w:t>(eurais)</w:t>
              </w:r>
            </w:p>
            <w:tbl>
              <w:tblPr>
                <w:tblW w:w="9930" w:type="dxa"/>
                <w:tblInd w:w="-34" w:type="dxa"/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1561"/>
                <w:gridCol w:w="1419"/>
                <w:gridCol w:w="1418"/>
                <w:gridCol w:w="1418"/>
                <w:gridCol w:w="1419"/>
                <w:gridCol w:w="1420"/>
                <w:gridCol w:w="1275"/>
              </w:tblGrid>
              <w:tr>
                <w:trPr>
                  <w:trHeight w:val="454"/>
                </w:trPr>
                <w:tc>
                  <w:tcPr>
                    <w:tcW w:w="2978" w:type="dxa"/>
                    <w:gridSpan w:val="2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Projektams skiriamas finansavimas</w:t>
                    </w:r>
                  </w:p>
                </w:tc>
                <w:tc>
                  <w:tcPr>
                    <w:tcW w:w="6945" w:type="dxa"/>
                    <w:gridSpan w:val="5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Kiti projektų finansavimo šaltiniai</w:t>
                    </w:r>
                  </w:p>
                </w:tc>
              </w:tr>
              <w:tr>
                <w:trPr>
                  <w:trHeight w:val="454"/>
                </w:trPr>
                <w:tc>
                  <w:tcPr>
                    <w:tcW w:w="1560" w:type="dxa"/>
                    <w:vMerge w:val="restart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ind w:left="-108" w:right="-108" w:firstLine="62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ind w:left="-108"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ES struktūrinių fondų</w:t>
                    </w:r>
                  </w:p>
                  <w:p>
                    <w:pPr>
                      <w:ind w:left="-108"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lėšos – iki</w:t>
                    </w:r>
                  </w:p>
                </w:tc>
                <w:tc>
                  <w:tcPr>
                    <w:tcW w:w="8363" w:type="dxa"/>
                    <w:gridSpan w:val="6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Nacionalinės lėšos</w:t>
                    </w:r>
                  </w:p>
                </w:tc>
              </w:tr>
              <w:tr>
                <w:trPr>
                  <w:trHeight w:val="1020"/>
                </w:trPr>
                <w:tc>
                  <w:tcPr>
                    <w:tcW w:w="0" w:type="auto"/>
                    <w:vMerge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vMerge w:val="restart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Lietuvos Respublikos valstybės biudžeto lėšos – iki</w:t>
                    </w:r>
                  </w:p>
                </w:tc>
                <w:tc>
                  <w:tcPr>
                    <w:tcW w:w="6945" w:type="dxa"/>
                    <w:gridSpan w:val="5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firstLine="62"/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Projektų vykdytojų lėšos</w:t>
                    </w:r>
                  </w:p>
                </w:tc>
              </w:tr>
              <w:tr>
                <w:trPr>
                  <w:trHeight w:val="1020"/>
                </w:trPr>
                <w:tc>
                  <w:tcPr>
                    <w:tcW w:w="0" w:type="auto"/>
                    <w:vMerge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0" w:type="auto"/>
                    <w:vMerge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Iš viso – ne mažiau kaip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Lietuvos Respublikos valstybės biudžeto lėšos 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Savivaldybės biudžeto</w:t>
                    </w:r>
                  </w:p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lėšos </w:t>
                    </w:r>
                  </w:p>
                </w:tc>
                <w:tc>
                  <w:tcPr>
                    <w:tcW w:w="14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ind w:right="-108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Kitos viešosios lėšos </w:t>
                    </w:r>
                  </w:p>
                </w:tc>
                <w:tc>
                  <w:tcPr>
                    <w:tcW w:w="127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Privačios lėšos 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9923" w:type="dxa"/>
                    <w:gridSpan w:val="7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Priemonės finansavimo šaltiniai, neįskaitant veiklos lėšų rezervo ir jam finansuoti skiriamų lėšų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15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16 803 441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2 965 313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27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9923" w:type="dxa"/>
                    <w:gridSpan w:val="7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 Veiklos lėšų rezervas ir jam finansuoti skiriamos nacionalinės lėšos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15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27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9923" w:type="dxa"/>
                    <w:gridSpan w:val="7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Iš viso </w:t>
                    </w:r>
                  </w:p>
                </w:tc>
              </w:tr>
              <w:tr>
                <w:trPr>
                  <w:trHeight w:val="249"/>
                </w:trPr>
                <w:tc>
                  <w:tcPr>
                    <w:tcW w:w="1560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16 803 441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2 965 313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41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274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  <w:hideMark/>
                  </w:tcPr>
                  <w:p>
                    <w:pPr>
                      <w:rPr>
                        <w:sz w:val="8"/>
                        <w:szCs w:val="8"/>
                      </w:rPr>
                    </w:pP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0“</w:t>
                    </w:r>
                  </w:p>
                </w:tc>
              </w:tr>
            </w:tbl>
            <w:p>
              <w:pPr>
                <w:tabs>
                  <w:tab w:val="left" w:pos="0"/>
                  <w:tab w:val="left" w:pos="567"/>
                </w:tabs>
                <w:spacing w:line="360" w:lineRule="auto"/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938"/>
                </w:tabs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b58d92ca7c44125bcb8427452916f7a"/>
            <w:lock w:val="sdtLocked"/>
            <w:richText/>
          </w:sdtPr>
          <w:sdtContent>
            <w:p>
              <w:pPr>
                <w:tabs>
                  <w:tab w:val="left" w:pos="7938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Vidaus reikalų ministras </w:t>
                <w:tab/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567" w:bottom="568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hAnsi="Calibri"/>
        <w:sz w:val="22"/>
        <w:szCs w:val="22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723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8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f11d2d3eb2f486ebbd831e977401c22" PartId="aea78b48d27e4ef79d61609977204b3e">
    <Part Type="preambule" DocPartId="205d8dfe9a6e4f39b794c3781d3634d1" PartId="866ba8bbb8c849b9962f4e8f44ec2b38"/>
    <Part Type="punktas" Nr="1" Abbr="1 p." DocPartId="b485b89922e54d478f203d6a5c409f45" PartId="3469cf69f0154fc9974e06a5dfe5a4af">
      <Part Type="citata" DocPartId="e24a798f2c774daf9e3623906fe30ef7" PartId="29d8447fe9a8446b8db9777ac88d2364">
        <Part Type="punktas" Nr="7" Abbr="7 p." DocPartId="cf692215a8ed4152a13697ea6b232c52" PartId="59538786ffa94c798df4ee571f49d6e8"/>
      </Part>
      <Part Type="pastraipa" DocPartId="cd6630645d164d578b7536afe4a0ca97" PartId="8a8492409b5b46a1bb15c5828faa2145"/>
    </Part>
    <Part Type="punktas" Nr="2" Abbr="2 p." DocPartId="f271d31026be42a4b73e8454c0b64e4c" PartId="de814ddf9b6542fa8280e4366c4cd6ab"/>
    <Part Type="signatura" DocPartId="b8a1938cd91a4735aaaa09e8a96ccde9" PartId="0b58d92ca7c44125bcb8427452916f7a"/>
  </Part>
</Parts>
</file>

<file path=customXml/itemProps1.xml><?xml version="1.0" encoding="utf-8"?>
<ds:datastoreItem xmlns:ds="http://schemas.openxmlformats.org/officeDocument/2006/customXml" ds:itemID="{2E5FA1BF-B2BA-4D82-979E-006969475B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391</Words>
  <Characters>2397</Characters>
  <Application>Microsoft Office Word</Application>
  <DocSecurity>4</DocSecurity>
  <Lines>159</Lines>
  <Paragraphs>99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2018-08-08T13:00:00Z</dcterms:created>
  <dc:creator>Eglė Šarkauskaitė</dc:creator>
  <lastModifiedBy>adlibuser</lastModifiedBy>
  <dcterms:modified xsi:type="dcterms:W3CDTF">2018-08-08T13:00:00Z</dcterms:modified>
  <revision>2</revision>
</coreProperties>
</file>