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9392b6f46d48468590b9d038b0731d29"/>
        <w:lock w:val="sdtLocked"/>
        <w:richText/>
      </w:sdtPr>
      <w:sdtContent>
        <w:tbl>
          <w:tblPr>
            <w:tblW w:w="0" w:type="auto"/>
            <w:tblInd w:w="55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55"/>
            <w:gridCol w:w="4762"/>
            <w:gridCol w:w="282"/>
            <w:gridCol w:w="1841"/>
            <w:gridCol w:w="565"/>
            <w:gridCol w:w="2046"/>
            <w:gridCol w:w="87"/>
          </w:tblGrid>
          <w:tr>
            <w:tc>
              <w:tcPr>
                <w:tcW w:w="9638" w:type="dxa"/>
                <w:gridSpan w:val="7"/>
                <w:tcBorders>
                  <w:bottom w:val="single" w:sz="4" w:space="0" w:color="000000"/>
                </w:tcBorders>
              </w:tcPr>
              <w:p>
                <w:pPr>
                  <w:widowControl w:val="0"/>
                  <w:suppressLineNumbers/>
                  <w:tabs>
                    <w:tab w:val="center" w:pos="4800"/>
                    <w:tab w:val="right" w:pos="9601"/>
                  </w:tabs>
                  <w:suppressAutoHyphens/>
                  <w:jc w:val="center"/>
                  <w:rPr>
                    <w:szCs w:val="24"/>
                  </w:rPr>
                </w:pPr>
              </w:p>
              <w:p>
                <w:pPr>
                  <w:widowControl w:val="0"/>
                  <w:suppressLineNumbers/>
                  <w:tabs>
                    <w:tab w:val="center" w:pos="4800"/>
                    <w:tab w:val="right" w:pos="9601"/>
                  </w:tabs>
                  <w:suppressAutoHyphens/>
                  <w:rPr>
                    <w:szCs w:val="24"/>
                  </w:rPr>
                </w:pPr>
              </w:p>
              <w:p>
                <w:pPr>
                  <w:widowControl w:val="0"/>
                  <w:suppressLineNumbers/>
                  <w:suppressAutoHyphens/>
                  <w:jc w:val="center"/>
                  <w:rPr>
                    <w:b/>
                    <w:bCs/>
                    <w:spacing w:val="20"/>
                    <w:sz w:val="28"/>
                    <w:szCs w:val="28"/>
                  </w:rPr>
                </w:pPr>
                <w:r>
                  <w:rPr>
                    <w:b/>
                    <w:bCs/>
                    <w:spacing w:val="20"/>
                    <w:sz w:val="26"/>
                    <w:szCs w:val="26"/>
                    <w:lang w:val="en-US"/>
                  </w:rPr>
                  <w:drawing>
                    <wp:inline distT="0" distB="0" distL="0" distR="0" wp14:anchorId="6D7FA7A9" wp14:editId="554FE977">
                      <wp:extent cx="526415" cy="621665"/>
                      <wp:effectExtent l="19050" t="0" r="6985" b="0"/>
                      <wp:docPr id="1" name="Pictur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26415" cy="6216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widowControl w:val="0"/>
                  <w:suppressLineNumbers/>
                  <w:suppressAutoHyphens/>
                  <w:jc w:val="center"/>
                  <w:rPr>
                    <w:b/>
                    <w:bCs/>
                    <w:spacing w:val="20"/>
                    <w:sz w:val="28"/>
                    <w:szCs w:val="28"/>
                  </w:rPr>
                </w:pPr>
                <w:r>
                  <w:rPr>
                    <w:b/>
                    <w:bCs/>
                    <w:spacing w:val="20"/>
                    <w:sz w:val="28"/>
                    <w:szCs w:val="28"/>
                  </w:rPr>
                  <w:t>LIETUVOS RESPUBLIKOS APLINKOS MINISTERIJA</w:t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widowControl w:val="0"/>
                  <w:suppressLineNumbers/>
                  <w:suppressAutoHyphens/>
                  <w:jc w:val="center"/>
                  <w:rPr>
                    <w:rFonts w:ascii="Arial" w:hAnsi="Arial" w:cs="Arial"/>
                    <w:b/>
                    <w:bCs/>
                    <w:spacing w:val="12"/>
                    <w:sz w:val="14"/>
                    <w:szCs w:val="14"/>
                  </w:rPr>
                </w:pPr>
                <w:r>
                  <w:rPr>
                    <w:rFonts w:ascii="Arial" w:hAnsi="Arial" w:cs="Arial"/>
                    <w:b/>
                    <w:bCs/>
                    <w:spacing w:val="12"/>
                    <w:sz w:val="14"/>
                    <w:szCs w:val="14"/>
                  </w:rPr>
                  <w:t>Biudžetinė įstaiga, A. Jakšto g. 4/9, LT-01105 Vilnius,</w:t>
                </w:r>
              </w:p>
              <w:p>
                <w:pPr>
                  <w:widowControl w:val="0"/>
                  <w:suppressLineNumbers/>
                  <w:suppressAutoHyphens/>
                  <w:jc w:val="center"/>
                  <w:rPr>
                    <w:rFonts w:ascii="Arial" w:hAnsi="Arial" w:cs="Arial"/>
                    <w:b/>
                    <w:bCs/>
                    <w:spacing w:val="12"/>
                    <w:sz w:val="14"/>
                    <w:szCs w:val="14"/>
                  </w:rPr>
                </w:pPr>
                <w:r>
                  <w:rPr>
                    <w:rFonts w:ascii="Arial" w:hAnsi="Arial" w:cs="Arial"/>
                    <w:b/>
                    <w:bCs/>
                    <w:spacing w:val="12"/>
                    <w:sz w:val="14"/>
                    <w:szCs w:val="14"/>
                  </w:rPr>
                  <w:t>tel. (8~5) 266 3661, faks. (8~5) 266 3663, el. p. info@am.lt, http://www.am.lt.</w:t>
                </w:r>
              </w:p>
              <w:p>
                <w:pPr>
                  <w:widowControl w:val="0"/>
                  <w:suppressLineNumbers/>
                  <w:suppressAutoHyphens/>
                  <w:jc w:val="center"/>
                  <w:rPr>
                    <w:rFonts w:ascii="Arial" w:hAnsi="Arial" w:cs="Arial"/>
                    <w:b/>
                    <w:bCs/>
                    <w:spacing w:val="12"/>
                    <w:sz w:val="14"/>
                    <w:szCs w:val="14"/>
                  </w:rPr>
                </w:pPr>
                <w:r>
                  <w:rPr>
                    <w:rFonts w:ascii="Arial" w:hAnsi="Arial" w:cs="Arial"/>
                    <w:b/>
                    <w:bCs/>
                    <w:spacing w:val="12"/>
                    <w:sz w:val="14"/>
                    <w:szCs w:val="14"/>
                  </w:rPr>
                  <w:t>Duomenys kaupiami ir saugomi Juridinių asmenų registre, kodas 188602370</w:t>
                </w:r>
              </w:p>
            </w:tc>
          </w:tr>
          <w:tr>
            <w:tc>
              <w:tcPr>
                <w:tcW w:w="9638" w:type="dxa"/>
                <w:gridSpan w:val="7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LineNumbers/>
                  <w:suppressAutoHyphens/>
                  <w:rPr>
                    <w:szCs w:val="24"/>
                  </w:rPr>
                </w:pPr>
              </w:p>
            </w:tc>
          </w:tr>
          <w:tr>
            <w:trPr>
              <w:cantSplit/>
              <w:trHeight w:val="340"/>
            </w:trPr>
            <w:tc>
              <w:tcPr>
                <w:tcW w:w="4817" w:type="dxa"/>
                <w:gridSpan w:val="2"/>
                <w:vMerge w:val="restart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AutoHyphens/>
                  <w:rPr>
                    <w:spacing w:val="10"/>
                    <w:szCs w:val="24"/>
                  </w:rPr>
                </w:pPr>
                <w:r>
                  <w:rPr>
                    <w:spacing w:val="10"/>
                    <w:szCs w:val="24"/>
                  </w:rPr>
                  <w:t>Adresatams pagal sąrašą</w:t>
                </w:r>
              </w:p>
            </w:tc>
            <w:tc>
              <w:tcPr>
                <w:tcW w:w="28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AutoHyphens/>
                  <w:spacing w:line="360" w:lineRule="auto"/>
                  <w:ind w:right="67"/>
                  <w:jc w:val="right"/>
                  <w:rPr>
                    <w:spacing w:val="10"/>
                    <w:szCs w:val="24"/>
                  </w:rPr>
                </w:pPr>
              </w:p>
            </w:tc>
            <w:tc>
              <w:tcPr>
                <w:tcW w:w="184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LineNumbers/>
                  <w:suppressAutoHyphens/>
                  <w:spacing w:line="360" w:lineRule="auto"/>
                  <w:ind w:right="67"/>
                  <w:rPr>
                    <w:szCs w:val="24"/>
                  </w:rPr>
                </w:pPr>
                <w:r>
                  <w:rPr>
                    <w:szCs w:val="24"/>
                  </w:rPr>
                  <w:t>2020-03-</w:t>
                </w:r>
              </w:p>
            </w:tc>
            <w:tc>
              <w:tcPr>
                <w:tcW w:w="565" w:type="dxa"/>
              </w:tcPr>
              <w:p>
                <w:pPr>
                  <w:widowControl w:val="0"/>
                  <w:suppressAutoHyphens/>
                  <w:spacing w:line="360" w:lineRule="auto"/>
                  <w:ind w:right="67"/>
                  <w:jc w:val="right"/>
                  <w:rPr>
                    <w:spacing w:val="10"/>
                    <w:szCs w:val="24"/>
                  </w:rPr>
                </w:pPr>
                <w:r>
                  <w:rPr>
                    <w:spacing w:val="10"/>
                    <w:szCs w:val="24"/>
                  </w:rPr>
                  <w:t>Nr.</w:t>
                </w:r>
              </w:p>
            </w:tc>
            <w:tc>
              <w:tcPr>
                <w:tcW w:w="2133" w:type="dxa"/>
                <w:gridSpan w:val="2"/>
              </w:tcPr>
              <w:p>
                <w:pPr>
                  <w:widowControl w:val="0"/>
                  <w:suppressLineNumbers/>
                  <w:suppressAutoHyphens/>
                  <w:spacing w:line="360" w:lineRule="auto"/>
                  <w:ind w:right="67"/>
                  <w:rPr>
                    <w:szCs w:val="24"/>
                  </w:rPr>
                </w:pPr>
              </w:p>
            </w:tc>
          </w:tr>
          <w:tr>
            <w:trPr>
              <w:cantSplit/>
              <w:trHeight w:val="340"/>
            </w:trPr>
            <w:tc>
              <w:tcPr>
                <w:tcW w:w="4817" w:type="dxa"/>
                <w:gridSpan w:val="2"/>
                <w:vMerge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AutoHyphens/>
                  <w:spacing w:line="360" w:lineRule="auto"/>
                  <w:rPr>
                    <w:szCs w:val="24"/>
                  </w:rPr>
                </w:pPr>
              </w:p>
            </w:tc>
            <w:tc>
              <w:tcPr>
                <w:tcW w:w="28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tabs>
                    <w:tab w:val="left" w:pos="2869"/>
                  </w:tabs>
                  <w:suppressAutoHyphens/>
                  <w:spacing w:line="360" w:lineRule="auto"/>
                  <w:ind w:right="67"/>
                  <w:jc w:val="right"/>
                  <w:rPr>
                    <w:spacing w:val="10"/>
                    <w:szCs w:val="24"/>
                  </w:rPr>
                </w:pPr>
                <w:r>
                  <w:rPr>
                    <w:spacing w:val="10"/>
                    <w:szCs w:val="24"/>
                  </w:rPr>
                  <w:t>Į</w:t>
                </w:r>
              </w:p>
            </w:tc>
            <w:tc>
              <w:tcPr>
                <w:tcW w:w="184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LineNumbers/>
                  <w:suppressAutoHyphens/>
                  <w:spacing w:line="360" w:lineRule="auto"/>
                  <w:ind w:right="67"/>
                  <w:rPr>
                    <w:szCs w:val="24"/>
                  </w:rPr>
                </w:pPr>
              </w:p>
            </w:tc>
            <w:tc>
              <w:tcPr>
                <w:tcW w:w="565" w:type="dxa"/>
              </w:tcPr>
              <w:p>
                <w:pPr>
                  <w:widowControl w:val="0"/>
                  <w:tabs>
                    <w:tab w:val="left" w:pos="2869"/>
                  </w:tabs>
                  <w:suppressAutoHyphens/>
                  <w:spacing w:line="360" w:lineRule="auto"/>
                  <w:ind w:right="67"/>
                  <w:jc w:val="right"/>
                  <w:rPr>
                    <w:spacing w:val="10"/>
                    <w:szCs w:val="24"/>
                  </w:rPr>
                </w:pPr>
                <w:r>
                  <w:rPr>
                    <w:spacing w:val="10"/>
                    <w:szCs w:val="24"/>
                  </w:rPr>
                  <w:t>Nr.</w:t>
                </w:r>
              </w:p>
            </w:tc>
            <w:tc>
              <w:tcPr>
                <w:tcW w:w="2133" w:type="dxa"/>
                <w:gridSpan w:val="2"/>
              </w:tcPr>
              <w:p>
                <w:pPr>
                  <w:widowControl w:val="0"/>
                  <w:suppressLineNumbers/>
                  <w:suppressAutoHyphens/>
                  <w:spacing w:line="360" w:lineRule="auto"/>
                  <w:ind w:right="67"/>
                  <w:rPr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4817" w:type="dxa"/>
                <w:gridSpan w:val="2"/>
                <w:vMerge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suppressAutoHyphens/>
                  <w:spacing w:line="360" w:lineRule="auto"/>
                  <w:rPr>
                    <w:szCs w:val="24"/>
                  </w:rPr>
                </w:pPr>
              </w:p>
            </w:tc>
            <w:tc>
              <w:tcPr>
                <w:tcW w:w="4821" w:type="dxa"/>
                <w:gridSpan w:val="5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widowControl w:val="0"/>
                  <w:tabs>
                    <w:tab w:val="left" w:pos="2869"/>
                  </w:tabs>
                  <w:suppressAutoHyphens/>
                  <w:spacing w:line="360" w:lineRule="auto"/>
                  <w:ind w:right="67"/>
                  <w:rPr>
                    <w:spacing w:val="10"/>
                    <w:szCs w:val="24"/>
                  </w:rPr>
                </w:pPr>
              </w:p>
            </w:tc>
          </w:tr>
          <w:tr>
            <w:tblPrEx>
              <w:tblCellMar>
                <w:top w:w="0" w:type="dxa"/>
                <w:left w:w="0" w:type="dxa"/>
                <w:bottom w:w="0" w:type="dxa"/>
                <w:right w:w="0" w:type="dxa"/>
              </w:tblCellMar>
              <w:tblLook w:val="04A0" w:firstRow="1" w:lastRow="0" w:firstColumn="1" w:lastColumn="0" w:noHBand="0" w:noVBand="1"/>
            </w:tblPrEx>
            <w:trPr>
              <w:gridBefore w:val="1"/>
              <w:gridAfter w:val="1"/>
              <w:wBefore w:w="55" w:type="dxa"/>
              <w:wAfter w:w="87" w:type="dxa"/>
              <w:trHeight w:val="244"/>
            </w:trPr>
            <w:tc>
              <w:tcPr>
                <w:tcW w:w="9496" w:type="dxa"/>
                <w:gridSpan w:val="5"/>
                <w:hideMark/>
              </w:tcPr>
              <w:p>
                <w:pPr>
                  <w:widowControl w:val="0"/>
                  <w:suppressAutoHyphens/>
                  <w:jc w:val="both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DĖL KLIMATO KAITOS PROGRAMOS PRIEMONĖS ELEKTROMOBILIŲ ĮSIGIJIMO FIZINIAMS ASMENIMS SKATINIMAS KOMPENSACINIŲ IŠMOKŲ TVARKOS</w:t>
                </w:r>
                <w:r>
                  <w:rPr>
                    <w:b/>
                    <w:bCs/>
                    <w:szCs w:val="24"/>
                    <w:shd w:val="clear" w:color="auto" w:fill="FFFFFF"/>
                  </w:rPr>
                  <w:t xml:space="preserve"> APRAŠO</w:t>
                </w:r>
                <w:r>
                  <w:rPr>
                    <w:b/>
                    <w:caps/>
                    <w:szCs w:val="24"/>
                  </w:rPr>
                  <w:t xml:space="preserve"> PROJEKTO DERINIMO</w:t>
                </w:r>
              </w:p>
              <w:p>
                <w:pPr>
                  <w:widowControl w:val="0"/>
                  <w:suppressAutoHyphens/>
                  <w:jc w:val="both"/>
                  <w:rPr>
                    <w:b/>
                    <w:bCs/>
                    <w:szCs w:val="24"/>
                    <w:shd w:val="clear" w:color="auto" w:fill="FFFFFF"/>
                  </w:rPr>
                </w:pPr>
              </w:p>
            </w:tc>
          </w:tr>
        </w:tbl>
        <w:p>
          <w:pPr>
            <w:widowControl w:val="0"/>
            <w:suppressAutoHyphens/>
            <w:rPr>
              <w:rFonts w:eastAsia="Andale Sans UI" w:cs="Tahoma"/>
              <w:sz w:val="20"/>
              <w:lang w:bidi="en-US"/>
            </w:rPr>
          </w:pPr>
        </w:p>
      </w:sdtContent>
    </w:sdt>
    <w:sdt>
      <w:sdtPr>
        <w:alias w:val="pastraipa"/>
        <w:tag w:val="part_e83d38e157ff401784f12d2cbeff892f"/>
        <w:lock w:val="sdtLocked"/>
        <w:richText/>
      </w:sdtPr>
      <w:sdtContent>
        <w:p>
          <w:pPr>
            <w:widowControl w:val="0"/>
            <w:suppressAutoHyphens/>
            <w:spacing w:line="360" w:lineRule="auto"/>
            <w:ind w:firstLine="567"/>
            <w:jc w:val="both"/>
            <w:rPr>
              <w:szCs w:val="24"/>
              <w:shd w:val="clear" w:color="auto" w:fill="FFFFFF"/>
            </w:rPr>
          </w:pPr>
          <w:r>
            <w:rPr>
              <w:szCs w:val="24"/>
            </w:rPr>
            <w:t xml:space="preserve">Teikiame derinti Lietuvos Respublikos aplinkos ministro įsakymo „Dėl </w:t>
          </w:r>
          <w:r>
            <w:rPr>
              <w:szCs w:val="24"/>
              <w:shd w:val="clear" w:color="auto" w:fill="FFFFFF"/>
            </w:rPr>
            <w:t xml:space="preserve">Klimato kaitos programos priemonės </w:t>
          </w:r>
          <w:r>
            <w:rPr>
              <w:szCs w:val="24"/>
            </w:rPr>
            <w:t xml:space="preserve">elektromobilių įsigijimo fiziniams asmenims skatinimas </w:t>
          </w:r>
          <w:r>
            <w:rPr>
              <w:szCs w:val="24"/>
              <w:shd w:val="clear" w:color="auto" w:fill="FFFFFF"/>
            </w:rPr>
            <w:t>kompensacinių išmokų tvarkos aprašo patvirtinimo“ projektą.</w:t>
          </w:r>
        </w:p>
      </w:sdtContent>
    </w:sdt>
    <w:sdt>
      <w:sdtPr>
        <w:alias w:val="pastraipa"/>
        <w:tag w:val="part_21ae5ab3c54f41c3822714391f6cf8b0"/>
        <w:lock w:val="sdtLocked"/>
        <w:richText/>
      </w:sdtPr>
      <w:sdtContent>
        <w:p>
          <w:pPr>
            <w:widowControl w:val="0"/>
            <w:suppressAutoHyphens/>
            <w:spacing w:line="360" w:lineRule="auto"/>
            <w:ind w:firstLine="567"/>
            <w:jc w:val="both"/>
            <w:rPr>
              <w:szCs w:val="24"/>
            </w:rPr>
          </w:pPr>
          <w:r>
            <w:rPr>
              <w:szCs w:val="24"/>
            </w:rPr>
            <w:t xml:space="preserve">Projekto tikslas – patvirtinti </w:t>
          </w:r>
          <w:r>
            <w:rPr>
              <w:szCs w:val="24"/>
              <w:shd w:val="clear" w:color="auto" w:fill="FFFFFF"/>
            </w:rPr>
            <w:t xml:space="preserve">Klimato kaitos programos priemonės </w:t>
          </w:r>
          <w:r>
            <w:rPr>
              <w:szCs w:val="24"/>
            </w:rPr>
            <w:t xml:space="preserve">elektromobilių įsigijimo fiziniams asmenims skatinimas </w:t>
          </w:r>
          <w:r>
            <w:rPr>
              <w:szCs w:val="24"/>
              <w:shd w:val="clear" w:color="auto" w:fill="FFFFFF"/>
            </w:rPr>
            <w:t xml:space="preserve">kompensacinių išmokų </w:t>
          </w:r>
          <w:r>
            <w:rPr>
              <w:szCs w:val="24"/>
            </w:rPr>
            <w:t xml:space="preserve">tvarkos aprašą, kuris suteiktų galimybę fiziniams asmenims gauti nustatyto dydžio </w:t>
          </w:r>
          <w:r>
            <w:rPr>
              <w:color w:val="000000"/>
              <w:szCs w:val="24"/>
            </w:rPr>
            <w:t>kompensacinę išmoką įsigyjant</w:t>
          </w:r>
          <w:r>
            <w:rPr>
              <w:szCs w:val="24"/>
            </w:rPr>
            <w:t xml:space="preserve"> naują arba naudotą elektromobilį. Projektu nustatomi bendrieji reikalavimai, kuriuos turi atitikti pareiškėjai, prašymų pateikimo, vertinimo ir kompensacijų skyrimo tvarka ir sąlygos.</w:t>
          </w:r>
        </w:p>
      </w:sdtContent>
    </w:sdt>
    <w:sdt>
      <w:sdtPr>
        <w:alias w:val="pastraipa"/>
        <w:tag w:val="part_bb42c12efdbd4cc3bc703a5247a3b177"/>
        <w:lock w:val="sdtLocked"/>
        <w:richText/>
      </w:sdtPr>
      <w:sdtContent>
        <w:p>
          <w:pPr>
            <w:widowControl w:val="0"/>
            <w:suppressAutoHyphens/>
            <w:spacing w:line="360" w:lineRule="auto"/>
            <w:ind w:firstLine="567"/>
            <w:jc w:val="both"/>
            <w:rPr>
              <w:szCs w:val="24"/>
            </w:rPr>
          </w:pPr>
          <w:r>
            <w:rPr>
              <w:szCs w:val="24"/>
            </w:rPr>
            <w:t xml:space="preserve">Su visuomene konsultuojamasi skelbiant projektą Teisės aktų informacinėje sistemoje (toliau – TAIS). Pastabas projektui prašome pateikti </w:t>
          </w:r>
          <w:r>
            <w:rPr>
              <w:b/>
              <w:szCs w:val="24"/>
            </w:rPr>
            <w:t>skubos tvarka</w:t>
          </w:r>
          <w:r>
            <w:rPr>
              <w:szCs w:val="24"/>
            </w:rPr>
            <w:t xml:space="preserve"> per 5 darbo dienas nuo Projekto paskelbimo TAIS. Iki nustatyto termino negavę pastabų, laikysime, kad projektui pritariate.</w:t>
          </w:r>
        </w:p>
      </w:sdtContent>
    </w:sdt>
    <w:sdt>
      <w:sdtPr>
        <w:alias w:val="pastraipa"/>
        <w:tag w:val="part_aa50f9dc613744d995f0f40030d8fe6c"/>
        <w:lock w:val="sdtLocked"/>
        <w:richText/>
      </w:sdtPr>
      <w:sdtContent>
        <w:p>
          <w:pPr>
            <w:widowControl w:val="0"/>
            <w:suppressAutoHyphens/>
            <w:spacing w:line="360" w:lineRule="auto"/>
            <w:ind w:firstLine="567"/>
            <w:jc w:val="both"/>
            <w:rPr>
              <w:szCs w:val="24"/>
            </w:rPr>
          </w:pPr>
          <w:r>
            <w:rPr>
              <w:szCs w:val="24"/>
            </w:rPr>
            <w:t>PRIDEDAMA:</w:t>
          </w:r>
        </w:p>
        <w:sdt>
          <w:sdtPr>
            <w:alias w:val="1 p."/>
            <w:tag w:val="part_0bea9967867d43bc98787f7ba487f425"/>
            <w:lock w:val="sdtLocked"/>
            <w:richText/>
          </w:sdtPr>
          <w:sdtContent>
            <w:p>
              <w:pPr>
                <w:widowControl w:val="0"/>
                <w:suppressAutoHyphens/>
                <w:spacing w:line="360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bea9967867d43bc98787f7ba487f42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Projektas, 4 lapai.</w:t>
              </w:r>
            </w:p>
          </w:sdtContent>
        </w:sdt>
        <w:sdt>
          <w:sdtPr>
            <w:alias w:val="2 p."/>
            <w:tag w:val="part_d9eda4cf829b4a8993a05c96d4062f6e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firstLine="567"/>
                <w:rPr>
                  <w:szCs w:val="24"/>
                </w:rPr>
              </w:pPr>
              <w:sdt>
                <w:sdtPr>
                  <w:alias w:val="Numeris"/>
                  <w:tag w:val="nr_d9eda4cf829b4a8993a05c96d4062f6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Numatomo teisinio reguliavimo poveikio vertinimo pažyma, 1 lapas.</w:t>
              </w:r>
            </w:p>
            <w:p>
              <w:pPr>
                <w:widowControl w:val="0"/>
                <w:suppressAutoHyphens/>
                <w:spacing w:line="360" w:lineRule="auto"/>
                <w:ind w:firstLine="567"/>
                <w:jc w:val="both"/>
                <w:rPr>
                  <w:szCs w:val="24"/>
                </w:rPr>
              </w:pPr>
            </w:p>
            <w:p>
              <w:pPr>
                <w:widowControl w:val="0"/>
                <w:suppressAutoHyphens/>
                <w:ind w:firstLine="567"/>
                <w:jc w:val="both"/>
                <w:rPr>
                  <w:szCs w:val="24"/>
                </w:rPr>
              </w:pPr>
            </w:p>
            <w:p>
              <w:pPr>
                <w:widowControl w:val="0"/>
                <w:suppressAutoHyphens/>
                <w:ind w:firstLine="567"/>
                <w:jc w:val="both"/>
                <w:rPr>
                  <w:szCs w:val="24"/>
                </w:rPr>
              </w:pPr>
            </w:p>
            <w:tbl>
              <w:tblPr>
                <w:tblW w:w="9631" w:type="dxa"/>
                <w:tblInd w:w="8" w:type="dxa"/>
                <w:tblLayout w:type="fixed"/>
                <w:tblCellMar>
                  <w:left w:w="10" w:type="dxa"/>
                  <w:right w:w="10" w:type="dxa"/>
                </w:tblCellMar>
                <w:tblLook w:val="04A0" w:firstRow="1" w:lastRow="0" w:firstColumn="1" w:lastColumn="0" w:noHBand="0" w:noVBand="1"/>
              </w:tblPr>
              <w:tblGrid>
                <w:gridCol w:w="4954"/>
                <w:gridCol w:w="4677"/>
              </w:tblGrid>
              <w:tr>
                <w:trPr>
                  <w:trHeight w:val="340"/>
                </w:trPr>
                <w:tc>
                  <w:tcPr>
                    <w:tcW w:w="4954" w:type="dxa"/>
                    <w:tcMar>
                      <w:top w:w="0" w:type="dxa"/>
                      <w:left w:w="0" w:type="dxa"/>
                      <w:bottom w:w="0" w:type="dxa"/>
                      <w:right w:w="0" w:type="dxa"/>
                    </w:tcMar>
                    <w:vAlign w:val="bottom"/>
                  </w:tcPr>
                  <w:p>
                    <w:pPr>
                      <w:widowControl w:val="0"/>
                      <w:suppressLineNumbers/>
                      <w:suppressAutoHyphens/>
                      <w:spacing w:line="276" w:lineRule="auto"/>
                      <w:textAlignment w:val="baseline"/>
                      <w:rPr>
                        <w:kern w:val="3"/>
                        <w:szCs w:val="24"/>
                      </w:rPr>
                    </w:pPr>
                    <w:r>
                      <w:rPr>
                        <w:kern w:val="3"/>
                        <w:szCs w:val="24"/>
                      </w:rPr>
                      <w:t>Aplinkos viceministras</w:t>
                    </w:r>
                  </w:p>
                </w:tc>
                <w:tc>
                  <w:tcPr>
                    <w:tcW w:w="4677" w:type="dxa"/>
                    <w:tcMar>
                      <w:top w:w="0" w:type="dxa"/>
                      <w:left w:w="0" w:type="dxa"/>
                      <w:bottom w:w="0" w:type="dxa"/>
                      <w:right w:w="0" w:type="dxa"/>
                    </w:tcMar>
                  </w:tcPr>
                  <w:p>
                    <w:pPr>
                      <w:widowControl w:val="0"/>
                      <w:suppressAutoHyphens/>
                      <w:spacing w:line="276" w:lineRule="auto"/>
                      <w:jc w:val="right"/>
                      <w:textAlignment w:val="baseline"/>
                      <w:rPr>
                        <w:kern w:val="3"/>
                        <w:szCs w:val="24"/>
                      </w:rPr>
                    </w:pPr>
                    <w:r>
                      <w:rPr>
                        <w:szCs w:val="24"/>
                      </w:rPr>
                      <w:t>Marius Narmontas</w:t>
                    </w:r>
                  </w:p>
                </w:tc>
              </w:tr>
            </w:tbl>
            <w:p>
              <w:pPr>
                <w:widowControl w:val="0"/>
                <w:tabs>
                  <w:tab w:val="left" w:pos="3802"/>
                </w:tabs>
                <w:suppressAutoHyphens/>
                <w:rPr>
                  <w:szCs w:val="24"/>
                  <w:lang w:bidi="en-US"/>
                </w:rPr>
              </w:pPr>
            </w:p>
            <w:p>
              <w:pPr>
                <w:widowControl w:val="0"/>
                <w:tabs>
                  <w:tab w:val="left" w:pos="3802"/>
                </w:tabs>
                <w:suppressAutoHyphens/>
                <w:rPr>
                  <w:szCs w:val="24"/>
                  <w:lang w:bidi="en-US"/>
                </w:rPr>
              </w:pPr>
            </w:p>
            <w:p>
              <w:pPr>
                <w:widowControl w:val="0"/>
                <w:tabs>
                  <w:tab w:val="left" w:pos="3802"/>
                </w:tabs>
                <w:suppressAutoHyphens/>
                <w:rPr>
                  <w:szCs w:val="24"/>
                  <w:lang w:bidi="en-US"/>
                </w:rPr>
              </w:pPr>
            </w:p>
            <w:p>
              <w:pPr>
                <w:widowControl w:val="0"/>
                <w:tabs>
                  <w:tab w:val="left" w:pos="3802"/>
                </w:tabs>
                <w:suppressAutoHyphens/>
                <w:rPr>
                  <w:szCs w:val="24"/>
                  <w:lang w:bidi="en-US"/>
                </w:rPr>
              </w:pPr>
            </w:p>
            <w:p>
              <w:pPr>
                <w:widowControl w:val="0"/>
                <w:tabs>
                  <w:tab w:val="left" w:pos="3802"/>
                </w:tabs>
                <w:suppressAutoHyphens/>
                <w:rPr>
                  <w:szCs w:val="24"/>
                  <w:lang w:bidi="en-US"/>
                </w:rPr>
              </w:pPr>
            </w:p>
            <w:tbl>
              <w:tblPr>
                <w:tblW w:w="9643" w:type="dxa"/>
                <w:tblInd w:w="8" w:type="dxa"/>
                <w:tblLayout w:type="fixed"/>
                <w:tblCellMar>
                  <w:left w:w="0" w:type="dxa"/>
                  <w:right w:w="0" w:type="dxa"/>
                </w:tblCellMar>
                <w:tblLook w:val="0000" w:firstRow="0" w:lastRow="0" w:firstColumn="0" w:lastColumn="0" w:noHBand="0" w:noVBand="0"/>
              </w:tblPr>
              <w:tblGrid>
                <w:gridCol w:w="9643"/>
              </w:tblGrid>
              <w:tr>
                <w:trPr>
                  <w:trHeight w:val="340"/>
                </w:trPr>
                <w:tc>
                  <w:tcPr>
                    <w:tcW w:w="9643" w:type="dxa"/>
                  </w:tcPr>
                  <w:p>
                    <w:pPr>
                      <w:widowControl w:val="0"/>
                      <w:suppressAutoHyphens/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K. Sabaliauskienė, tel. 8 696 80518, el. p. kristina.sabaliauskiene@am.lt</w:t>
                    </w:r>
                  </w:p>
                  <w:p>
                    <w:pPr>
                      <w:widowControl w:val="0"/>
                      <w:suppressLineNumbers/>
                      <w:suppressAutoHyphens/>
                      <w:spacing w:line="360" w:lineRule="auto"/>
                      <w:rPr>
                        <w:szCs w:val="24"/>
                      </w:rPr>
                    </w:pPr>
                  </w:p>
                  <w:p>
                    <w:pPr>
                      <w:widowControl w:val="0"/>
                      <w:suppressLineNumbers/>
                      <w:suppressAutoHyphens/>
                      <w:spacing w:line="360" w:lineRule="auto"/>
                      <w:jc w:val="center"/>
                      <w:rPr>
                        <w:szCs w:val="24"/>
                      </w:rPr>
                    </w:pPr>
                  </w:p>
                  <w:p>
                    <w:pPr>
                      <w:widowControl w:val="0"/>
                      <w:suppressLineNumbers/>
                      <w:suppressAutoHyphens/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Adresatų sąrašas</w:t>
                    </w:r>
                  </w:p>
                  <w:p>
                    <w:pPr>
                      <w:widowControl w:val="0"/>
                      <w:tabs>
                        <w:tab w:val="left" w:pos="3802"/>
                      </w:tabs>
                      <w:suppressAutoHyphens/>
                      <w:spacing w:line="360" w:lineRule="auto"/>
                      <w:rPr>
                        <w:color w:val="000000"/>
                        <w:szCs w:val="24"/>
                        <w:lang w:bidi="en-US"/>
                      </w:rPr>
                    </w:pPr>
                    <w:r>
                      <w:rPr>
                        <w:szCs w:val="24"/>
                        <w:lang w:bidi="en-US"/>
                      </w:rPr>
                      <w:t xml:space="preserve">1. </w:t>
                    </w:r>
                    <w:r>
                      <w:rPr>
                        <w:color w:val="000000"/>
                        <w:szCs w:val="24"/>
                        <w:lang w:bidi="en-US"/>
                      </w:rPr>
                      <w:t>Lietuvos Respublikos susisiekimo ministerijai</w:t>
                    </w:r>
                  </w:p>
                  <w:p>
                    <w:pPr>
                      <w:widowControl w:val="0"/>
                      <w:tabs>
                        <w:tab w:val="left" w:pos="3802"/>
                      </w:tabs>
                      <w:suppressAutoHyphens/>
                      <w:spacing w:line="360" w:lineRule="auto"/>
                      <w:rPr>
                        <w:color w:val="000000"/>
                        <w:szCs w:val="24"/>
                        <w:lang w:bidi="en-US"/>
                      </w:rPr>
                    </w:pPr>
                    <w:r>
                      <w:rPr>
                        <w:color w:val="000000"/>
                        <w:szCs w:val="24"/>
                        <w:lang w:bidi="en-US"/>
                      </w:rPr>
                      <w:t>2. Lietuvos Respublikos susisiekimo ministerijai</w:t>
                    </w:r>
                  </w:p>
                  <w:p>
                    <w:pPr>
                      <w:widowControl w:val="0"/>
                      <w:tabs>
                        <w:tab w:val="left" w:pos="3802"/>
                      </w:tabs>
                      <w:suppressAutoHyphens/>
                      <w:spacing w:line="360" w:lineRule="auto"/>
                      <w:rPr>
                        <w:color w:val="000000"/>
                        <w:szCs w:val="24"/>
                        <w:lang w:bidi="en-US"/>
                      </w:rPr>
                    </w:pPr>
                    <w:r>
                      <w:rPr>
                        <w:color w:val="000000"/>
                        <w:szCs w:val="24"/>
                        <w:lang w:bidi="en-US"/>
                      </w:rPr>
                      <w:t>3. Lietuvos Respublikos finansų ministerijai</w:t>
                    </w:r>
                  </w:p>
                  <w:p>
                    <w:pPr>
                      <w:widowControl w:val="0"/>
                      <w:tabs>
                        <w:tab w:val="left" w:pos="3802"/>
                      </w:tabs>
                      <w:suppressAutoHyphens/>
                      <w:spacing w:line="360" w:lineRule="auto"/>
                      <w:rPr>
                        <w:color w:val="000000"/>
                        <w:szCs w:val="24"/>
                        <w:lang w:bidi="en-US"/>
                      </w:rPr>
                    </w:pPr>
                    <w:r>
                      <w:rPr>
                        <w:color w:val="000000"/>
                        <w:szCs w:val="24"/>
                        <w:lang w:bidi="en-US"/>
                      </w:rPr>
                      <w:t xml:space="preserve">4. VĮ „Regitra“ el. paštas </w:t>
                    </w:r>
                    <w:r>
                      <w:rPr>
                        <w:color w:val="000000"/>
                        <w:szCs w:val="24"/>
                        <w:lang w:val="en-US"/>
                      </w:rPr>
                      <w:t>darius.jurgutis@regitra.lt</w:t>
                    </w:r>
                  </w:p>
                  <w:p>
                    <w:pPr>
                      <w:widowControl w:val="0"/>
                      <w:tabs>
                        <w:tab w:val="left" w:pos="3802"/>
                      </w:tabs>
                      <w:suppressAutoHyphens/>
                      <w:spacing w:line="360" w:lineRule="auto"/>
                      <w:rPr>
                        <w:color w:val="000000"/>
                        <w:szCs w:val="24"/>
                        <w:lang w:bidi="en-US"/>
                      </w:rPr>
                    </w:pPr>
                    <w:r>
                      <w:rPr>
                        <w:color w:val="000000"/>
                        <w:szCs w:val="24"/>
                        <w:lang w:bidi="en-US"/>
                      </w:rPr>
                      <w:t>5. Aplinkos projektų valdymo agentūrai</w:t>
                    </w:r>
                  </w:p>
                  <w:p>
                    <w:pPr>
                      <w:widowControl w:val="0"/>
                      <w:suppressAutoHyphens/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6. Lietuvos autoverslininkų asociacijai</w:t>
                    </w:r>
                  </w:p>
                  <w:p>
                    <w:pPr>
                      <w:widowControl w:val="0"/>
                      <w:suppressAutoHyphens/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7. Autoplius.lt el. paštas </w:t>
                    </w:r>
                    <w:r>
                      <w:rPr>
                        <w:color w:val="000000"/>
                        <w:szCs w:val="24"/>
                      </w:rPr>
                      <w:t>info@diginet.lt</w:t>
                    </w:r>
                    <w:r>
                      <w:rPr>
                        <w:color w:val="000000"/>
                        <w:szCs w:val="24"/>
                      </w:rPr>
                      <w:t xml:space="preserve">; </w:t>
                    </w:r>
                    <w:r>
                      <w:rPr>
                        <w:color w:val="000000"/>
                        <w:szCs w:val="24"/>
                      </w:rPr>
                      <w:t>matas@autoplius.lt</w:t>
                    </w:r>
                  </w:p>
                  <w:p>
                    <w:pPr>
                      <w:widowControl w:val="0"/>
                      <w:suppressAutoHyphens/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8. „Auto Bild Lietuva“ el. paštas </w:t>
                    </w:r>
                    <w:r>
                      <w:rPr>
                        <w:color w:val="000000"/>
                        <w:szCs w:val="24"/>
                      </w:rPr>
                      <w:t>info@autobild.lt</w:t>
                    </w:r>
                    <w:r>
                      <w:rPr>
                        <w:color w:val="000000"/>
                        <w:szCs w:val="24"/>
                      </w:rPr>
                      <w:t xml:space="preserve">; </w:t>
                    </w:r>
                    <w:r>
                      <w:rPr>
                        <w:color w:val="000000"/>
                        <w:szCs w:val="24"/>
                      </w:rPr>
                      <w:t>vitoldas@milius.lt</w:t>
                    </w:r>
                    <w:r>
                      <w:rPr>
                        <w:color w:val="000000"/>
                        <w:szCs w:val="24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</w:rPr>
                      <w:t>vimilius@gmail.com</w:t>
                    </w:r>
                  </w:p>
                  <w:p>
                    <w:pPr>
                      <w:widowControl w:val="0"/>
                      <w:suppressAutoHyphens/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9. Naudoto transporto pardavėjų asociacijai el. paštas </w:t>
                    </w:r>
                    <w:r>
                      <w:rPr>
                        <w:color w:val="000000"/>
                        <w:szCs w:val="24"/>
                      </w:rPr>
                      <w:t>vismantas@ntpa.lt</w:t>
                    </w:r>
                  </w:p>
                  <w:p>
                    <w:pPr>
                      <w:widowControl w:val="0"/>
                      <w:suppressAutoHyphens/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10. Naudoto transporto priemonių asociacija el. paštas </w:t>
                    </w:r>
                    <w:r>
                      <w:rPr>
                        <w:color w:val="000000"/>
                        <w:szCs w:val="24"/>
                      </w:rPr>
                      <w:t>vismantas@autopark.lt</w:t>
                    </w:r>
                    <w:r>
                      <w:rPr>
                        <w:color w:val="000000"/>
                        <w:szCs w:val="24"/>
                      </w:rPr>
                      <w:t xml:space="preserve"> </w:t>
                    </w:r>
                  </w:p>
                  <w:p>
                    <w:pPr>
                      <w:widowControl w:val="0"/>
                      <w:suppressAutoHyphens/>
                      <w:spacing w:line="360" w:lineRule="auto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11. Lietuvos autoverslininkų asociacija </w:t>
                    </w:r>
                    <w:r>
                      <w:rPr>
                        <w:color w:val="000000"/>
                        <w:szCs w:val="24"/>
                      </w:rPr>
                      <w:t>valdyba@laa.lt</w:t>
                    </w:r>
                    <w:r>
                      <w:rPr>
                        <w:color w:val="000000"/>
                        <w:szCs w:val="24"/>
                      </w:rPr>
                      <w:t>; laa@aiva.lt</w:t>
                    </w:r>
                  </w:p>
                </w:tc>
              </w:tr>
            </w:tbl>
            <w:p>
              <w:pPr>
                <w:widowControl w:val="0"/>
                <w:tabs>
                  <w:tab w:val="left" w:pos="3802"/>
                </w:tabs>
                <w:suppressAutoHyphens/>
                <w:spacing w:line="360" w:lineRule="auto"/>
                <w:rPr>
                  <w:sz w:val="2"/>
                  <w:szCs w:val="2"/>
                  <w:lang w:bidi="en-US"/>
                </w:rPr>
              </w:pPr>
            </w:p>
          </w:sdtContent>
        </w:sdt>
      </w:sdtContent>
    </w:sdt>
    <w:sectPr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footnotePr>
        <w:pos w:val="beneathText"/>
        <w:numRestart w:val="eachPage"/>
      </w:footnotePr>
      <w:endnotePr>
        <w:numFmt w:val="decimal"/>
      </w:endnotePr>
      <w:pgSz w:w="11905" w:h="16837"/>
      <w:pgMar w:top="671" w:right="567" w:bottom="1089" w:left="1701" w:header="567" w:footer="230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widowControl w:val="0"/>
        <w:suppressAutoHyphens/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widowControl w:val="0"/>
        <w:suppressAutoHyphens/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Andale Sans UI">
    <w:altName w:val="Calibri"/>
    <w:charset w:val="BA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suppressLineNumbers/>
      <w:tabs>
        <w:tab w:val="center" w:pos="4800"/>
        <w:tab w:val="right" w:pos="9601"/>
      </w:tabs>
      <w:suppressAutoHyphens/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suppressLineNumbers/>
      <w:tabs>
        <w:tab w:val="center" w:pos="4800"/>
        <w:tab w:val="right" w:pos="9601"/>
      </w:tabs>
      <w:suppressAutoHyphens/>
      <w:jc w:val="right"/>
      <w:rPr>
        <w:rFonts w:ascii="Arial" w:hAnsi="Arial" w:cs="Arial"/>
        <w:sz w:val="10"/>
        <w:szCs w:val="10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suppressLineNumbers/>
      <w:tabs>
        <w:tab w:val="center" w:pos="4800"/>
        <w:tab w:val="right" w:pos="9601"/>
      </w:tabs>
      <w:suppressAutoHyphens/>
      <w:jc w:val="right"/>
      <w:rPr>
        <w:szCs w:val="24"/>
      </w:rPr>
    </w:pPr>
    <w:r>
      <w:rPr>
        <w:szCs w:val="24"/>
        <w:lang w:val="en-US"/>
      </w:rPr>
      <w:drawing>
        <wp:inline distT="0" distB="0" distL="0" distR="0" wp14:anchorId="3E55FAD4" wp14:editId="03847880">
          <wp:extent cx="1016142" cy="766363"/>
          <wp:effectExtent l="0" t="0" r="0" b="0"/>
          <wp:docPr id="2" name="Paveikslėlis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406" cy="7756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widowControl w:val="0"/>
        <w:suppressAutoHyphens/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widowControl w:val="0"/>
        <w:suppressAutoHyphens/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widowControl w:val="0"/>
      <w:suppressLineNumbers/>
      <w:tabs>
        <w:tab w:val="center" w:pos="4800"/>
        <w:tab w:val="right" w:pos="9601"/>
      </w:tabs>
      <w:suppressAutoHyphens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widowControl w:val="0"/>
      <w:suppressLineNumbers/>
      <w:tabs>
        <w:tab w:val="center" w:pos="4800"/>
        <w:tab w:val="right" w:pos="9601"/>
      </w:tabs>
      <w:suppressAutoHyphens/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suppressLineNumbers/>
      <w:tabs>
        <w:tab w:val="center" w:pos="4800"/>
        <w:tab w:val="right" w:pos="9601"/>
      </w:tabs>
      <w:suppressAutoHyphens/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widowControl w:val="0"/>
      <w:suppressLineNumbers/>
      <w:tabs>
        <w:tab w:val="center" w:pos="4800"/>
        <w:tab w:val="right" w:pos="9601"/>
      </w:tabs>
      <w:suppressAutoHyphens/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suppressLineNumbers/>
      <w:tabs>
        <w:tab w:val="center" w:pos="4800"/>
        <w:tab w:val="right" w:pos="9601"/>
      </w:tabs>
      <w:suppressAutoHyphens/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removePersonalInformation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396"/>
  <w:doNotHyphenateCaps/>
  <w:drawingGridHorizontalSpacing w:val="120"/>
  <w:drawingGridVerticalSpacing w:val="0"/>
  <w:displayHorizontalDrawingGridEvery w:val="0"/>
  <w:displayVerticalDrawingGridEvery w:val="0"/>
  <w:characterSpacingControl w:val="doNotCompress"/>
  <w:strictFirstAndLastChars/>
  <w:doNotValidateAgainstSchema/>
  <w:doNotDemarcateInvalidXml/>
  <w:hdrShapeDefaults>
    <o:shapedefaults v:ext="edit" spidmax="23553"/>
  </w:hdrShapeDefaults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872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0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1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09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51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95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95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95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51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9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7" Type="http://schemas.openxmlformats.org/officeDocument/2006/relationships/customXml" Target="../customXml/item2.xml"/>
  <Relationship Id="rId18" Type="http://schemas.openxmlformats.org/officeDocument/2006/relationships/header" Target="header1.xml"/>
  <Relationship Id="rId19" Type="http://schemas.openxmlformats.org/officeDocument/2006/relationships/header" Target="header2.xml"/>
  <Relationship Id="rId2" Type="http://schemas.openxmlformats.org/officeDocument/2006/relationships/styles" Target="styles.xml"/>
  <Relationship Id="rId20" Type="http://schemas.openxmlformats.org/officeDocument/2006/relationships/footer" Target="footer1.xml"/>
  <Relationship Id="rId21" Type="http://schemas.openxmlformats.org/officeDocument/2006/relationships/footer" Target="footer2.xml"/>
  <Relationship Id="rId22" Type="http://schemas.openxmlformats.org/officeDocument/2006/relationships/header" Target="header3.xml"/>
  <Relationship Id="rId23" Type="http://schemas.openxmlformats.org/officeDocument/2006/relationships/footer" Target="footer3.xml"/>
  <Relationship Id="rId24" Type="http://schemas.openxmlformats.org/officeDocument/2006/relationships/fontTable" Target="fontTable.xml"/>
  <Relationship Id="rId25" Type="http://schemas.openxmlformats.org/officeDocument/2006/relationships/theme" Target="theme/theme1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</Relationships>

</file>

<file path=word/_rels/footer3.xml.rels><?xml version="1.0" encoding="UTF-8"?>

<Relationships xmlns="http://schemas.openxmlformats.org/package/2006/relationships">
  <Relationship Id="rId1" Type="http://schemas.openxmlformats.org/officeDocument/2006/relationships/image" Target="media/image2.png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lentele" DocPartId="1021b202f0e24333a18e14bb21066b1a" PartId="9392b6f46d48468590b9d038b0731d29"/>
  <Part Type="pastraipa" DocPartId="77bbd489d7e943c58ca0f7a39c6452e7" PartId="e83d38e157ff401784f12d2cbeff892f"/>
  <Part Type="pastraipa" DocPartId="2ac025eff2624476a7595824edc20ad3" PartId="21ae5ab3c54f41c3822714391f6cf8b0"/>
  <Part Type="pastraipa" DocPartId="c328d60c013f455aa47a7e8c89e10db6" PartId="bb42c12efdbd4cc3bc703a5247a3b177"/>
  <Part Type="pastraipa" DocPartId="7c43132605da41c1ab9dd256dc19dcc8" PartId="aa50f9dc613744d995f0f40030d8fe6c">
    <Part Type="punktas" Nr="1" Abbr="1 p." DocPartId="0083dd61cd7448b2816336b6008fd15b" PartId="0bea9967867d43bc98787f7ba487f425"/>
    <Part Type="punktas" Nr="2" Abbr="2 p." DocPartId="c45928ab9f5143d7a36a291a93a08445" PartId="d9eda4cf829b4a8993a05c96d4062f6e"/>
  </Part>
</Parts>
</file>

<file path=customXml/itemProps1.xml><?xml version="1.0" encoding="utf-8"?>
<ds:datastoreItem xmlns:ds="http://schemas.openxmlformats.org/officeDocument/2006/customXml" ds:itemID="{C0E98CF3-DCDF-4BCC-A7D3-E915ADD1AA1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BDDBA3D-4E08-4EB1-BB62-56DC04B6512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304</Words>
  <Characters>2365</Characters>
  <Application>Microsoft Office Word</Application>
  <DocSecurity>4</DocSecurity>
  <Lines>73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2628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2020-03-19T06:09:00Z</dcterms:created>
  <dcterms:modified xsi:type="dcterms:W3CDTF">2020-03-19T06:09:00Z</dcterms:modified>
  <revision>1</revision>
</coreProperties>
</file>