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100d95c07f64eb5bdcfb4d5d27d5399"/>
        <w:lock w:val="sdtLocked"/>
        <w:richText/>
      </w:sdtPr>
      <w:sdtContent>
        <w:p w14:paraId="172C969D" w14:textId="77777777">
          <w:pPr>
            <w:widowControl w:val="0"/>
            <w:tabs>
              <w:tab w:val="center" w:pos="4986"/>
              <w:tab w:val="right" w:pos="9972"/>
            </w:tabs>
            <w:suppressAutoHyphens/>
            <w:jc w:val="right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Projektas</w:t>
          </w:r>
        </w:p>
        <w:p w14:paraId="249AB404" w14:textId="77777777">
          <w:pPr>
            <w:widowControl w:val="0"/>
            <w:tabs>
              <w:tab w:val="center" w:pos="4986"/>
              <w:tab w:val="right" w:pos="9972"/>
            </w:tabs>
            <w:suppressAutoHyphens/>
            <w:rPr>
              <w:rFonts w:ascii="Thorndale" w:eastAsia="HG Mincho Light J" w:hAnsi="Thorndale"/>
              <w:color w:val="000000"/>
              <w:szCs w:val="24"/>
              <w:lang w:eastAsia="lt-LT"/>
            </w:rPr>
          </w:pPr>
        </w:p>
        <w:p w14:paraId="4EB6E97A" w14:textId="20BAE9D3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5A27C882" w14:textId="1B5ED916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4343FF3D" w14:textId="2DC51FE6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7E657DE9" w14:textId="0C3B58CD">
          <w:pPr>
            <w:widowControl w:val="0"/>
            <w:suppressAutoHyphens/>
            <w:jc w:val="center"/>
            <w:rPr>
              <w:rFonts w:eastAsia="HG Mincho Light J"/>
              <w:b/>
              <w:szCs w:val="24"/>
              <w:lang w:eastAsia="lt-LT"/>
            </w:rPr>
          </w:pPr>
          <w:r>
            <w:rPr>
              <w:rFonts w:eastAsia="HG Mincho Light J"/>
              <w:b/>
              <w:szCs w:val="24"/>
              <w:lang w:eastAsia="lt-LT"/>
            </w:rPr>
            <w:t>SPRENDIMAS</w:t>
          </w:r>
        </w:p>
        <w:p w14:paraId="0EFB4D15" w14:textId="77777777">
          <w:pPr>
            <w:widowControl w:val="0"/>
            <w:tabs>
              <w:tab w:val="left" w:pos="720"/>
            </w:tabs>
            <w:suppressAutoHyphens/>
            <w:jc w:val="center"/>
            <w:rPr>
              <w:rFonts w:eastAsia="Lucida Sans Unicode"/>
              <w:b/>
              <w:bCs/>
              <w:caps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rFonts w:eastAsia="HG Mincho Light J"/>
              <w:b/>
              <w:bCs/>
              <w:color w:val="000000"/>
              <w:szCs w:val="24"/>
              <w:lang w:eastAsia="lt-LT"/>
            </w:rPr>
            <w:t>DĖL ŠIAULIŲ MIESTO SAVIVALDYBĖS TARYBOS 2017 M. VASARIO 10 D. SPRENDIMO NR. T-20 „</w:t>
          </w:r>
          <w:r>
            <w:rPr>
              <w:rFonts w:eastAsia="Lucida Sans Unicode"/>
              <w:b/>
              <w:bCs/>
              <w:caps/>
              <w:color w:val="000000"/>
              <w:szCs w:val="24"/>
              <w:shd w:val="clear" w:color="auto" w:fill="FFFFFF"/>
              <w:lang w:eastAsia="ar-SA"/>
            </w:rPr>
            <w:t xml:space="preserve">DĖL </w:t>
          </w:r>
          <w:r>
            <w:rPr>
              <w:rFonts w:eastAsia="SimSun"/>
              <w:b/>
              <w:color w:val="000000"/>
              <w:kern w:val="2"/>
              <w:szCs w:val="24"/>
              <w:lang w:eastAsia="hi-IN" w:bidi="hi-IN"/>
            </w:rPr>
            <w:t xml:space="preserve">INTEGRALIOS PAGALBOS PASLAUGŲ TEIKIMO ŠIAULIŲ MIESTO SAVIVALDYBĖJE TVARKOS APRAŠO </w:t>
          </w:r>
          <w:r>
            <w:rPr>
              <w:rFonts w:eastAsia="Lucida Sans Unicode"/>
              <w:b/>
              <w:bCs/>
              <w:caps/>
              <w:color w:val="000000"/>
              <w:szCs w:val="24"/>
              <w:shd w:val="clear" w:color="auto" w:fill="FFFFFF"/>
              <w:lang w:eastAsia="ar-SA"/>
            </w:rPr>
            <w:t>PATVIRTINIMO</w:t>
          </w:r>
          <w:r>
            <w:rPr>
              <w:rFonts w:eastAsia="HG Mincho Light J"/>
              <w:b/>
              <w:bCs/>
              <w:color w:val="000000"/>
              <w:szCs w:val="24"/>
              <w:lang w:eastAsia="lt-LT"/>
            </w:rPr>
            <w:t>“ PAKEITIMO</w:t>
          </w:r>
        </w:p>
        <w:p w14:paraId="7AB4CB0C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shd w:val="clear" w:color="auto" w:fill="FFFFFF"/>
              <w:lang w:eastAsia="lt-LT"/>
            </w:rPr>
          </w:pPr>
        </w:p>
        <w:p w14:paraId="06F73FA3" w14:textId="5C3706D9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shd w:val="clear" w:color="auto" w:fill="FFFFFF"/>
              <w:lang w:eastAsia="lt-LT"/>
            </w:rPr>
          </w:pPr>
          <w:r>
            <w:rPr>
              <w:rFonts w:eastAsia="HG Mincho Light J"/>
              <w:color w:val="000000"/>
              <w:szCs w:val="24"/>
              <w:shd w:val="clear" w:color="auto" w:fill="FFFFFF"/>
              <w:lang w:eastAsia="lt-LT"/>
            </w:rPr>
            <w:t xml:space="preserve">2024 m.                   d. Nr. T-</w:t>
          </w:r>
        </w:p>
        <w:p w14:paraId="174C2DE7" w14:textId="76C5E99D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shd w:val="clear" w:color="auto" w:fill="FFFFFF"/>
              <w:lang w:eastAsia="lt-LT"/>
            </w:rPr>
          </w:pPr>
          <w:r>
            <w:rPr>
              <w:rFonts w:eastAsia="HG Mincho Light J"/>
              <w:color w:val="000000"/>
              <w:szCs w:val="24"/>
              <w:shd w:val="clear" w:color="auto" w:fill="FFFFFF"/>
              <w:lang w:eastAsia="lt-LT"/>
            </w:rPr>
            <w:t>Šiauliai</w:t>
          </w:r>
        </w:p>
        <w:p w14:paraId="3D2E7B26" w14:textId="77777777">
          <w:pPr>
            <w:widowControl w:val="0"/>
            <w:suppressAutoHyphens/>
            <w:spacing w:line="276" w:lineRule="atLeast"/>
            <w:ind w:firstLine="851"/>
            <w:jc w:val="both"/>
            <w:rPr>
              <w:rFonts w:eastAsia="HG Mincho Light J"/>
              <w:b/>
              <w:color w:val="000000"/>
              <w:szCs w:val="24"/>
              <w:shd w:val="clear" w:color="auto" w:fill="FFFFFF"/>
              <w:lang w:eastAsia="lt-LT"/>
            </w:rPr>
          </w:pPr>
        </w:p>
        <w:sdt>
          <w:sdtPr>
            <w:alias w:val="preambule"/>
            <w:tag w:val="part_ef41c8dc3f9d4a48bfbd0edb94624661"/>
            <w:lock w:val="sdtLocked"/>
            <w:richText/>
          </w:sdtPr>
          <w:sdtContent>
            <w:p w14:paraId="4EF47315" w14:textId="2A768EE5">
              <w:pPr>
                <w:widowControl w:val="0"/>
                <w:suppressAutoHyphens/>
                <w:spacing w:line="276" w:lineRule="atLeast"/>
                <w:ind w:firstLine="851"/>
                <w:jc w:val="both"/>
                <w:rPr>
                  <w:rFonts w:ascii="Thorndale" w:eastAsia="HG Mincho Light J" w:hAnsi="Thorndale"/>
                  <w:bCs/>
                  <w:color w:val="00B0F0"/>
                  <w:szCs w:val="24"/>
                  <w:shd w:val="clear" w:color="auto" w:fill="FFFFFF"/>
                  <w:lang w:eastAsia="lt-LT"/>
                </w:rPr>
              </w:pPr>
              <w:r>
                <w:rPr>
                  <w:rFonts w:ascii="Thorndale" w:eastAsia="HG Mincho Light J" w:hAnsi="Thorndale"/>
                  <w:bCs/>
                  <w:color w:val="000000"/>
                  <w:szCs w:val="24"/>
                  <w:shd w:val="clear" w:color="auto" w:fill="FFFFFF"/>
                  <w:lang w:eastAsia="lt-LT"/>
                </w:rPr>
                <w:t xml:space="preserve">Vadovaudamasi Lietuvos Respublikos vietos savivaldos įstatymo 15 straipsnio 4 dalimi,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Socialinių paslaugų finansavimo ir lėšų apskaičiavimo metodikos, patvirtintos</w:t>
              </w:r>
              <w:r>
                <w:rPr>
                  <w:rFonts w:ascii="Thorndale" w:eastAsia="HG Mincho Light J" w:hAnsi="Thorndale"/>
                  <w:bCs/>
                  <w:color w:val="000000"/>
                  <w:szCs w:val="24"/>
                  <w:shd w:val="clear" w:color="auto" w:fill="FFFFFF"/>
                  <w:lang w:eastAsia="lt-LT"/>
                </w:rPr>
                <w:t xml:space="preserve"> Lietuvos Respublikos Vyriausybės 2006 m. spalio 10 d. nutarimu Nr. 978 „Dėl Socialinių paslaugų finansavimo ir lėšų apskaičiavimo metodikos patvirtinimo“, 32 punktu, Šiaulių miesto savivaldybės taryba  </w:t>
              </w:r>
              <w:r>
                <w:rPr>
                  <w:rFonts w:ascii="Thorndale" w:eastAsia="HG Mincho Light J" w:hAnsi="Thorndale"/>
                  <w:color w:val="000000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a</w:t>
              </w:r>
              <w:r>
                <w:rPr>
                  <w:rFonts w:ascii="Thorndale" w:eastAsia="HG Mincho Light J" w:hAnsi="Thorndale"/>
                  <w:bCs/>
                  <w:color w:val="000000"/>
                  <w:szCs w:val="24"/>
                  <w:shd w:val="clear" w:color="auto" w:fill="FFFFFF"/>
                  <w:lang w:eastAsia="lt-LT"/>
                </w:rPr>
                <w:t xml:space="preserve">: </w:t>
              </w:r>
            </w:p>
          </w:sdtContent>
        </w:sdt>
        <w:sdt>
          <w:sdtPr>
            <w:alias w:val="pastraipa"/>
            <w:tag w:val="part_abcbe8b28c834259bc9ae646cda4b9c7"/>
            <w:lock w:val="sdtLocked"/>
            <w:richText/>
          </w:sdtPr>
          <w:sdtContent>
            <w:p w14:paraId="1ADE3A49" w14:textId="02876520">
              <w:pPr>
                <w:widowControl w:val="0"/>
                <w:suppressAutoHyphens/>
                <w:spacing w:line="276" w:lineRule="atLeast"/>
                <w:ind w:firstLine="851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Pakeisti Šiaulių miesto savivaldybės tarybos 2017 m. vasario 10 d. sprendimą Nr. T-20 „Dėl Integralios pagalbos paslaugų teikimo Šiaulių miesto savivaldybėje tvarkos aprašo patvirtinimo“:</w:t>
              </w:r>
            </w:p>
          </w:sdtContent>
        </w:sdt>
        <w:sdt>
          <w:sdtPr>
            <w:alias w:val="1 p."/>
            <w:tag w:val="part_2ef7148d305c4627b491be23e274f7c7"/>
            <w:lock w:val="sdtLocked"/>
            <w:richText/>
          </w:sdtPr>
          <w:sdtContent>
            <w:p w14:paraId="05AC4685" w14:textId="2E904212">
              <w:pPr>
                <w:widowControl w:val="0"/>
                <w:suppressAutoHyphens/>
                <w:spacing w:line="276" w:lineRule="atLeast"/>
                <w:ind w:firstLine="851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ef7148d305c4627b491be23e274f7c7"/>
                  <w:lock w:val="sdtLocked"/>
                  <w:richText/>
                </w:sdtPr>
                <w:sdtContent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. Pakeisti  preambulę ir ją išdėstyti taip:</w:t>
              </w:r>
            </w:p>
            <w:sdt>
              <w:sdtPr>
                <w:alias w:val="citata"/>
                <w:tag w:val="part_84059c9ea4a744a29661e02d350c6932"/>
                <w:lock w:val="sdtLocked"/>
                <w:richText/>
              </w:sdtPr>
              <w:sdtContent>
                <w:sdt>
                  <w:sdtPr>
                    <w:alias w:val="pastraipa"/>
                    <w:tag w:val="part_b3e985edbe714a699c090094053cd4ac"/>
                    <w:lock w:val="sdtLocked"/>
                    <w:richText/>
                  </w:sdtPr>
                  <w:sdtContent>
                    <w:p w14:paraId="2D947CA2" w14:textId="4B7861D6">
                      <w:pPr>
                        <w:widowControl w:val="0"/>
                        <w:suppressAutoHyphens/>
                        <w:spacing w:line="276" w:lineRule="atLeast"/>
                        <w:ind w:firstLine="851"/>
                        <w:jc w:val="both"/>
                        <w:rPr>
                          <w:rFonts w:ascii="Thorndale" w:eastAsia="HG Mincho Light J" w:hAnsi="Thorndale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ascii="Thorndale" w:eastAsia="HG Mincho Light J" w:hAnsi="Thorndale"/>
                          <w:color w:val="000000"/>
                          <w:szCs w:val="24"/>
                          <w:lang w:eastAsia="lt-LT"/>
                        </w:rPr>
                        <w:t>„Vadovaudamasi Lietuvos Respublikos vietos savivaldos įstatymo 15 straipsnio 4 dalimi, Socialinių paslaugų finansavimo ir lėšų apskaičiavimo metodikos, patvirtintos</w:t>
                      </w:r>
                      <w:r>
                        <w:rPr>
                          <w:rFonts w:ascii="Thorndale" w:eastAsia="HG Mincho Light J" w:hAnsi="Thorndale"/>
                          <w:bCs/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 </w:t>
                      </w:r>
                      <w:r>
                        <w:rPr>
                          <w:rFonts w:ascii="Thorndale" w:eastAsia="HG Mincho Light J" w:hAnsi="Thorndale"/>
                          <w:color w:val="000000"/>
                          <w:szCs w:val="24"/>
                          <w:lang w:eastAsia="lt-LT"/>
                        </w:rPr>
                        <w:t xml:space="preserve">Lietuvos Respublikos Vyriausybės 2006 m. spalio 10 d. nutarimu Nr. 978 „Dėl Socialinių paslaugų finansavimo ir lėšų apskaičiavimo metodikos patvirtinimo“, 32 punktu, Šiaulių miesto savivaldybės taryba  </w:t>
                      </w:r>
                      <w:r>
                        <w:rPr>
                          <w:rFonts w:ascii="Thorndale" w:eastAsia="HG Mincho Light J" w:hAnsi="Thorndale"/>
                          <w:color w:val="000000"/>
                          <w:spacing w:val="60"/>
                          <w:szCs w:val="24"/>
                          <w:lang w:eastAsia="lt-LT"/>
                        </w:rPr>
                        <w:t>nusprendži</w:t>
                      </w:r>
                      <w:r>
                        <w:rPr>
                          <w:rFonts w:ascii="Thorndale" w:eastAsia="HG Mincho Light J" w:hAnsi="Thorndale"/>
                          <w:color w:val="000000"/>
                          <w:szCs w:val="24"/>
                          <w:lang w:eastAsia="lt-LT"/>
                        </w:rPr>
                        <w:t>a:“.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7003bb787df4caa9a35be0f6446024e"/>
            <w:lock w:val="sdtLocked"/>
            <w:richText/>
          </w:sdtPr>
          <w:sdtContent>
            <w:p w14:paraId="525B1438" w14:textId="13B7DB32">
              <w:pPr>
                <w:widowControl w:val="0"/>
                <w:suppressAutoHyphens/>
                <w:spacing w:line="276" w:lineRule="atLeast"/>
                <w:ind w:left="567" w:firstLine="284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7003bb787df4caa9a35be0f6446024e"/>
                  <w:lock w:val="sdtLocked"/>
                  <w:richText/>
                </w:sdtPr>
                <w:sdtContent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. Pakeisti 1.2 papunktį ir jį išdėstyti taip:</w:t>
              </w:r>
            </w:p>
            <w:sdt>
              <w:sdtPr>
                <w:alias w:val="citata"/>
                <w:tag w:val="part_1ca8ca17161c4424b2a721be7bedd802"/>
                <w:lock w:val="sdtLocked"/>
                <w:richText/>
              </w:sdtPr>
              <w:sdtContent>
                <w:sdt>
                  <w:sdtPr>
                    <w:alias w:val="1.2 pp."/>
                    <w:tag w:val="part_e3e1e61fcf7c4f27b79ce71fae103846"/>
                    <w:lock w:val="sdtLocked"/>
                    <w:richText/>
                  </w:sdtPr>
                  <w:sdtContent>
                    <w:p w14:paraId="159ECAB7" w14:textId="707D1D30">
                      <w:pPr>
                        <w:widowControl w:val="0"/>
                        <w:suppressAutoHyphens/>
                        <w:spacing w:line="276" w:lineRule="atLeast"/>
                        <w:ind w:firstLine="851"/>
                        <w:jc w:val="both"/>
                        <w:rPr>
                          <w:rFonts w:ascii="Thorndale" w:eastAsia="HG Mincho Light J" w:hAnsi="Thorndale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ascii="Thorndale" w:eastAsia="HG Mincho Light J" w:hAnsi="Thorndale"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3e1e61fcf7c4f27b79ce71fae103846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ascii="Thorndale" w:eastAsia="HG Mincho Light J" w:hAnsi="Thorndale"/>
                              <w:color w:val="000000"/>
                              <w:szCs w:val="24"/>
                              <w:lang w:eastAsia="lt-LT"/>
                            </w:rPr>
                            <w:t>1.2</w:t>
                          </w:r>
                        </w:sdtContent>
                      </w:sdt>
                      <w:r>
                        <w:rPr>
                          <w:rFonts w:ascii="Thorndale" w:eastAsia="HG Mincho Light J" w:hAnsi="Thorndale"/>
                          <w:color w:val="000000"/>
                          <w:szCs w:val="24"/>
                          <w:lang w:eastAsia="lt-LT"/>
                        </w:rPr>
                        <w:t>. dienos socialinės globos, teikiant integralią pagalbą asmens namuose, kainą – 10,65 Eur už vieną paslaugos valandą asmeniui.“.</w:t>
                      </w:r>
                    </w:p>
                    <w:p w14:paraId="27644908" w14:textId="77777777">
                      <w:pPr>
                        <w:widowControl w:val="0"/>
                        <w:tabs>
                          <w:tab w:val="left" w:pos="663"/>
                        </w:tabs>
                        <w:suppressAutoHyphens/>
                        <w:ind w:firstLine="851"/>
                        <w:jc w:val="both"/>
                        <w:rPr>
                          <w:rFonts w:ascii="Thorndale" w:eastAsia="HG Mincho Light J" w:hAnsi="Thorndale"/>
                          <w:bCs/>
                          <w:color w:val="000000"/>
                          <w:szCs w:val="24"/>
                          <w:lang w:eastAsia="lt-LT"/>
                        </w:rPr>
                      </w:pPr>
                    </w:p>
                    <w:p w14:paraId="6FD14A8B" w14:textId="77777777">
                      <w:pPr>
                        <w:widowControl w:val="0"/>
                        <w:tabs>
                          <w:tab w:val="left" w:pos="663"/>
                        </w:tabs>
                        <w:suppressAutoHyphens/>
                        <w:ind w:firstLine="426"/>
                        <w:jc w:val="both"/>
                        <w:rPr>
                          <w:rFonts w:eastAsia="HG Mincho Light J"/>
                          <w:bCs/>
                          <w:color w:val="000000"/>
                          <w:szCs w:val="24"/>
                          <w:lang w:eastAsia="lt-LT"/>
                        </w:rPr>
                      </w:pPr>
                    </w:p>
                    <w:p w14:paraId="008886A8" w14:textId="77777777">
                      <w:pPr>
                        <w:widowControl w:val="0"/>
                        <w:tabs>
                          <w:tab w:val="left" w:pos="663"/>
                        </w:tabs>
                        <w:suppressAutoHyphens/>
                        <w:ind w:firstLine="426"/>
                        <w:jc w:val="both"/>
                        <w:rPr>
                          <w:rFonts w:eastAsia="HG Mincho Light J"/>
                          <w:bCs/>
                          <w:color w:val="000000"/>
                          <w:szCs w:val="24"/>
                          <w:lang w:eastAsia="lt-LT"/>
                        </w:rPr>
                      </w:pPr>
                    </w:p>
                    <w:p w14:paraId="4983A8E8" w14:textId="77777777">
                      <w:pPr>
                        <w:widowControl w:val="0"/>
                        <w:tabs>
                          <w:tab w:val="left" w:pos="663"/>
                        </w:tabs>
                        <w:suppressAutoHyphens/>
                        <w:ind w:firstLine="426"/>
                        <w:jc w:val="both"/>
                        <w:rPr>
                          <w:rFonts w:eastAsia="HG Mincho Light J"/>
                          <w:bCs/>
                          <w:color w:val="000000"/>
                          <w:szCs w:val="24"/>
                          <w:lang w:eastAsia="lt-LT"/>
                        </w:rPr>
                      </w:pPr>
                    </w:p>
                    <w:p w14:paraId="759B3AE4" w14:textId="77777777">
                      <w:pPr>
                        <w:widowControl w:val="0"/>
                        <w:suppressAutoHyphens/>
                        <w:jc w:val="both"/>
                        <w:rPr>
                          <w:rFonts w:eastAsia="Lucida Sans Unicode"/>
                          <w:color w:val="000000"/>
                          <w:szCs w:val="24"/>
                          <w:lang w:eastAsia="lt-LT"/>
                        </w:rPr>
                      </w:pPr>
                    </w:p>
                    <w:p w14:paraId="329E49B8" w14:textId="77777777">
                      <w:pPr>
                        <w:widowControl w:val="0"/>
                        <w:suppressAutoHyphens/>
                        <w:jc w:val="both"/>
                        <w:rPr>
                          <w:rFonts w:eastAsia="Lucida Sans Unicode"/>
                          <w:color w:val="000000"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87caf680721a4084a5c6b728df4f85b3"/>
            <w:lock w:val="sdtLocked"/>
            <w:richText/>
          </w:sdtPr>
          <w:sdtContent>
            <w:p w14:paraId="3B5BFCE0" w14:textId="5F2F3F5A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>Savivaldybės meras</w:t>
              </w:r>
            </w:p>
            <w:p w14:paraId="243C5EAF" w14:textId="7D7EF281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0A2A36D4" w14:textId="10860F2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01FFFE20" w14:textId="54C4B285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0A0A9AAE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57805445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03060880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9E02F60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44ADD613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749AEF5C" w14:textId="1390436C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  <w:numRestart w:val="eachPage"/>
      </w:footnotePr>
      <w:endnotePr>
        <w:numFmt w:val="decimal"/>
      </w:endnotePr>
      <w:pgSz w:w="11906" w:h="16838" w:code="9"/>
      <w:pgMar w:top="1134" w:right="567" w:bottom="1134" w:left="1701" w:header="561" w:footer="697" w:gutter="0"/>
      <w:cols w:space="72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7EA998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228F33A1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F9FE62" w14:textId="77777777"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FAD026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BBD9CD" w14:textId="77777777">
    <w:pPr>
      <w:widowControl w:val="0"/>
      <w:tabs>
        <w:tab w:val="center" w:pos="4819"/>
        <w:tab w:val="right" w:pos="9638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9CEC49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1EF5800B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8A2C53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10B467" w14:textId="2896CCC8">
    <w:pPr>
      <w:widowControl w:val="0"/>
      <w:tabs>
        <w:tab w:val="center" w:pos="4986"/>
        <w:tab w:val="right" w:pos="9972"/>
      </w:tabs>
      <w:suppressAutoHyphens/>
      <w:jc w:val="center"/>
      <w:rPr>
        <w:rFonts w:ascii="Thorndale" w:eastAsia="HG Mincho Light J" w:hAnsi="Thorndale"/>
        <w:color w:val="000000"/>
        <w:szCs w:val="24"/>
        <w:lang w:eastAsia="lt-LT"/>
      </w:rPr>
    </w:pPr>
    <w:r>
      <w:rPr>
        <w:rFonts w:ascii="Thorndale" w:eastAsia="HG Mincho Light J" w:hAnsi="Thorndale"/>
        <w:color w:val="000000"/>
        <w:szCs w:val="24"/>
        <w:lang w:eastAsia="lt-LT"/>
      </w:rPr>
      <w:fldChar w:fldCharType="begin"/>
    </w:r>
    <w:r>
      <w:rPr>
        <w:rFonts w:ascii="Thorndale" w:eastAsia="HG Mincho Light J" w:hAnsi="Thorndale"/>
        <w:color w:val="000000"/>
        <w:szCs w:val="24"/>
        <w:lang w:eastAsia="lt-LT"/>
      </w:rPr>
      <w:instrText>PAGE   \* MERGEFORMAT</w:instrText>
    </w:r>
    <w:r>
      <w:rPr>
        <w:rFonts w:ascii="Thorndale" w:eastAsia="HG Mincho Light J" w:hAnsi="Thorndale"/>
        <w:color w:val="000000"/>
        <w:szCs w:val="24"/>
        <w:lang w:eastAsia="lt-LT"/>
      </w:rPr>
      <w:fldChar w:fldCharType="separate"/>
    </w:r>
    <w:r>
      <w:rPr>
        <w:rFonts w:ascii="Thorndale" w:eastAsia="HG Mincho Light J" w:hAnsi="Thorndale"/>
        <w:color w:val="000000"/>
        <w:szCs w:val="24"/>
        <w:lang w:eastAsia="lt-LT"/>
      </w:rPr>
      <w:t>2</w:t>
    </w:r>
    <w:r>
      <w:rPr>
        <w:rFonts w:ascii="Thorndale" w:eastAsia="HG Mincho Light J" w:hAnsi="Thorndale"/>
        <w:color w:val="000000"/>
        <w:szCs w:val="24"/>
        <w:lang w:eastAsia="lt-LT"/>
      </w:rPr>
      <w:fldChar w:fldCharType="end"/>
    </w:r>
  </w:p>
  <w:p w14:paraId="1B3FD410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D89C47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A5E2E0"/>
  <w15:chartTrackingRefBased/>
  <w15:docId w15:val="{FAE3D154-61FA-420B-8037-8CEC877BBD7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094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324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78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09bfa77c764c4dbcb8b06945f91b18a8" PartId="b100d95c07f64eb5bdcfb4d5d27d5399">
    <Part Type="preambule" DocPartId="39054771ee7c4bd4b8f4cce335111c29" PartId="ef41c8dc3f9d4a48bfbd0edb94624661"/>
    <Part Type="pastraipa" DocPartId="a2edb9a7ad4b4d969c3740aad4144e8c" PartId="abcbe8b28c834259bc9ae646cda4b9c7"/>
    <Part Type="punktas" Nr="1" Abbr="1 p." DocPartId="f5a5e6cc050044c0bb116a0d7709cbd5" PartId="2ef7148d305c4627b491be23e274f7c7">
      <Part Type="citata" DocPartId="d9ed8c4877044f518684820b84a72db1" PartId="84059c9ea4a744a29661e02d350c6932">
        <Part Type="pastraipa" DocPartId="117d415242b0456187f9f72f6d850dcf" PartId="b3e985edbe714a699c090094053cd4ac"/>
      </Part>
    </Part>
    <Part Type="punktas" Nr="2" Abbr="2 p." DocPartId="723d5c1f1cd64908a21809a8af4813f0" PartId="27003bb787df4caa9a35be0f6446024e">
      <Part Type="citata" DocPartId="e819588a2d1d4519a53e157e530b7768" PartId="1ca8ca17161c4424b2a721be7bedd802">
        <Part Type="papunktis" Nr="1.2" Abbr="1.2 pp." DocPartId="4622c209a8cc475e917aa65de895494e" PartId="e3e1e61fcf7c4f27b79ce71fae103846"/>
      </Part>
    </Part>
    <Part Type="signatura" DocPartId="5664ac74af704c9ebf3dd9fa7e776083" PartId="87caf680721a4084a5c6b728df4f85b3"/>
  </Part>
</Parts>
</file>

<file path=customXml/itemProps1.xml><?xml version="1.0" encoding="utf-8"?>
<ds:datastoreItem xmlns:ds="http://schemas.openxmlformats.org/officeDocument/2006/customXml" ds:itemID="{50CFB7E9-70C9-439E-98AA-768A668DCEF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336EC5B-693F-4112-9E05-82BE8CEA12C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190</Words>
  <Characters>1317</Characters>
  <Application>Microsoft Office Word</Application>
  <DocSecurity>4</DocSecurity>
  <Lines>45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2024-01-09T14:54:00Z</dcterms:created>
  <dc:creator>Violeta Valančienė</dc:creator>
  <lastModifiedBy>adlibuser</lastModifiedBy>
  <dcterms:modified xsi:type="dcterms:W3CDTF">2024-01-09T14:54:00Z</dcterms:modified>
  <revision>2</revision>
</coreProperties>
</file>