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officeDocument/2006/relationships/custom-properties" Target="docProps/custom.xml"/>
  <Relationship Id="rId5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774516ffc2ae434b850efe11a0aaa9f6"/>
        <w:lock w:val="sdtLocked"/>
        <w:richText/>
      </w:sdtPr>
      <w:sdtContent>
        <w:p w14:paraId="2EC8C351" w14:textId="77777777">
          <w:pPr>
            <w:widowControl w:val="0"/>
            <w:tabs>
              <w:tab w:val="center" w:pos="4153"/>
              <w:tab w:val="right" w:pos="8306"/>
            </w:tabs>
            <w:suppressAutoHyphens/>
            <w:rPr>
              <w:rFonts w:eastAsia="Lucida Sans Unicode" w:cs="Tahoma"/>
              <w:sz w:val="20"/>
              <w:lang w:eastAsia="hi-IN" w:bidi="hi-IN"/>
            </w:rPr>
          </w:pPr>
        </w:p>
        <w:p w14:paraId="528EF8B3" w14:textId="77777777">
          <w:pPr>
            <w:widowControl w:val="0"/>
            <w:suppressAutoHyphens/>
            <w:jc w:val="right"/>
            <w:rPr>
              <w:rFonts w:eastAsia="Lucida Sans Unicode" w:cs="Tahoma"/>
              <w:b/>
              <w:szCs w:val="24"/>
              <w:lang w:eastAsia="hi-IN" w:bidi="hi-IN"/>
            </w:rPr>
          </w:pPr>
          <w:r>
            <w:rPr>
              <w:rFonts w:eastAsia="Lucida Sans Unicode" w:cs="Tahoma"/>
              <w:b/>
              <w:szCs w:val="24"/>
              <w:lang w:eastAsia="hi-IN" w:bidi="hi-IN"/>
            </w:rPr>
            <w:t>Projektas</w:t>
          </w:r>
        </w:p>
        <w:p w14:paraId="528EF8B4" w14:textId="77777777">
          <w:pPr>
            <w:keepNext/>
            <w:widowControl w:val="0"/>
            <w:suppressAutoHyphens/>
            <w:jc w:val="center"/>
            <w:outlineLvl w:val="1"/>
            <w:rPr>
              <w:rFonts w:eastAsia="Lucida Sans Unicode" w:cs="Tahoma"/>
              <w:b/>
              <w:szCs w:val="24"/>
              <w:lang w:eastAsia="hi-IN" w:bidi="hi-IN"/>
            </w:rPr>
          </w:pPr>
        </w:p>
        <w:p w14:paraId="528EF8B5" w14:textId="77777777">
          <w:pPr>
            <w:keepNext/>
            <w:widowControl w:val="0"/>
            <w:suppressAutoHyphens/>
            <w:ind w:left="576" w:hanging="576"/>
            <w:jc w:val="center"/>
            <w:outlineLvl w:val="1"/>
            <w:rPr>
              <w:rFonts w:eastAsia="Lucida Sans Unicode" w:cs="Tahoma"/>
              <w:b/>
              <w:szCs w:val="24"/>
              <w:lang w:eastAsia="hi-IN" w:bidi="hi-IN"/>
            </w:rPr>
          </w:pPr>
          <w:r>
            <w:rPr>
              <w:rFonts w:eastAsia="Lucida Sans Unicode" w:cs="Tahoma"/>
              <w:b/>
              <w:szCs w:val="24"/>
              <w:lang w:eastAsia="hi-IN" w:bidi="hi-IN"/>
            </w:rPr>
            <w:t>ŠIAULIŲ MIESTO SAVIVALDYBĖS TARYBA</w:t>
          </w:r>
        </w:p>
        <w:p w14:paraId="528EF8B6" w14:textId="77777777"/>
        <w:p w14:paraId="528EF8B7" w14:textId="77777777">
          <w:pPr>
            <w:widowControl w:val="0"/>
            <w:suppressAutoHyphens/>
            <w:jc w:val="center"/>
            <w:rPr>
              <w:rFonts w:eastAsia="Lucida Sans Unicode" w:cs="Tahoma"/>
              <w:b/>
              <w:szCs w:val="24"/>
              <w:lang w:eastAsia="hi-IN" w:bidi="hi-IN"/>
            </w:rPr>
          </w:pPr>
          <w:r>
            <w:rPr>
              <w:rFonts w:eastAsia="Lucida Sans Unicode" w:cs="Tahoma"/>
              <w:b/>
              <w:szCs w:val="24"/>
              <w:lang w:eastAsia="hi-IN" w:bidi="hi-IN"/>
            </w:rPr>
            <w:t>SPRENDIMAS</w:t>
          </w:r>
        </w:p>
        <w:p w14:paraId="528EF8B8" w14:textId="0D298094">
          <w:pPr>
            <w:widowControl w:val="0"/>
            <w:tabs>
              <w:tab w:val="left" w:pos="6792"/>
            </w:tabs>
            <w:suppressAutoHyphens/>
            <w:ind w:left="709"/>
            <w:jc w:val="center"/>
            <w:rPr>
              <w:rFonts w:eastAsia="Lucida Sans Unicode" w:cs="Tahoma"/>
              <w:b/>
              <w:iCs/>
              <w:szCs w:val="24"/>
              <w:lang w:eastAsia="hi-IN" w:bidi="hi-IN"/>
            </w:rPr>
          </w:pPr>
          <w:r>
            <w:rPr>
              <w:rFonts w:eastAsia="Lucida Sans Unicode" w:cs="Tahoma"/>
              <w:b/>
              <w:iCs/>
              <w:szCs w:val="24"/>
              <w:lang w:eastAsia="hi-IN" w:bidi="hi-IN"/>
            </w:rPr>
            <w:t xml:space="preserve">DĖL ŠIAULIŲ </w:t>
          </w:r>
          <w:r>
            <w:rPr>
              <w:b/>
              <w:bCs/>
              <w:szCs w:val="24"/>
              <w:lang w:eastAsia="ar-SA"/>
            </w:rPr>
            <w:t>REGBIO IR ŽOLĖS RIEDULIO AKADEMIJOS</w:t>
          </w:r>
          <w:r>
            <w:rPr>
              <w:rFonts w:eastAsia="Lucida Sans Unicode" w:cs="Tahoma"/>
              <w:b/>
              <w:iCs/>
              <w:szCs w:val="24"/>
              <w:lang w:eastAsia="hi-IN" w:bidi="hi-IN"/>
            </w:rPr>
            <w:t xml:space="preserve"> NUOSTATŲ PATVIRTINIMO</w:t>
          </w:r>
        </w:p>
        <w:p w14:paraId="528EF8B9" w14:textId="77777777">
          <w:pPr>
            <w:widowControl w:val="0"/>
            <w:tabs>
              <w:tab w:val="left" w:pos="6792"/>
            </w:tabs>
            <w:suppressAutoHyphens/>
            <w:ind w:left="709" w:firstLine="124"/>
            <w:jc w:val="center"/>
            <w:rPr>
              <w:rFonts w:eastAsia="Lucida Sans Unicode" w:cs="Tahoma"/>
              <w:b/>
              <w:iCs/>
              <w:szCs w:val="24"/>
              <w:lang w:eastAsia="hi-IN" w:bidi="hi-IN"/>
            </w:rPr>
          </w:pPr>
        </w:p>
        <w:p w14:paraId="528EF8BA" w14:textId="7218D67A">
          <w:pPr>
            <w:widowControl w:val="0"/>
            <w:suppressAutoHyphens/>
            <w:jc w:val="center"/>
            <w:rPr>
              <w:rFonts w:eastAsia="Lucida Sans Unicode" w:cs="Tahoma"/>
              <w:szCs w:val="24"/>
              <w:lang w:eastAsia="hi-IN" w:bidi="hi-IN"/>
            </w:rPr>
          </w:pPr>
          <w:r>
            <w:rPr>
              <w:rFonts w:eastAsia="Lucida Sans Unicode" w:cs="Tahoma"/>
              <w:szCs w:val="24"/>
              <w:shd w:val="clear" w:color="auto" w:fill="FFFFFF"/>
              <w:lang w:eastAsia="hi-IN" w:bidi="hi-IN"/>
            </w:rPr>
            <w:t xml:space="preserve">2024 m.                   d. Nr. T-</w:t>
          </w:r>
        </w:p>
        <w:p w14:paraId="528EF8BB" w14:textId="77777777">
          <w:pPr>
            <w:widowControl w:val="0"/>
            <w:suppressAutoHyphens/>
            <w:jc w:val="center"/>
            <w:rPr>
              <w:rFonts w:eastAsia="Lucida Sans Unicode" w:cs="Tahoma"/>
              <w:szCs w:val="24"/>
              <w:shd w:val="clear" w:color="auto" w:fill="FFFFFF"/>
              <w:lang w:eastAsia="hi-IN" w:bidi="hi-IN"/>
            </w:rPr>
          </w:pPr>
          <w:r>
            <w:rPr>
              <w:rFonts w:eastAsia="Lucida Sans Unicode" w:cs="Tahoma"/>
              <w:szCs w:val="24"/>
              <w:shd w:val="clear" w:color="auto" w:fill="FFFFFF"/>
              <w:lang w:eastAsia="hi-IN" w:bidi="hi-IN"/>
            </w:rPr>
            <w:t>Šiauliai</w:t>
          </w:r>
        </w:p>
        <w:p w14:paraId="528EF8BD" w14:textId="77777777">
          <w:pPr>
            <w:widowControl w:val="0"/>
            <w:suppressAutoHyphens/>
            <w:jc w:val="center"/>
            <w:rPr>
              <w:rFonts w:eastAsia="Lucida Sans Unicode" w:cs="Tahoma"/>
              <w:szCs w:val="24"/>
              <w:shd w:val="clear" w:color="auto" w:fill="FFFFFF"/>
              <w:lang w:eastAsia="hi-IN" w:bidi="hi-IN"/>
            </w:rPr>
          </w:pPr>
        </w:p>
        <w:sdt>
          <w:sdtPr>
            <w:alias w:val="preambule"/>
            <w:tag w:val="part_26d4fbf2de92499aa08a32702b6b611f"/>
            <w:lock w:val="sdtLocked"/>
            <w:richText/>
          </w:sdtPr>
          <w:sdtContent>
            <w:p w14:paraId="73AF5713" w14:textId="77777777">
              <w:pPr>
                <w:suppressAutoHyphens/>
                <w:ind w:firstLine="720"/>
                <w:jc w:val="both"/>
                <w:rPr>
                  <w:szCs w:val="24"/>
                  <w:lang w:eastAsia="ar-SA"/>
                </w:rPr>
              </w:pPr>
              <w:r>
                <w:rPr>
                  <w:szCs w:val="24"/>
                  <w:lang w:eastAsia="ar-SA"/>
                </w:rPr>
                <w:t>Vadovaudamasi Lietuvos Respublikos vietos savivaldos įstatymo 15 straipsnio 2 dalies 9 punktu, Lietuvos Respublikos biudžetinių įstaigų įstatymo 5 straipsnio 3 dalies 1 punktu, 4 dalimi, 7 straipsniu, Šiaulių miesto savivaldybės taryba</w:t>
              </w:r>
              <w:r>
                <w:rPr>
                  <w:spacing w:val="40"/>
                  <w:szCs w:val="24"/>
                  <w:lang w:eastAsia="ar-SA"/>
                </w:rPr>
                <w:t xml:space="preserve"> nusprendžia</w:t>
              </w:r>
              <w:r>
                <w:rPr>
                  <w:szCs w:val="24"/>
                  <w:lang w:eastAsia="ar-SA"/>
                </w:rPr>
                <w:t>:</w:t>
              </w:r>
            </w:p>
          </w:sdtContent>
        </w:sdt>
        <w:sdt>
          <w:sdtPr>
            <w:alias w:val="1 p."/>
            <w:tag w:val="part_3a23259bf1b24e7bb7b1140a23625b0e"/>
            <w:lock w:val="sdtLocked"/>
            <w:richText/>
          </w:sdtPr>
          <w:sdtContent>
            <w:p w14:paraId="528EF8BF" w14:textId="1846165D">
              <w:pPr>
                <w:suppressAutoHyphens/>
                <w:ind w:firstLine="709"/>
                <w:jc w:val="both"/>
                <w:rPr>
                  <w:bCs/>
                  <w:szCs w:val="24"/>
                  <w:lang w:eastAsia="ar-SA"/>
                </w:rPr>
              </w:pPr>
              <w:sdt>
                <w:sdtPr>
                  <w:alias w:val="Numeris"/>
                  <w:tag w:val="nr_3a23259bf1b24e7bb7b1140a23625b0e"/>
                  <w:lock w:val="sdtLocked"/>
                  <w:richText/>
                </w:sdtPr>
                <w:sdtContent>
                  <w:r>
                    <w:rPr>
                      <w:bCs/>
                      <w:szCs w:val="24"/>
                      <w:lang w:eastAsia="ar-SA"/>
                    </w:rPr>
                    <w:t>1</w:t>
                  </w:r>
                </w:sdtContent>
              </w:sdt>
              <w:r>
                <w:rPr>
                  <w:bCs/>
                  <w:szCs w:val="24"/>
                  <w:lang w:eastAsia="ar-SA"/>
                </w:rPr>
                <w:t>. Patvirtinti biudžetinės įstaigos Šiaulių regbio ir žolės riedulio akademijos nuostatus (toliau – Nuostatai) (pridedama).</w:t>
              </w:r>
            </w:p>
          </w:sdtContent>
        </w:sdt>
        <w:sdt>
          <w:sdtPr>
            <w:alias w:val="2 p."/>
            <w:tag w:val="part_afffc368eed9492e9e1a124e48562710"/>
            <w:lock w:val="sdtLocked"/>
            <w:richText/>
          </w:sdtPr>
          <w:sdtContent>
            <w:p w14:paraId="6A0578B7" w14:textId="61F045CD">
              <w:pPr>
                <w:suppressAutoHyphens/>
                <w:ind w:firstLine="709"/>
                <w:jc w:val="both"/>
                <w:rPr>
                  <w:bCs/>
                  <w:szCs w:val="24"/>
                  <w:lang w:eastAsia="ar-SA"/>
                </w:rPr>
              </w:pPr>
              <w:sdt>
                <w:sdtPr>
                  <w:alias w:val="Numeris"/>
                  <w:tag w:val="nr_afffc368eed9492e9e1a124e48562710"/>
                  <w:lock w:val="sdtLocked"/>
                  <w:richText/>
                </w:sdtPr>
                <w:sdtContent>
                  <w:r>
                    <w:rPr>
                      <w:bCs/>
                      <w:szCs w:val="24"/>
                      <w:lang w:eastAsia="ar-SA"/>
                    </w:rPr>
                    <w:t>2</w:t>
                  </w:r>
                </w:sdtContent>
              </w:sdt>
              <w:r>
                <w:rPr>
                  <w:bCs/>
                  <w:szCs w:val="24"/>
                  <w:lang w:eastAsia="ar-SA"/>
                </w:rPr>
                <w:t xml:space="preserve">. Įgalioti biudžetinės įstaigos Šiaulių regbio ir žolės riedulio akademijos direktorių pasirašyti šio sprendimo 1 punktu patvirtintus Nuostatus ir teisės aktų nustatyta tvarka ir terminais juos įregistruoti Juridinių asmenų registre. </w:t>
              </w:r>
            </w:p>
          </w:sdtContent>
        </w:sdt>
        <w:sdt>
          <w:sdtPr>
            <w:alias w:val="3 p."/>
            <w:tag w:val="part_525f390f6aad4111bc46bdcf3ae613bc"/>
            <w:lock w:val="sdtLocked"/>
            <w:richText/>
          </w:sdtPr>
          <w:sdtContent>
            <w:p w14:paraId="528EF8C7" w14:textId="528619DE">
              <w:pPr>
                <w:ind w:firstLine="709"/>
                <w:jc w:val="both"/>
                <w:rPr>
                  <w:rFonts w:ascii="LiberationSerif-Bold" w:hAnsi="LiberationSerif-Bold" w:cs="LiberationSerif-Bold"/>
                  <w:bCs/>
                  <w:szCs w:val="24"/>
                  <w:lang w:eastAsia="lt-LT"/>
                </w:rPr>
              </w:pPr>
              <w:sdt>
                <w:sdtPr>
                  <w:alias w:val="Numeris"/>
                  <w:tag w:val="nr_525f390f6aad4111bc46bdcf3ae613bc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3</w:t>
                  </w:r>
                </w:sdtContent>
              </w:sdt>
              <w:r>
                <w:rPr>
                  <w:szCs w:val="24"/>
                  <w:lang w:eastAsia="ar-SA"/>
                </w:rPr>
                <w:t xml:space="preserve">. Pripažinti netekusiu galios Šiaulių miesto savivaldybės tarybos 2020 m. lapkričio 5 d. sprendimo Nr. T-432 </w:t>
              </w:r>
              <w:r>
                <w:rPr>
                  <w:rFonts w:ascii="LiberationSerif-Bold" w:hAnsi="LiberationSerif-Bold" w:cs="LiberationSerif-Bold"/>
                  <w:bCs/>
                  <w:szCs w:val="24"/>
                  <w:lang w:eastAsia="lt-LT"/>
                </w:rPr>
                <w:t>„</w:t>
              </w:r>
              <w:r>
                <w:rPr>
                  <w:bCs/>
                  <w:szCs w:val="24"/>
                  <w:lang w:eastAsia="lt-LT"/>
                </w:rPr>
                <w:t>Dėl Šiaulių sporto centrų „Atžalynas“, „Dubysa“, Šiaulių plaukimo centro „Delfinas“, Šiaulių regbio ir žolės riedulio akademijos, Šiaulių lengvosios atletikos ir sveikatingumo centro ir Šiaulių teniso akademijos nuostatų patvirtinimo</w:t>
              </w:r>
              <w:r>
                <w:rPr>
                  <w:rFonts w:ascii="LiberationSerif-Bold" w:hAnsi="LiberationSerif-Bold" w:cs="LiberationSerif-Bold"/>
                  <w:bCs/>
                  <w:szCs w:val="24"/>
                  <w:lang w:eastAsia="lt-LT"/>
                </w:rPr>
                <w:t>“</w:t>
              </w:r>
              <w:r>
                <w:rPr>
                  <w:szCs w:val="24"/>
                  <w:lang w:eastAsia="ar-SA"/>
                </w:rPr>
                <w:t xml:space="preserve"> 1.4 papunktį.</w:t>
              </w:r>
            </w:p>
          </w:sdtContent>
        </w:sdt>
        <w:sdt>
          <w:sdtPr>
            <w:alias w:val="4 p."/>
            <w:tag w:val="part_e2a297f0c74c4a20b7009af7da00d3d0"/>
            <w:lock w:val="sdtLocked"/>
            <w:richText/>
          </w:sdtPr>
          <w:sdtContent>
            <w:p w14:paraId="528EF8C8" w14:textId="709DD59D">
              <w:pPr>
                <w:suppressAutoHyphens/>
                <w:ind w:firstLine="709"/>
                <w:jc w:val="both"/>
                <w:rPr>
                  <w:bCs/>
                  <w:szCs w:val="24"/>
                  <w:lang w:eastAsia="ar-SA"/>
                </w:rPr>
              </w:pPr>
              <w:sdt>
                <w:sdtPr>
                  <w:alias w:val="Numeris"/>
                  <w:tag w:val="nr_e2a297f0c74c4a20b7009af7da00d3d0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4</w:t>
                  </w:r>
                </w:sdtContent>
              </w:sdt>
              <w:r>
                <w:rPr>
                  <w:szCs w:val="24"/>
                  <w:lang w:eastAsia="ar-SA"/>
                </w:rPr>
                <w:t>. Nustatyti, kad</w:t>
              </w:r>
              <w:r>
                <w:rPr>
                  <w:b/>
                  <w:caps/>
                  <w:szCs w:val="24"/>
                  <w:lang w:eastAsia="ar-SA"/>
                </w:rPr>
                <w:t xml:space="preserve"> </w:t>
              </w:r>
              <w:r>
                <w:rPr>
                  <w:bCs/>
                  <w:szCs w:val="24"/>
                  <w:lang w:eastAsia="ar-SA"/>
                </w:rPr>
                <w:t>šio sprendimo 3 punktas įsigalioja nuo šio sprendimo 1 punktu patvirtintų Nuostatų įregistravimo Juridinių asmenų registre dienos.</w:t>
              </w:r>
            </w:p>
            <w:p w14:paraId="06EC9EDB" w14:textId="173F3B82">
              <w:pPr>
                <w:widowControl w:val="0"/>
                <w:suppressAutoHyphens/>
                <w:ind w:firstLine="851"/>
                <w:jc w:val="both"/>
                <w:rPr>
                  <w:rFonts w:eastAsia="HG Mincho Light J" w:cs="Tahoma"/>
                  <w:color w:val="000000"/>
                  <w:szCs w:val="24"/>
                  <w:lang w:eastAsia="hi-IN" w:bidi="hi-IN"/>
                </w:rPr>
              </w:pPr>
              <w:r>
                <w:rPr>
                  <w:rFonts w:eastAsia="Lucida Sans Unicode" w:cs="Tahoma"/>
                  <w:szCs w:val="24"/>
                  <w:lang w:eastAsia="hi-IN" w:bidi="hi-IN"/>
                </w:rPr>
                <w:t>Šis sprendimas ne vėliau kaip per vieną mėnesį nuo jo įteikimo dienos gali būti skundžiamas paduodant skundą Lietuvos administracinių ginčų komisijos Šiaulių apygardos skyriui adresu: Dvaro g. 81, Šiauliai, arba Regionų administraciniam teismui bet kuriuose šio teismo rūmuose.</w:t>
              </w:r>
            </w:p>
            <w:p w14:paraId="3E96EC75" w14:textId="77777777">
              <w:pPr>
                <w:widowControl w:val="0"/>
                <w:tabs>
                  <w:tab w:val="right" w:pos="9570"/>
                </w:tabs>
                <w:suppressAutoHyphens/>
                <w:jc w:val="both"/>
                <w:rPr>
                  <w:rFonts w:eastAsia="HG Mincho Light J" w:cs="Tahoma"/>
                  <w:color w:val="000000"/>
                  <w:szCs w:val="24"/>
                  <w:lang w:eastAsia="hi-IN" w:bidi="hi-IN"/>
                </w:rPr>
              </w:pPr>
            </w:p>
            <w:p w14:paraId="05754E2B" w14:textId="77777777">
              <w:pPr>
                <w:suppressAutoHyphens/>
                <w:ind w:firstLine="709"/>
                <w:jc w:val="both"/>
                <w:rPr>
                  <w:bCs/>
                  <w:szCs w:val="24"/>
                  <w:lang w:eastAsia="ar-SA"/>
                </w:rPr>
              </w:pPr>
            </w:p>
            <w:p w14:paraId="528EF8C9" w14:textId="77777777">
              <w:pPr>
                <w:widowControl w:val="0"/>
                <w:suppressAutoHyphens/>
                <w:jc w:val="center"/>
                <w:rPr>
                  <w:rFonts w:eastAsia="Lucida Sans Unicode" w:cs="Tahoma"/>
                  <w:szCs w:val="24"/>
                  <w:shd w:val="clear" w:color="auto" w:fill="FFFFFF"/>
                  <w:lang w:eastAsia="hi-IN" w:bidi="hi-IN"/>
                </w:rPr>
              </w:pPr>
            </w:p>
            <w:p w14:paraId="528EF8CF" w14:textId="77777777">
              <w:pPr>
                <w:widowControl w:val="0"/>
                <w:suppressAutoHyphens/>
                <w:jc w:val="both"/>
                <w:rPr>
                  <w:rFonts w:eastAsia="Lucida Sans Unicode" w:cs="Tahoma"/>
                  <w:szCs w:val="24"/>
                  <w:shd w:val="clear" w:color="auto" w:fill="FFFFFF"/>
                  <w:lang w:eastAsia="hi-IN" w:bidi="hi-IN"/>
                </w:rPr>
              </w:pPr>
            </w:p>
            <w:p w14:paraId="528EF8D0" w14:textId="77777777">
              <w:pPr>
                <w:widowControl w:val="0"/>
                <w:suppressAutoHyphens/>
                <w:jc w:val="both"/>
                <w:rPr>
                  <w:rFonts w:eastAsia="Lucida Sans Unicode" w:cs="Tahoma"/>
                  <w:szCs w:val="24"/>
                  <w:shd w:val="clear" w:color="auto" w:fill="FFFFFF"/>
                  <w:lang w:eastAsia="hi-IN" w:bidi="hi-IN"/>
                </w:rPr>
              </w:pPr>
            </w:p>
          </w:sdtContent>
        </w:sdt>
        <w:sdt>
          <w:sdtPr>
            <w:alias w:val="signatura"/>
            <w:tag w:val="part_e9af70482ef4428c910e9ea160abf775"/>
            <w:lock w:val="sdtLocked"/>
            <w:richText/>
          </w:sdtPr>
          <w:sdtContent>
            <w:p w14:paraId="528EF8D1" w14:textId="77777777">
              <w:pPr>
                <w:widowControl w:val="0"/>
                <w:suppressAutoHyphens/>
                <w:ind w:firstLine="30"/>
                <w:jc w:val="both"/>
                <w:rPr>
                  <w:rFonts w:eastAsia="Lucida Sans Unicode" w:cs="Tahoma"/>
                  <w:szCs w:val="24"/>
                  <w:lang w:eastAsia="hi-IN" w:bidi="hi-IN"/>
                </w:rPr>
              </w:pPr>
              <w:r>
                <w:rPr>
                  <w:rFonts w:eastAsia="Lucida Sans Unicode" w:cs="Tahoma"/>
                  <w:szCs w:val="24"/>
                  <w:lang w:eastAsia="hi-IN" w:bidi="hi-IN"/>
                </w:rPr>
                <w:t>Savivaldybės meras</w:t>
              </w:r>
            </w:p>
            <w:p w14:paraId="528EF8D2" w14:textId="77777777">
              <w:pPr>
                <w:widowControl w:val="0"/>
                <w:suppressAutoHyphens/>
                <w:ind w:firstLine="30"/>
                <w:jc w:val="both"/>
                <w:rPr>
                  <w:rFonts w:eastAsia="Lucida Sans Unicode" w:cs="Tahoma"/>
                  <w:szCs w:val="24"/>
                  <w:lang w:eastAsia="hi-IN" w:bidi="hi-IN"/>
                </w:rPr>
              </w:pPr>
            </w:p>
            <w:p w14:paraId="528EF8D3" w14:textId="77777777">
              <w:pPr>
                <w:widowControl w:val="0"/>
                <w:suppressAutoHyphens/>
                <w:ind w:firstLine="30"/>
                <w:jc w:val="both"/>
                <w:rPr>
                  <w:rFonts w:eastAsia="Lucida Sans Unicode" w:cs="Tahoma"/>
                  <w:szCs w:val="24"/>
                  <w:lang w:eastAsia="hi-IN" w:bidi="hi-IN"/>
                </w:rPr>
              </w:pPr>
            </w:p>
            <w:p w14:paraId="528EF8D4" w14:textId="77777777">
              <w:pPr>
                <w:suppressAutoHyphens/>
                <w:jc w:val="center"/>
                <w:rPr>
                  <w:b/>
                  <w:bCs/>
                  <w:szCs w:val="24"/>
                  <w:lang w:eastAsia="ar-SA"/>
                </w:rPr>
              </w:pPr>
            </w:p>
          </w:sdtContent>
        </w:sdt>
      </w:sdtContent>
    </w:sdt>
    <w:sectPr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134" w:right="567" w:bottom="1134" w:left="1701" w:header="0" w:footer="0" w:gutter="0"/>
      <w:cols w:space="1296"/>
      <w:formProt w:val="0"/>
      <w:titlePg/>
      <w:docGrid w:linePitch="360" w:charSpace="-6145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AB66795" w14:textId="77777777">
      <w:pPr>
        <w:widowControl w:val="0"/>
        <w:suppressAutoHyphens/>
        <w:rPr>
          <w:rFonts w:eastAsia="Lucida Sans Unicode" w:cs="Tahoma"/>
          <w:szCs w:val="24"/>
          <w:lang w:eastAsia="hi-IN" w:bidi="hi-IN"/>
        </w:rPr>
      </w:pPr>
      <w:r>
        <w:rPr>
          <w:rFonts w:eastAsia="Lucida Sans Unicode" w:cs="Tahoma"/>
          <w:szCs w:val="24"/>
          <w:lang w:eastAsia="hi-IN" w:bidi="hi-IN"/>
        </w:rPr>
        <w:separator/>
      </w:r>
    </w:p>
  </w:endnote>
  <w:endnote w:type="continuationSeparator" w:id="0">
    <w:p w14:paraId="14018ED0" w14:textId="77777777">
      <w:pPr>
        <w:widowControl w:val="0"/>
        <w:suppressAutoHyphens/>
        <w:rPr>
          <w:rFonts w:eastAsia="Lucida Sans Unicode" w:cs="Tahoma"/>
          <w:szCs w:val="24"/>
          <w:lang w:eastAsia="hi-IN" w:bidi="hi-IN"/>
        </w:rPr>
      </w:pPr>
      <w:r>
        <w:rPr>
          <w:rFonts w:eastAsia="Lucida Sans Unicode" w:cs="Tahoma"/>
          <w:szCs w:val="24"/>
          <w:lang w:eastAsia="hi-IN" w:bidi="hi-IN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Lucida Sans Unicode">
    <w:panose1 w:val="020B0602030504020204"/>
    <w:charset w:val="BA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LiberationSerif-Bold">
    <w:altName w:val="Times New Roman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G Mincho Light J">
    <w:altName w:val="Calibri"/>
    <w:charset w:val="BA"/>
    <w:family w:val="auto"/>
    <w:pitch w:val="variable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2DFEB19" w14:textId="77777777">
    <w:pPr>
      <w:widowControl w:val="0"/>
      <w:suppressLineNumbers/>
      <w:tabs>
        <w:tab w:val="center" w:pos="4819"/>
        <w:tab w:val="right" w:pos="9638"/>
      </w:tabs>
      <w:suppressAutoHyphens/>
      <w:rPr>
        <w:rFonts w:eastAsia="Lucida Sans Unicode" w:cs="Tahoma"/>
        <w:szCs w:val="24"/>
        <w:lang w:eastAsia="hi-IN" w:bidi="hi-IN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9EB7A62" w14:textId="77777777">
    <w:pPr>
      <w:widowControl w:val="0"/>
      <w:suppressLineNumbers/>
      <w:tabs>
        <w:tab w:val="center" w:pos="4819"/>
        <w:tab w:val="right" w:pos="9638"/>
      </w:tabs>
      <w:suppressAutoHyphens/>
      <w:rPr>
        <w:rFonts w:eastAsia="Lucida Sans Unicode" w:cs="Tahoma"/>
        <w:szCs w:val="24"/>
        <w:lang w:eastAsia="hi-IN" w:bidi="hi-IN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87AD0A2" w14:textId="77777777">
    <w:pPr>
      <w:widowControl w:val="0"/>
      <w:suppressLineNumbers/>
      <w:tabs>
        <w:tab w:val="center" w:pos="4819"/>
        <w:tab w:val="right" w:pos="9638"/>
      </w:tabs>
      <w:suppressAutoHyphens/>
      <w:rPr>
        <w:rFonts w:eastAsia="Lucida Sans Unicode" w:cs="Tahoma"/>
        <w:szCs w:val="24"/>
        <w:lang w:eastAsia="hi-IN" w:bidi="hi-IN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AC56875" w14:textId="77777777">
      <w:pPr>
        <w:widowControl w:val="0"/>
        <w:suppressAutoHyphens/>
        <w:rPr>
          <w:rFonts w:eastAsia="Lucida Sans Unicode" w:cs="Tahoma"/>
          <w:szCs w:val="24"/>
          <w:lang w:eastAsia="hi-IN" w:bidi="hi-IN"/>
        </w:rPr>
      </w:pPr>
      <w:r>
        <w:rPr>
          <w:rFonts w:eastAsia="Lucida Sans Unicode" w:cs="Tahoma"/>
          <w:szCs w:val="24"/>
          <w:lang w:eastAsia="hi-IN" w:bidi="hi-IN"/>
        </w:rPr>
        <w:separator/>
      </w:r>
    </w:p>
  </w:footnote>
  <w:footnote w:type="continuationSeparator" w:id="0">
    <w:p w14:paraId="5042DCFD" w14:textId="77777777">
      <w:pPr>
        <w:widowControl w:val="0"/>
        <w:suppressAutoHyphens/>
        <w:rPr>
          <w:rFonts w:eastAsia="Lucida Sans Unicode" w:cs="Tahoma"/>
          <w:szCs w:val="24"/>
          <w:lang w:eastAsia="hi-IN" w:bidi="hi-IN"/>
        </w:rPr>
      </w:pPr>
      <w:r>
        <w:rPr>
          <w:rFonts w:eastAsia="Lucida Sans Unicode" w:cs="Tahoma"/>
          <w:szCs w:val="24"/>
          <w:lang w:eastAsia="hi-IN" w:bidi="hi-IN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206B92E" w14:textId="77777777">
    <w:pPr>
      <w:widowControl w:val="0"/>
      <w:tabs>
        <w:tab w:val="center" w:pos="4153"/>
        <w:tab w:val="right" w:pos="8306"/>
      </w:tabs>
      <w:suppressAutoHyphens/>
      <w:rPr>
        <w:rFonts w:eastAsia="Lucida Sans Unicode" w:cs="Tahoma"/>
        <w:sz w:val="20"/>
        <w:lang w:eastAsia="hi-IN" w:bidi="hi-IN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28EF8D9" w14:textId="77777777">
    <w:pPr>
      <w:widowControl w:val="0"/>
      <w:tabs>
        <w:tab w:val="center" w:pos="4153"/>
        <w:tab w:val="right" w:pos="8306"/>
      </w:tabs>
      <w:suppressAutoHyphens/>
      <w:jc w:val="center"/>
      <w:rPr>
        <w:rFonts w:eastAsia="Lucida Sans Unicode" w:cs="Tahoma"/>
        <w:sz w:val="20"/>
        <w:lang w:eastAsia="hi-IN" w:bidi="hi-IN"/>
      </w:rPr>
    </w:pPr>
  </w:p>
  <w:p w14:paraId="528EF8DA" w14:textId="77777777">
    <w:pPr>
      <w:widowControl w:val="0"/>
      <w:tabs>
        <w:tab w:val="center" w:pos="4153"/>
        <w:tab w:val="right" w:pos="8306"/>
      </w:tabs>
      <w:suppressAutoHyphens/>
      <w:jc w:val="center"/>
      <w:rPr>
        <w:rFonts w:eastAsia="Lucida Sans Unicode" w:cs="Tahoma"/>
        <w:sz w:val="20"/>
        <w:lang w:eastAsia="hi-IN" w:bidi="hi-IN"/>
      </w:rPr>
    </w:pPr>
    <w:r>
      <w:rPr>
        <w:rFonts w:eastAsia="Lucida Sans Unicode" w:cs="Tahoma"/>
        <w:szCs w:val="24"/>
        <w:lang w:eastAsia="hi-IN" w:bidi="hi-IN"/>
      </w:rPr>
      <w:fldChar w:fldCharType="begin"/>
    </w:r>
    <w:r>
      <w:rPr>
        <w:rFonts w:eastAsia="Lucida Sans Unicode" w:cs="Tahoma"/>
        <w:sz w:val="20"/>
        <w:lang w:eastAsia="hi-IN" w:bidi="hi-IN"/>
      </w:rPr>
      <w:instrText>PAGE</w:instrText>
    </w:r>
    <w:r>
      <w:rPr>
        <w:rFonts w:eastAsia="Lucida Sans Unicode" w:cs="Tahoma"/>
        <w:sz w:val="20"/>
        <w:lang w:eastAsia="hi-IN" w:bidi="hi-IN"/>
      </w:rPr>
      <w:fldChar w:fldCharType="separate"/>
    </w:r>
    <w:r>
      <w:rPr>
        <w:rFonts w:eastAsia="Lucida Sans Unicode" w:cs="Tahoma"/>
        <w:sz w:val="20"/>
        <w:lang w:eastAsia="hi-IN" w:bidi="hi-IN"/>
      </w:rPr>
      <w:t>2</w:t>
    </w:r>
    <w:r>
      <w:rPr>
        <w:rFonts w:eastAsia="Lucida Sans Unicode" w:cs="Tahoma"/>
        <w:sz w:val="20"/>
        <w:lang w:eastAsia="hi-IN" w:bidi="hi-IN"/>
      </w:rPr>
      <w:fldChar w:fldCharType="end"/>
    </w:r>
  </w:p>
  <w:p w14:paraId="528EF8DB" w14:textId="77777777">
    <w:pPr>
      <w:widowControl w:val="0"/>
      <w:suppressAutoHyphens/>
      <w:jc w:val="right"/>
      <w:rPr>
        <w:rFonts w:eastAsia="Lucida Sans Unicode" w:cs="Tahoma"/>
        <w:b/>
        <w:szCs w:val="24"/>
        <w:lang w:eastAsia="hi-IN" w:bidi="hi-IN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8404EFD" w14:textId="77777777">
    <w:pPr>
      <w:widowControl w:val="0"/>
      <w:tabs>
        <w:tab w:val="center" w:pos="4153"/>
        <w:tab w:val="right" w:pos="8306"/>
      </w:tabs>
      <w:suppressAutoHyphens/>
      <w:rPr>
        <w:rFonts w:eastAsia="Lucida Sans Unicode" w:cs="Tahoma"/>
        <w:sz w:val="20"/>
        <w:lang w:eastAsia="hi-IN" w:bidi="hi-IN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embedSystemFonts/>
  <w:revisionView w:inkAnnotations="0"/>
  <w:defaultTabStop w:val="709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43E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28EF8B3"/>
  <w15:docId w15:val="{DCDA0546-312D-4A14-88B6-85491E25BDC2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fontTable" Target="fontTable.xml"/>
  <Relationship Id="rId14" Type="http://schemas.openxmlformats.org/officeDocument/2006/relationships/theme" Target="theme/theme1.xml"/>
  <Relationship Id="rId15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arts xmlns="http://lrs.lt/TAIS/DocParts">
  <Part Type="pagrindine" DocPartId="295b6ba52d464d4583bc8a3246155275" PartId="774516ffc2ae434b850efe11a0aaa9f6">
    <Part Type="preambule" DocPartId="05748b636fb14de29b244946d0f8c7ae" PartId="26d4fbf2de92499aa08a32702b6b611f"/>
    <Part Type="punktas" Nr="1" Abbr="1 p." DocPartId="b95e2a77663d4e4eac20bdd8613dd844" PartId="3a23259bf1b24e7bb7b1140a23625b0e"/>
    <Part Type="punktas" Nr="2" Abbr="2 p." DocPartId="d26e10f681e147c199d98a0f093c1e27" PartId="afffc368eed9492e9e1a124e48562710"/>
    <Part Type="punktas" Nr="3" Abbr="3 p." DocPartId="036d2d463cc74a30a856ef98f318561c" PartId="525f390f6aad4111bc46bdcf3ae613bc"/>
    <Part Type="punktas" Nr="4" Abbr="4 p." DocPartId="01d2ea76b1594bb69d4011a1faaf73fb" PartId="e2a297f0c74c4a20b7009af7da00d3d0"/>
    <Part Type="signatura" DocPartId="530b5925d811411f9e8783be01354a22" PartId="e9af70482ef4428c910e9ea160abf775"/>
  </Part>
</Parts>
</file>

<file path=customXml/itemProps1.xml><?xml version="1.0" encoding="utf-8"?>
<ds:datastoreItem xmlns:ds="http://schemas.openxmlformats.org/officeDocument/2006/customXml" ds:itemID="{AB08CA02-1B37-43C4-842C-E33A4AF09C2B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4966AF2D-587D-4224-9C0D-5525B784CCDF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207</Words>
  <Characters>1392</Characters>
  <Application>Microsoft Office Word</Application>
  <DocSecurity>4</DocSecurity>
  <Lines>37</Lines>
  <Paragraphs>15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> </vt:lpstr>
    </vt:vector>
  </TitlesOfParts>
  <Company>Siauliu m. savivaldybe</Company>
  <LinksUpToDate>false</LinksUpToDate>
  <CharactersWithSpaces>1584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2024-04-12T07:26:00Z</dcterms:created>
  <dc:creator>d.palkeviciene</dc:creator>
  <dc:language>en-US</dc:language>
  <lastModifiedBy>adlibuser</lastModifiedBy>
  <lastPrinted>2020-08-12T10:33:00Z</lastPrinted>
  <dcterms:modified xsi:type="dcterms:W3CDTF">2024-04-12T07:26:00Z</dcterms:modified>
  <revision>2</revision>
  <dc:title/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Company">
    <vt:lpwstr>Siauliu m. savivaldybe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