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2e8875b6fb4a689cf57d1a92e1924f"/>
        <w:lock w:val="sdtLocked"/>
        <w:richText/>
      </w:sdtPr>
      <w:sdtContent>
        <w:p>
          <w:pPr>
            <w:tabs>
              <w:tab w:val="center" w:pos="4320"/>
              <w:tab w:val="right" w:pos="8640"/>
            </w:tabs>
            <w:ind w:left="4820"/>
            <w:rPr>
              <w:rFonts w:eastAsia="MS Mincho"/>
              <w:sz w:val="20"/>
              <w:lang w:eastAsia="lt-LT"/>
            </w:rPr>
          </w:pPr>
        </w:p>
        <w:p>
          <w:pPr>
            <w:tabs>
              <w:tab w:val="center" w:pos="4320"/>
              <w:tab w:val="right" w:pos="8640"/>
            </w:tabs>
            <w:ind w:left="4820"/>
            <w:rPr>
              <w:rFonts w:eastAsia="MS Mincho"/>
              <w:sz w:val="20"/>
              <w:lang w:eastAsia="lt-LT"/>
            </w:rPr>
          </w:pPr>
        </w:p>
        <w:p>
          <w:pPr>
            <w:jc w:val="right"/>
            <w:rPr>
              <w:rFonts w:eastAsia="Arial Unicode MS"/>
              <w:b/>
              <w:bCs/>
              <w:szCs w:val="24"/>
            </w:rPr>
          </w:pPr>
          <w:r>
            <w:rPr>
              <w:rFonts w:eastAsia="Arial Unicode MS"/>
              <w:b/>
              <w:bCs/>
              <w:szCs w:val="24"/>
            </w:rPr>
            <w:t>Projektas</w:t>
          </w:r>
        </w:p>
        <w:p>
          <w:pPr>
            <w:spacing w:line="360" w:lineRule="auto"/>
            <w:jc w:val="center"/>
            <w:rPr>
              <w:rFonts w:eastAsia="MS Mincho"/>
              <w:b/>
              <w:sz w:val="16"/>
              <w:lang w:eastAsia="lt-LT"/>
            </w:rPr>
          </w:pPr>
        </w:p>
        <w:p>
          <w:pPr>
            <w:rPr>
              <w:sz w:val="6"/>
              <w:szCs w:val="6"/>
            </w:rPr>
          </w:pPr>
        </w:p>
        <w:p>
          <w:pPr>
            <w:jc w:val="center"/>
            <w:rPr>
              <w:rFonts w:eastAsia="MS Mincho"/>
              <w:b/>
              <w:szCs w:val="24"/>
              <w:lang w:val="sv-SE" w:eastAsia="lt-LT"/>
            </w:rPr>
          </w:pPr>
          <w:r>
            <w:rPr>
              <w:rFonts w:eastAsia="MS Mincho"/>
              <w:b/>
              <w:szCs w:val="24"/>
              <w:lang w:val="sv-SE" w:eastAsia="lt-LT"/>
            </w:rPr>
            <w:t>LIETUVOS RESPUBLIKOS PREZIDENTAS</w:t>
          </w:r>
        </w:p>
        <w:p>
          <w:pPr>
            <w:rPr>
              <w:sz w:val="6"/>
              <w:szCs w:val="6"/>
            </w:rPr>
          </w:pPr>
        </w:p>
        <w:p>
          <w:pPr>
            <w:jc w:val="center"/>
            <w:rPr>
              <w:rFonts w:eastAsia="MS Mincho"/>
              <w:b/>
              <w:szCs w:val="24"/>
              <w:lang w:eastAsia="lt-LT"/>
            </w:rPr>
          </w:pPr>
        </w:p>
        <w:p>
          <w:pPr>
            <w:rPr>
              <w:sz w:val="6"/>
              <w:szCs w:val="6"/>
            </w:rPr>
          </w:pPr>
        </w:p>
        <w:p>
          <w:pPr>
            <w:jc w:val="center"/>
            <w:rPr>
              <w:rFonts w:eastAsia="MS Mincho"/>
              <w:b/>
              <w:szCs w:val="24"/>
              <w:lang w:eastAsia="lt-LT"/>
            </w:rPr>
          </w:pPr>
          <w:r>
            <w:rPr>
              <w:rFonts w:eastAsia="MS Mincho"/>
              <w:b/>
              <w:szCs w:val="24"/>
              <w:lang w:eastAsia="lt-LT"/>
            </w:rPr>
            <w:t>DEKRETAS</w:t>
          </w:r>
        </w:p>
        <w:p>
          <w:pPr>
            <w:jc w:val="center"/>
            <w:rPr>
              <w:rFonts w:eastAsia="Batang" w:cs="Tahoma"/>
              <w:b/>
              <w:caps/>
              <w:szCs w:val="18"/>
              <w:lang w:eastAsia="fr-BE"/>
            </w:rPr>
          </w:pPr>
          <w:r>
            <w:rPr>
              <w:rFonts w:eastAsia="MS Mincho"/>
              <w:b/>
              <w:szCs w:val="24"/>
              <w:lang w:eastAsia="lt-LT"/>
            </w:rPr>
            <w:t xml:space="preserve">DĖL TEIKIMO LIETUVOS RESPUBLIKOS SEIMUI </w:t>
          </w:r>
          <w:r>
            <w:rPr>
              <w:rFonts w:eastAsia="Batang" w:cs="Tahoma"/>
              <w:b/>
              <w:caps/>
              <w:szCs w:val="18"/>
              <w:lang w:eastAsia="fr-BE"/>
            </w:rPr>
            <w:t xml:space="preserve">DENONSUOTI </w:t>
          </w:r>
        </w:p>
        <w:p>
          <w:pPr>
            <w:jc w:val="center"/>
            <w:rPr>
              <w:rFonts w:eastAsia="Batang" w:cs="Tahoma"/>
              <w:b/>
              <w:caps/>
              <w:szCs w:val="18"/>
              <w:lang w:eastAsia="fr-BE"/>
            </w:rPr>
          </w:pPr>
          <w:r>
            <w:rPr>
              <w:rFonts w:eastAsia="Batang" w:cs="Tahoma"/>
              <w:b/>
              <w:caps/>
              <w:szCs w:val="18"/>
              <w:lang w:eastAsia="fr-BE"/>
            </w:rPr>
            <w:t xml:space="preserve">Lietuvos Respublikos Vyriausybės ir Baltarusijos Respublikos Vyriausybės sutartį dėl investicijų skatinimo ir apsaugos </w:t>
          </w:r>
        </w:p>
        <w:p>
          <w:pPr>
            <w:jc w:val="center"/>
            <w:rPr>
              <w:rFonts w:eastAsia="MS Mincho"/>
              <w:b/>
              <w:szCs w:val="24"/>
              <w:lang w:eastAsia="lt-LT"/>
            </w:rPr>
          </w:pPr>
          <w:r>
            <w:rPr>
              <w:rFonts w:eastAsia="Batang" w:cs="Tahoma"/>
              <w:b/>
              <w:caps/>
              <w:szCs w:val="18"/>
              <w:lang w:eastAsia="fr-BE"/>
            </w:rPr>
            <w:t>IR Lietuvos Respublikos Vyriausybės ir Rusijos Federacijos Vyriausybės sutartį dėl investicijų skatinimo ir abipusės apsaugos</w:t>
          </w:r>
        </w:p>
        <w:p>
          <w:pPr>
            <w:rPr>
              <w:sz w:val="6"/>
              <w:szCs w:val="6"/>
            </w:rPr>
          </w:pPr>
        </w:p>
        <w:p>
          <w:pPr>
            <w:jc w:val="center"/>
            <w:rPr>
              <w:rFonts w:eastAsia="MS Mincho"/>
              <w:szCs w:val="24"/>
              <w:lang w:eastAsia="lt-LT"/>
            </w:rPr>
          </w:pPr>
        </w:p>
        <w:p>
          <w:pPr>
            <w:rPr>
              <w:sz w:val="6"/>
              <w:szCs w:val="6"/>
            </w:rPr>
          </w:pPr>
        </w:p>
        <w:p>
          <w:pPr>
            <w:jc w:val="center"/>
            <w:rPr>
              <w:rFonts w:eastAsia="MS Mincho"/>
              <w:szCs w:val="24"/>
              <w:lang w:eastAsia="lt-LT"/>
            </w:rPr>
          </w:pPr>
          <w:r>
            <w:rPr>
              <w:rFonts w:eastAsia="MS Mincho"/>
              <w:szCs w:val="24"/>
              <w:lang w:eastAsia="lt-LT"/>
            </w:rPr>
            <w:t>202</w:t>
          </w:r>
          <w:r>
            <w:rPr>
              <w:rFonts w:eastAsia="MS Mincho"/>
              <w:szCs w:val="24"/>
              <w:lang w:eastAsia="ja-JP"/>
            </w:rPr>
            <w:t>4</w:t>
          </w:r>
          <w:r>
            <w:rPr>
              <w:rFonts w:eastAsia="MS Mincho"/>
              <w:szCs w:val="24"/>
              <w:lang w:eastAsia="lt-LT"/>
            </w:rPr>
            <w:t xml:space="preserve"> m.                </w:t>
            <w:tab/>
            <w:t xml:space="preserve">       d. Nr. </w:t>
          </w:r>
        </w:p>
        <w:p>
          <w:pPr>
            <w:spacing w:line="360" w:lineRule="auto"/>
            <w:jc w:val="center"/>
            <w:rPr>
              <w:rFonts w:eastAsia="MS Mincho"/>
              <w:szCs w:val="24"/>
              <w:lang w:eastAsia="lt-LT"/>
            </w:rPr>
          </w:pPr>
          <w:r>
            <w:rPr>
              <w:rFonts w:eastAsia="MS Mincho"/>
              <w:szCs w:val="24"/>
              <w:lang w:eastAsia="lt-LT"/>
            </w:rPr>
            <w:t>Vilnius</w:t>
          </w:r>
        </w:p>
        <w:p>
          <w:pPr>
            <w:rPr>
              <w:sz w:val="52"/>
              <w:szCs w:val="52"/>
            </w:rPr>
          </w:pPr>
        </w:p>
        <w:sdt>
          <w:sdtPr>
            <w:alias w:val="preambule"/>
            <w:tag w:val="part_201eec7ab81a4d2ca9c616d211e235a7"/>
            <w:lock w:val="sdtLocked"/>
            <w:richText/>
          </w:sdtPr>
          <w:sdtContent>
            <w:p>
              <w:pPr>
                <w:spacing w:line="276" w:lineRule="auto"/>
                <w:ind w:firstLine="720"/>
                <w:jc w:val="both"/>
              </w:pPr>
              <w:r>
                <w:rPr>
                  <w:rFonts w:eastAsia="MS Mincho"/>
                  <w:szCs w:val="24"/>
                  <w:lang w:eastAsia="lt-LT"/>
                </w:rPr>
                <w:t xml:space="preserve">Vadovaudamasis Lietuvos Respublikos Konstitucijos 77 straipsnio antrąja dalimi, 84 straipsnio 2 punktu ir atsižvelgdamas į Lietuvos Respublikos Vyriausybės      d. nutarimą Nr.          „Dėl kreipimosi į Lietuvos Respublikos Prezidentą su prašymu pateikti Lietuvos Respublikos Seimui denonsuoti Lietuvos Respublikos Vyriausybės ir Baltarusijos Respublikos Vyriausybės sutartį dėl investicijų skatinimo ir apsaugos ir Lietuvos Respublikos Vyriausybės ir Rusijos Federacijos Vyriausybės sutartį dėl investicijų skatinimo ir abipusės apsaugos</w:t>
              </w:r>
              <w:r>
                <w:t>“:</w:t>
              </w:r>
            </w:p>
          </w:sdtContent>
        </w:sdt>
        <w:sdt>
          <w:sdtPr>
            <w:alias w:val="1 str."/>
            <w:tag w:val="part_ddf276760133499e89cd00b4ce95cedb"/>
            <w:lock w:val="sdtLocked"/>
            <w:richText/>
          </w:sdtPr>
          <w:sdtContent>
            <w:p>
              <w:pPr>
                <w:spacing w:line="276" w:lineRule="auto"/>
                <w:ind w:firstLine="720"/>
                <w:jc w:val="both"/>
                <w:rPr>
                  <w:rFonts w:eastAsia="MS Mincho"/>
                  <w:b/>
                  <w:szCs w:val="24"/>
                  <w:lang w:eastAsia="lt-LT"/>
                </w:rPr>
              </w:pPr>
              <w:sdt>
                <w:sdtPr>
                  <w:alias w:val="Numeris"/>
                  <w:tag w:val="nr_ddf276760133499e89cd00b4ce95cedb"/>
                  <w:lock w:val="sdtLocked"/>
                  <w:richText/>
                </w:sdtPr>
                <w:sdtContent>
                  <w:r>
                    <w:rPr>
                      <w:rFonts w:eastAsia="MS Mincho"/>
                      <w:b/>
                      <w:szCs w:val="24"/>
                      <w:lang w:eastAsia="lt-LT"/>
                    </w:rPr>
                    <w:t>1</w:t>
                  </w:r>
                </w:sdtContent>
              </w:sdt>
              <w:r>
                <w:rPr>
                  <w:rFonts w:eastAsia="MS Mincho"/>
                  <w:b/>
                  <w:szCs w:val="24"/>
                  <w:lang w:eastAsia="lt-LT"/>
                </w:rPr>
                <w:t xml:space="preserve"> straipsnis.</w:t>
              </w:r>
            </w:p>
            <w:sdt>
              <w:sdtPr>
                <w:alias w:val="1 str. 1 d."/>
                <w:tag w:val="part_26c826e5e25a480eaf476ecd6dce9b89"/>
                <w:lock w:val="sdtLocked"/>
                <w:richText/>
              </w:sdtPr>
              <w:sdtContent>
                <w:p>
                  <w:pPr>
                    <w:spacing w:line="276" w:lineRule="auto"/>
                    <w:ind w:firstLine="720"/>
                    <w:jc w:val="both"/>
                    <w:rPr>
                      <w:rFonts w:eastAsia="MS Mincho"/>
                      <w:szCs w:val="24"/>
                      <w:lang w:eastAsia="lt-LT"/>
                    </w:rPr>
                  </w:pPr>
                  <w:r>
                    <w:rPr>
                      <w:rFonts w:eastAsia="MS Mincho"/>
                      <w:spacing w:val="80"/>
                      <w:szCs w:val="24"/>
                      <w:lang w:eastAsia="lt-LT"/>
                    </w:rPr>
                    <w:t>Teikiu</w:t>
                  </w:r>
                  <w:r>
                    <w:rPr>
                      <w:rFonts w:eastAsia="MS Mincho"/>
                      <w:spacing w:val="20"/>
                      <w:szCs w:val="24"/>
                      <w:lang w:eastAsia="lt-LT"/>
                    </w:rPr>
                    <w:t xml:space="preserve"> </w:t>
                  </w:r>
                  <w:r>
                    <w:rPr>
                      <w:rFonts w:eastAsia="MS Mincho"/>
                      <w:szCs w:val="24"/>
                      <w:lang w:eastAsia="lt-LT"/>
                    </w:rPr>
                    <w:t>Lietuvos Respublikos Seimui denonsuoti 1999 m. kovo 5 d. Minske pasirašytą Lietuvos Respublikos Vyriausybės ir Baltarusijos Respublikos Vyriausybės sutartį dėl investicijų skatinimo ir apsaugos ir 1999 m. birželio 29 d. Maskvoje pasirašytą Lietuvos Respublikos Vyriausybės ir Rusijos Federacijos Vyriausybės sutartį dėl investicijų skatinimo ir abipusės apsaugos.</w:t>
                  </w:r>
                </w:p>
              </w:sdtContent>
            </w:sdt>
          </w:sdtContent>
        </w:sdt>
        <w:sdt>
          <w:sdtPr>
            <w:alias w:val="2 str."/>
            <w:tag w:val="part_48c40de6c7a0493e9c76dffb06f958c8"/>
            <w:lock w:val="sdtLocked"/>
            <w:richText/>
          </w:sdtPr>
          <w:sdtContent>
            <w:p>
              <w:pPr>
                <w:spacing w:line="276" w:lineRule="auto"/>
                <w:ind w:firstLine="720"/>
                <w:jc w:val="both"/>
                <w:rPr>
                  <w:rFonts w:eastAsia="MS Mincho"/>
                  <w:szCs w:val="24"/>
                  <w:lang w:eastAsia="lt-LT"/>
                </w:rPr>
              </w:pPr>
              <w:sdt>
                <w:sdtPr>
                  <w:alias w:val="Numeris"/>
                  <w:tag w:val="nr_48c40de6c7a0493e9c76dffb06f958c8"/>
                  <w:lock w:val="sdtLocked"/>
                  <w:richText/>
                </w:sdtPr>
                <w:sdtContent>
                  <w:r>
                    <w:rPr>
                      <w:rFonts w:eastAsia="MS Mincho"/>
                      <w:b/>
                      <w:szCs w:val="24"/>
                      <w:lang w:eastAsia="lt-LT"/>
                    </w:rPr>
                    <w:t>2</w:t>
                  </w:r>
                </w:sdtContent>
              </w:sdt>
              <w:r>
                <w:rPr>
                  <w:rFonts w:eastAsia="MS Mincho"/>
                  <w:b/>
                  <w:szCs w:val="24"/>
                  <w:lang w:eastAsia="lt-LT"/>
                </w:rPr>
                <w:t xml:space="preserve"> straipsnis.</w:t>
              </w:r>
              <w:r>
                <w:rPr>
                  <w:rFonts w:eastAsia="MS Mincho"/>
                  <w:szCs w:val="24"/>
                  <w:lang w:eastAsia="lt-LT"/>
                </w:rPr>
                <w:tab/>
              </w:r>
            </w:p>
            <w:sdt>
              <w:sdtPr>
                <w:alias w:val="2 str. 1 d."/>
                <w:tag w:val="part_10f0d5c8e2174c4bb227622dd4a9628e"/>
                <w:lock w:val="sdtLocked"/>
                <w:richText/>
              </w:sdtPr>
              <w:sdtContent>
                <w:p>
                  <w:pPr>
                    <w:spacing w:line="276" w:lineRule="auto"/>
                    <w:ind w:firstLine="720"/>
                    <w:jc w:val="both"/>
                    <w:rPr>
                      <w:rFonts w:eastAsia="MS Mincho"/>
                      <w:szCs w:val="24"/>
                      <w:lang w:eastAsia="lt-LT"/>
                    </w:rPr>
                  </w:pPr>
                  <w:r>
                    <w:rPr>
                      <w:rFonts w:eastAsia="MS Mincho"/>
                      <w:spacing w:val="80"/>
                      <w:szCs w:val="24"/>
                      <w:lang w:eastAsia="lt-LT"/>
                    </w:rPr>
                    <w:t>Nustata</w:t>
                  </w:r>
                  <w:r>
                    <w:rPr>
                      <w:rFonts w:eastAsia="MS Mincho"/>
                      <w:szCs w:val="24"/>
                      <w:lang w:eastAsia="lt-LT"/>
                    </w:rPr>
                    <w:t>u, kad šį dekretą Lietuvos Respublikos Seimui pristatys užsienio reikalų ministras Gabrielius Landsbergis, o jam negalint dalyvauti – užsienio reikalų viceministras Jonas Survila. Jeigu viceministras Jonas Survila negalės dalyvauti, dekretą Lietuvos Respublikos Seimui pristatys užsienio reikalų viceministras Egidijus Meilūnas.</w:t>
                  </w:r>
                </w:p>
                <w:p>
                  <w:pPr>
                    <w:spacing w:line="360" w:lineRule="auto"/>
                    <w:jc w:val="center"/>
                    <w:rPr>
                      <w:rFonts w:eastAsia="MS Mincho"/>
                      <w:szCs w:val="24"/>
                      <w:lang w:eastAsia="lt-LT"/>
                    </w:rPr>
                  </w:pPr>
                </w:p>
                <w:p>
                  <w:pPr>
                    <w:rPr>
                      <w:rFonts w:eastAsia="MS Mincho"/>
                      <w:szCs w:val="24"/>
                      <w:lang w:eastAsia="lt-LT"/>
                    </w:rPr>
                  </w:pPr>
                </w:p>
                <w:p>
                  <w:pPr>
                    <w:jc w:val="both"/>
                    <w:rPr>
                      <w:rFonts w:eastAsia="MS Mincho"/>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709" w:bottom="1134" w:left="1701" w:header="567" w:footer="567" w:gutter="0"/>
                      <w:cols w:space="1296"/>
                      <w:formProt w:val="0"/>
                      <w:titlePg/>
                    </w:sectPr>
                  </w:pPr>
                </w:p>
                <w:tbl>
                  <w:tblPr>
                    <w:tblW w:w="0" w:type="auto"/>
                    <w:tblLayout w:type="fixed"/>
                    <w:tblLook w:val="0000" w:firstRow="0" w:lastRow="0" w:firstColumn="0" w:lastColumn="0" w:noHBand="0" w:noVBand="0"/>
                  </w:tblPr>
                  <w:tblGrid>
                    <w:gridCol w:w="3936"/>
                    <w:gridCol w:w="2409"/>
                    <w:gridCol w:w="2977"/>
                  </w:tblGrid>
                  <w:tr>
                    <w:tc>
                      <w:tcPr>
                        <w:tcW w:w="3936" w:type="dxa"/>
                      </w:tcPr>
                      <w:p>
                        <w:pPr>
                          <w:tabs>
                            <w:tab w:val="center" w:pos="4320"/>
                            <w:tab w:val="right" w:pos="8640"/>
                          </w:tabs>
                          <w:rPr>
                            <w:rFonts w:eastAsia="MS Mincho"/>
                            <w:sz w:val="20"/>
                            <w:lang w:eastAsia="lt-LT"/>
                          </w:rPr>
                        </w:pPr>
                      </w:p>
                      <w:p>
                        <w:pPr>
                          <w:rPr>
                            <w:rFonts w:eastAsia="MS Mincho"/>
                            <w:lang w:eastAsia="lt-LT"/>
                          </w:rPr>
                        </w:pPr>
                        <w:r>
                          <w:rPr>
                            <w:rFonts w:eastAsia="MS Mincho"/>
                            <w:lang w:eastAsia="lt-LT"/>
                          </w:rPr>
                          <w:t>Respublikos Prezidentas</w:t>
                        </w:r>
                      </w:p>
                    </w:tc>
                    <w:tc>
                      <w:tcPr>
                        <w:tcW w:w="2409" w:type="dxa"/>
                      </w:tcPr>
                      <w:p>
                        <w:pPr>
                          <w:rPr>
                            <w:rFonts w:eastAsia="MS Mincho"/>
                            <w:lang w:eastAsia="lt-LT"/>
                          </w:rPr>
                        </w:pPr>
                      </w:p>
                    </w:tc>
                    <w:tc>
                      <w:tcPr>
                        <w:tcW w:w="2977" w:type="dxa"/>
                      </w:tcPr>
                      <w:p>
                        <w:pPr>
                          <w:rPr>
                            <w:rFonts w:eastAsia="MS Mincho"/>
                            <w:lang w:eastAsia="lt-LT"/>
                          </w:rPr>
                        </w:pPr>
                      </w:p>
                    </w:tc>
                  </w:tr>
                </w:tbl>
                <w:p>
                  <w:pPr>
                    <w:jc w:val="both"/>
                    <w:rPr>
                      <w:rFonts w:eastAsia="MS Mincho"/>
                      <w:sz w:val="22"/>
                      <w:lang w:eastAsia="lt-LT"/>
                    </w:rPr>
                  </w:pPr>
                </w:p>
                <w:p>
                  <w:pPr>
                    <w:rPr>
                      <w:rFonts w:eastAsia="MS Mincho"/>
                      <w:sz w:val="22"/>
                      <w:lang w:eastAsia="lt-LT"/>
                    </w:rPr>
                  </w:pPr>
                </w:p>
                <w:p>
                  <w:pPr>
                    <w:rPr>
                      <w:rFonts w:eastAsia="MS Mincho"/>
                      <w:sz w:val="20"/>
                      <w:lang w:eastAsia="lt-LT"/>
                    </w:rPr>
                  </w:pPr>
                </w:p>
              </w:sdtContent>
            </w:sdt>
          </w:sdtContent>
        </w:sdt>
      </w:sdtContent>
    </w:sdt>
    <w:sectPr>
      <w:type w:val="continuous"/>
      <w:pgSz w:w="11907" w:h="16840" w:code="9"/>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eastAsia="MS Mincho"/>
          <w:sz w:val="20"/>
          <w:lang w:val="en-US" w:eastAsia="lt-LT"/>
        </w:rPr>
      </w:pPr>
      <w:r>
        <w:rPr>
          <w:rFonts w:eastAsia="MS Mincho"/>
          <w:sz w:val="20"/>
          <w:lang w:val="en-US" w:eastAsia="lt-LT"/>
        </w:rPr>
        <w:separator/>
      </w:r>
    </w:p>
  </w:endnote>
  <w:endnote w:type="continuationSeparator" w:id="0">
    <w:p>
      <w:pPr>
        <w:rPr>
          <w:rFonts w:eastAsia="MS Mincho"/>
          <w:sz w:val="20"/>
          <w:lang w:val="en-US" w:eastAsia="lt-LT"/>
        </w:rPr>
      </w:pPr>
      <w:r>
        <w:rPr>
          <w:rFonts w:eastAsia="MS Mincho"/>
          <w:sz w:val="20"/>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BA"/>
    <w:family w:val="swiss"/>
    <w:pitch w:val="variable"/>
    <w:sig w:usb0="E1002EFF" w:usb1="C000605B" w:usb2="00000029" w:usb3="00000000" w:csb0="000101FF" w:csb1="00000000"/>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rFonts w:eastAsia="MS Mincho"/>
        <w:sz w:val="20"/>
        <w:lang w:eastAsia="lt-LT"/>
      </w:rPr>
    </w:pPr>
    <w:r>
      <w:rPr>
        <w:rFonts w:eastAsia="MS Mincho"/>
        <w:sz w:val="20"/>
        <w:lang w:eastAsia="lt-LT"/>
      </w:rPr>
      <w:fldChar w:fldCharType="begin"/>
    </w:r>
    <w:r>
      <w:rPr>
        <w:rFonts w:eastAsia="MS Mincho"/>
        <w:sz w:val="20"/>
        <w:lang w:eastAsia="lt-LT"/>
      </w:rPr>
      <w:instrText xml:space="preserve">PAGE  </w:instrText>
    </w:r>
    <w:r>
      <w:rPr>
        <w:rFonts w:eastAsia="MS Mincho"/>
        <w:sz w:val="20"/>
        <w:lang w:eastAsia="lt-LT"/>
      </w:rPr>
      <w:fldChar w:fldCharType="end"/>
    </w:r>
  </w:p>
  <w:p>
    <w:pPr>
      <w:tabs>
        <w:tab w:val="center" w:pos="4320"/>
        <w:tab w:val="right" w:pos="8640"/>
      </w:tabs>
      <w:rPr>
        <w:rFonts w:eastAsia="MS Mincho"/>
        <w:sz w:val="20"/>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rFonts w:eastAsia="MS Mincho"/>
        <w:sz w:val="20"/>
        <w:lang w:eastAsia="lt-LT"/>
      </w:rPr>
    </w:pPr>
    <w:r>
      <w:rPr>
        <w:rFonts w:eastAsia="MS Mincho"/>
        <w:sz w:val="20"/>
        <w:lang w:eastAsia="lt-LT"/>
      </w:rPr>
      <w:fldChar w:fldCharType="begin"/>
    </w:r>
    <w:r>
      <w:rPr>
        <w:rFonts w:eastAsia="MS Mincho"/>
        <w:sz w:val="20"/>
        <w:lang w:eastAsia="lt-LT"/>
      </w:rPr>
      <w:instrText xml:space="preserve">PAGE  </w:instrText>
    </w:r>
    <w:r>
      <w:rPr>
        <w:rFonts w:eastAsia="MS Mincho"/>
        <w:sz w:val="20"/>
        <w:lang w:eastAsia="lt-LT"/>
      </w:rPr>
      <w:fldChar w:fldCharType="separate"/>
    </w:r>
    <w:r>
      <w:rPr>
        <w:rFonts w:eastAsia="MS Mincho"/>
        <w:sz w:val="20"/>
        <w:lang w:eastAsia="lt-LT"/>
      </w:rPr>
      <w:t>2</w:t>
    </w:r>
    <w:r>
      <w:rPr>
        <w:rFonts w:eastAsia="MS Mincho"/>
        <w:sz w:val="20"/>
        <w:lang w:eastAsia="lt-LT"/>
      </w:rPr>
      <w:fldChar w:fldCharType="end"/>
    </w:r>
  </w:p>
  <w:p>
    <w:pPr>
      <w:tabs>
        <w:tab w:val="center" w:pos="4320"/>
        <w:tab w:val="right" w:pos="8640"/>
      </w:tabs>
      <w:rPr>
        <w:rFonts w:eastAsia="MS Mincho"/>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eastAsia="MS Mincho"/>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eastAsia="MS Mincho"/>
          <w:sz w:val="20"/>
          <w:lang w:val="en-US" w:eastAsia="lt-LT"/>
        </w:rPr>
      </w:pPr>
      <w:r>
        <w:rPr>
          <w:rFonts w:eastAsia="MS Mincho"/>
          <w:sz w:val="20"/>
          <w:lang w:val="en-US" w:eastAsia="lt-LT"/>
        </w:rPr>
        <w:separator/>
      </w:r>
    </w:p>
  </w:footnote>
  <w:footnote w:type="continuationSeparator" w:id="0">
    <w:p>
      <w:pPr>
        <w:rPr>
          <w:rFonts w:eastAsia="MS Mincho"/>
          <w:sz w:val="20"/>
          <w:lang w:val="en-US" w:eastAsia="lt-LT"/>
        </w:rPr>
      </w:pPr>
      <w:r>
        <w:rPr>
          <w:rFonts w:eastAsia="MS Mincho"/>
          <w:sz w:val="20"/>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rFonts w:eastAsia="MS Mincho"/>
        <w:sz w:val="20"/>
        <w:lang w:eastAsia="lt-LT"/>
      </w:rPr>
    </w:pPr>
    <w:r>
      <w:rPr>
        <w:rFonts w:eastAsia="MS Mincho"/>
        <w:sz w:val="20"/>
        <w:lang w:eastAsia="lt-LT"/>
      </w:rPr>
      <w:fldChar w:fldCharType="begin"/>
    </w:r>
    <w:r>
      <w:rPr>
        <w:rFonts w:eastAsia="MS Mincho"/>
        <w:sz w:val="20"/>
        <w:lang w:eastAsia="lt-LT"/>
      </w:rPr>
      <w:instrText xml:space="preserve">PAGE  </w:instrText>
    </w:r>
    <w:r>
      <w:rPr>
        <w:rFonts w:eastAsia="MS Mincho"/>
        <w:sz w:val="20"/>
        <w:lang w:eastAsia="lt-LT"/>
      </w:rPr>
      <w:fldChar w:fldCharType="end"/>
    </w:r>
  </w:p>
  <w:p>
    <w:pPr>
      <w:tabs>
        <w:tab w:val="center" w:pos="4320"/>
        <w:tab w:val="right" w:pos="8640"/>
      </w:tabs>
      <w:rPr>
        <w:rFonts w:eastAsia="MS Mincho"/>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rFonts w:eastAsia="MS Mincho"/>
        <w:sz w:val="20"/>
        <w:lang w:eastAsia="lt-LT"/>
      </w:rPr>
    </w:pPr>
    <w:r>
      <w:rPr>
        <w:rFonts w:eastAsia="MS Mincho"/>
        <w:sz w:val="20"/>
        <w:lang w:eastAsia="lt-LT"/>
      </w:rPr>
      <w:fldChar w:fldCharType="begin"/>
    </w:r>
    <w:r>
      <w:rPr>
        <w:rFonts w:eastAsia="MS Mincho"/>
        <w:sz w:val="20"/>
        <w:lang w:eastAsia="lt-LT"/>
      </w:rPr>
      <w:instrText xml:space="preserve">PAGE  </w:instrText>
    </w:r>
    <w:r>
      <w:rPr>
        <w:rFonts w:eastAsia="MS Mincho"/>
        <w:sz w:val="20"/>
        <w:lang w:eastAsia="lt-LT"/>
      </w:rPr>
      <w:fldChar w:fldCharType="separate"/>
    </w:r>
    <w:r>
      <w:rPr>
        <w:rFonts w:eastAsia="MS Mincho"/>
        <w:sz w:val="20"/>
        <w:lang w:eastAsia="lt-LT"/>
      </w:rPr>
      <w:t>2</w:t>
    </w:r>
    <w:r>
      <w:rPr>
        <w:rFonts w:eastAsia="MS Mincho"/>
        <w:sz w:val="20"/>
        <w:lang w:eastAsia="lt-LT"/>
      </w:rPr>
      <w:fldChar w:fldCharType="end"/>
    </w:r>
  </w:p>
  <w:p>
    <w:pPr>
      <w:tabs>
        <w:tab w:val="center" w:pos="4320"/>
        <w:tab w:val="right" w:pos="8640"/>
      </w:tabs>
      <w:rPr>
        <w:rFonts w:eastAsia="MS Mincho"/>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eastAsia="MS Mincho"/>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666E"/>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BB747E15-F685-4A62-9617-7152C4F8D30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247e72db3b4bf69e6ce597be4cc005" PartId="422e8875b6fb4a689cf57d1a92e1924f">
    <Part Type="preambule" DocPartId="4f443e2c3c0b4d239f93b2b535b9e412" PartId="201eec7ab81a4d2ca9c616d211e235a7"/>
    <Part Type="straipsnis" Nr="1" Abbr="1 str." DocPartId="207840d2ed53422cb3d1a54e95b36838" PartId="ddf276760133499e89cd00b4ce95cedb">
      <Part Type="strDalis" Nr="1" Abbr="1 str. 1 d." DocPartId="997aa87a7ffd4a6fb72447313990cccc" PartId="26c826e5e25a480eaf476ecd6dce9b89"/>
    </Part>
    <Part Type="straipsnis" Nr="2" Abbr="2 str." DocPartId="38f4f4c71cc54e8387eca289d70c5506" PartId="48c40de6c7a0493e9c76dffb06f958c8">
      <Part Type="strDalis" Nr="1" Abbr="2 str. 1 d." DocPartId="9df43b5297ee46308ea9448fcda11ce3" PartId="10f0d5c8e2174c4bb227622dd4a9628e"/>
    </Part>
  </Part>
</Parts>
</file>

<file path=customXml/itemProps1.xml><?xml version="1.0" encoding="utf-8"?>
<ds:datastoreItem xmlns:ds="http://schemas.openxmlformats.org/officeDocument/2006/customXml" ds:itemID="{E2D0E733-DB90-4C47-8A9A-42D26E214B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204</Words>
  <Characters>1516</Characters>
  <Application>Microsoft Office Word</Application>
  <DocSecurity>4</DocSecurity>
  <Lines>39</Lines>
  <Paragraphs>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1704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2024-05-06T13:10:00Z</dcterms:created>
  <dc:creator>LRP</dc:creator>
  <lastModifiedBy>adlibuser</lastModifiedBy>
  <lastPrinted>2011-10-28T11:33:00Z</lastPrinted>
  <dcterms:modified xsi:type="dcterms:W3CDTF">2024-05-06T13:10:00Z</dcterms:modified>
  <revision>2</revision>
  <dc:title/>
</coreProperties>
</file>