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a3e9244b944516ad7845cc56f061d2"/>
        <w:lock w:val="sdtLocked"/>
        <w:richText/>
      </w:sdtPr>
      <w:sdtContent>
        <w:p w14:paraId="3CEE774B" w14:textId="77777777">
          <w:pPr>
            <w:suppressAutoHyphens/>
            <w:ind w:firstLine="5040"/>
            <w:jc w:val="right"/>
            <w:rPr>
              <w:szCs w:val="24"/>
              <w:lang w:eastAsia="ar-SA"/>
            </w:rPr>
          </w:pPr>
        </w:p>
        <w:p w14:paraId="2363414E" w14:textId="77777777">
          <w:pPr>
            <w:suppressAutoHyphens/>
            <w:rPr>
              <w:b/>
              <w:szCs w:val="24"/>
              <w:lang w:eastAsia="ar-SA"/>
            </w:rPr>
          </w:pPr>
        </w:p>
        <w:p w14:paraId="31CD04A2" w14:textId="77777777">
          <w:pPr>
            <w:suppressAutoHyphens/>
            <w:jc w:val="center"/>
            <w:rPr>
              <w:b/>
              <w:szCs w:val="24"/>
              <w:lang w:eastAsia="ar-SA"/>
            </w:rPr>
          </w:pPr>
          <w:r>
            <w:rPr>
              <w:b/>
              <w:szCs w:val="24"/>
              <w:lang w:eastAsia="ar-SA"/>
            </w:rPr>
            <w:t>ŠIAULIŲ MIESTO SAVIVALDYBĖS TARYBA</w:t>
          </w:r>
        </w:p>
        <w:p w14:paraId="213796A4" w14:textId="77777777">
          <w:pPr>
            <w:suppressAutoHyphens/>
            <w:rPr>
              <w:b/>
              <w:sz w:val="28"/>
              <w:szCs w:val="24"/>
              <w:lang w:eastAsia="ar-SA"/>
            </w:rPr>
          </w:pPr>
        </w:p>
        <w:p w14:paraId="6C9AD89C" w14:textId="77777777">
          <w:pPr>
            <w:suppressAutoHyphens/>
            <w:jc w:val="center"/>
            <w:rPr>
              <w:b/>
              <w:szCs w:val="24"/>
              <w:lang w:eastAsia="ar-SA"/>
            </w:rPr>
          </w:pPr>
          <w:r>
            <w:rPr>
              <w:b/>
              <w:szCs w:val="24"/>
              <w:lang w:eastAsia="ar-SA"/>
            </w:rPr>
            <w:t>SPRENDIMAS</w:t>
          </w:r>
        </w:p>
        <w:p w14:paraId="0B74BA02" w14:textId="1FC5179A">
          <w:pPr>
            <w:suppressAutoHyphens/>
            <w:ind w:firstLine="124"/>
            <w:jc w:val="center"/>
            <w:rPr>
              <w:b/>
              <w:szCs w:val="24"/>
              <w:lang w:eastAsia="ar-SA"/>
            </w:rPr>
          </w:pPr>
          <w:r>
            <w:rPr>
              <w:b/>
              <w:szCs w:val="24"/>
              <w:lang w:eastAsia="ar-SA"/>
            </w:rPr>
            <w:t xml:space="preserve">DĖL FIKSUOTO DYDŽIO PAJAMŲ MOKESČIO GYVENTOJAMS UŽ VEIKLOS RŪŠIS, KURIOMIS GALI BŪTI VERČIAMASI TURINT VERSLO LIUDIJIMĄ, IR LENGVATŲ, TAIKOMŲ GYVENTOJAMS,  ĮSIGYJANTIEMS VERSLO LIUDIJIMUS VEIKLAI  VYKDYTI 2025 M. IR VĖLESNIEMS METAMS, NUSTATYMO </w:t>
          </w:r>
        </w:p>
        <w:p w14:paraId="18109068" w14:textId="77777777">
          <w:pPr>
            <w:suppressAutoHyphens/>
            <w:jc w:val="center"/>
            <w:rPr>
              <w:szCs w:val="24"/>
              <w:lang w:eastAsia="ar-SA"/>
            </w:rPr>
          </w:pPr>
        </w:p>
        <w:p w14:paraId="4E80A9AA" w14:textId="506F70FD">
          <w:pPr>
            <w:suppressAutoHyphens/>
            <w:jc w:val="center"/>
            <w:rPr>
              <w:szCs w:val="24"/>
              <w:lang w:eastAsia="ar-SA"/>
            </w:rPr>
          </w:pPr>
          <w:r>
            <w:rPr>
              <w:szCs w:val="24"/>
              <w:lang w:eastAsia="ar-SA"/>
            </w:rPr>
            <w:t xml:space="preserve">2024 m.                      d. Nr. T- </w:t>
          </w:r>
        </w:p>
        <w:p w14:paraId="38F9CE54" w14:textId="77777777">
          <w:pPr>
            <w:suppressAutoHyphens/>
            <w:jc w:val="center"/>
            <w:rPr>
              <w:szCs w:val="24"/>
              <w:lang w:eastAsia="ar-SA"/>
            </w:rPr>
          </w:pPr>
          <w:r>
            <w:rPr>
              <w:szCs w:val="24"/>
              <w:lang w:eastAsia="ar-SA"/>
            </w:rPr>
            <w:t>Šiauliai</w:t>
          </w:r>
        </w:p>
        <w:p w14:paraId="626D31BF" w14:textId="77777777">
          <w:pPr>
            <w:suppressAutoHyphens/>
            <w:jc w:val="center"/>
            <w:rPr>
              <w:b/>
              <w:szCs w:val="24"/>
              <w:lang w:eastAsia="ar-SA"/>
            </w:rPr>
          </w:pPr>
        </w:p>
        <w:p w14:paraId="121A664C" w14:textId="77777777">
          <w:pPr>
            <w:suppressAutoHyphens/>
            <w:jc w:val="center"/>
            <w:rPr>
              <w:b/>
              <w:szCs w:val="24"/>
              <w:lang w:eastAsia="ar-SA"/>
            </w:rPr>
          </w:pPr>
        </w:p>
        <w:sdt>
          <w:sdtPr>
            <w:alias w:val="preambule"/>
            <w:tag w:val="part_cc101c3ea7b3467a98dd3c8577621eb4"/>
            <w:lock w:val="sdtLocked"/>
            <w:richText/>
          </w:sdtPr>
          <w:sdtContent>
            <w:p w14:paraId="19D33965" w14:textId="0AB02EBB">
              <w:pPr>
                <w:suppressAutoHyphens/>
                <w:ind w:firstLine="720"/>
                <w:jc w:val="both"/>
                <w:rPr>
                  <w:szCs w:val="24"/>
                  <w:lang w:eastAsia="ar-SA"/>
                </w:rPr>
              </w:pPr>
              <w:r>
                <w:rPr>
                  <w:szCs w:val="24"/>
                  <w:lang w:eastAsia="ar-SA"/>
                </w:rPr>
                <w:t>Vadovaudamasi Lietuvos Respublikos vietos savivaldos įstatymo 15 straipsnio 2 dalies 14 ir 29 punktais, Lietuvos Respublikos gyventojų pajamų mokesčio įstatymo 6 straipsnio 3 dalimi, Lietuvos Respublikos Vyriausybės 2002 m. lapkričio 19 d. nutarimo Nr. 1797 „Dėl Verslo liudijimų išdavimo gyventojams taisyklių ir veiklų, kuriomis gali būti verčiamasi turint verslo liudijimą, rūšių sąrašo“ 3 punktu, atsižvelgdama į</w:t>
              </w:r>
              <w:r>
                <w:rPr>
                  <w:color w:val="000000"/>
                  <w:szCs w:val="24"/>
                  <w:lang w:eastAsia="ar-SA"/>
                </w:rPr>
                <w:t xml:space="preserve"> </w:t>
              </w:r>
              <w:r>
                <w:rPr>
                  <w:szCs w:val="24"/>
                  <w:lang w:eastAsia="ar-SA"/>
                </w:rPr>
                <w:t xml:space="preserve">Šiaulių miesto savivaldybės mero </w:t>
              </w:r>
              <w:r>
                <w:rPr>
                  <w:szCs w:val="22"/>
                  <w:lang w:eastAsia="ar-SA"/>
                </w:rPr>
                <w:t>2023 m. rugpjūčio 14 d. potvarkiu Nr. M-736 „Dėl darbo grupės siūlymams dėl fiksuotų pajamų mokesčio dydžių ir lengvatų, taikomų įsigyjant verslo liudijimus, nustatymo pateikti sudarymo“</w:t>
              </w:r>
              <w:r>
                <w:rPr>
                  <w:szCs w:val="24"/>
                  <w:lang w:eastAsia="ar-SA"/>
                </w:rPr>
                <w:t xml:space="preserve"> sudarytos darbo grupės siūlymus (2024-07-31</w:t>
              </w:r>
              <w:r>
                <w:rPr>
                  <w:color w:val="000000"/>
                  <w:szCs w:val="24"/>
                  <w:lang w:eastAsia="ar-SA"/>
                </w:rPr>
                <w:t xml:space="preserve"> </w:t>
              </w:r>
              <w:r>
                <w:rPr>
                  <w:szCs w:val="24"/>
                  <w:lang w:eastAsia="ar-SA"/>
                </w:rPr>
                <w:t xml:space="preserve">posėdžio protokolas Nr. VAK-347), Šiaulių miesto savivaldybės taryba </w:t>
              </w:r>
              <w:r>
                <w:rPr>
                  <w:spacing w:val="40"/>
                  <w:szCs w:val="24"/>
                  <w:lang w:eastAsia="ar-SA"/>
                </w:rPr>
                <w:t>nusprendžia</w:t>
              </w:r>
              <w:r>
                <w:rPr>
                  <w:szCs w:val="24"/>
                  <w:lang w:eastAsia="ar-SA"/>
                </w:rPr>
                <w:t>:</w:t>
              </w:r>
            </w:p>
          </w:sdtContent>
        </w:sdt>
        <w:sdt>
          <w:sdtPr>
            <w:alias w:val="1 p."/>
            <w:tag w:val="part_b4b32faf1ce94a358417d9f288034a7b"/>
            <w:lock w:val="sdtLocked"/>
            <w:richText/>
          </w:sdtPr>
          <w:sdtContent>
            <w:p w14:paraId="574D8B9E" w14:textId="44D92FD7">
              <w:pPr>
                <w:suppressAutoHyphens/>
                <w:ind w:firstLine="720"/>
                <w:jc w:val="both"/>
                <w:rPr>
                  <w:rFonts w:eastAsia="Lucida Sans Unicode" w:cs="Tahoma"/>
                  <w:szCs w:val="24"/>
                  <w:lang w:eastAsia="ar-SA"/>
                </w:rPr>
              </w:pPr>
              <w:sdt>
                <w:sdtPr>
                  <w:alias w:val="Numeris"/>
                  <w:tag w:val="nr_b4b32faf1ce94a358417d9f288034a7b"/>
                  <w:lock w:val="sdtLocked"/>
                  <w:richText/>
                </w:sdtPr>
                <w:sdtContent>
                  <w:r>
                    <w:rPr>
                      <w:rFonts w:eastAsia="Lucida Sans Unicode" w:cs="Tahoma"/>
                      <w:szCs w:val="24"/>
                      <w:lang w:eastAsia="ar-SA"/>
                    </w:rPr>
                    <w:t>1</w:t>
                  </w:r>
                </w:sdtContent>
              </w:sdt>
              <w:r>
                <w:rPr>
                  <w:rFonts w:eastAsia="Lucida Sans Unicode" w:cs="Tahoma"/>
                  <w:szCs w:val="24"/>
                  <w:lang w:eastAsia="ar-SA"/>
                </w:rPr>
                <w:t>. Nustatyti 2025 ir vėlesniems metams:</w:t>
              </w:r>
            </w:p>
            <w:sdt>
              <w:sdtPr>
                <w:alias w:val="1.1 pp."/>
                <w:tag w:val="part_a39791114bdb4f61aba1f4bc1fd91f40"/>
                <w:lock w:val="sdtLocked"/>
                <w:richText/>
              </w:sdtPr>
              <w:sdtContent>
                <w:p w14:paraId="54F20184" w14:textId="524CEFE8">
                  <w:pPr>
                    <w:suppressAutoHyphens/>
                    <w:ind w:firstLine="720"/>
                    <w:jc w:val="both"/>
                    <w:rPr>
                      <w:rFonts w:eastAsia="Lucida Sans Unicode" w:cs="Tahoma"/>
                      <w:szCs w:val="24"/>
                      <w:lang w:eastAsia="ar-SA"/>
                    </w:rPr>
                  </w:pPr>
                  <w:sdt>
                    <w:sdtPr>
                      <w:alias w:val="Numeris"/>
                      <w:tag w:val="nr_a39791114bdb4f61aba1f4bc1fd91f40"/>
                      <w:lock w:val="sdtLocked"/>
                      <w:richText/>
                    </w:sdtPr>
                    <w:sdtContent>
                      <w:r>
                        <w:rPr>
                          <w:rFonts w:eastAsia="Lucida Sans Unicode" w:cs="Tahoma"/>
                          <w:szCs w:val="24"/>
                          <w:lang w:eastAsia="ar-SA"/>
                        </w:rPr>
                        <w:t>1.1</w:t>
                      </w:r>
                    </w:sdtContent>
                  </w:sdt>
                  <w:r>
                    <w:rPr>
                      <w:rFonts w:eastAsia="Lucida Sans Unicode" w:cs="Tahoma"/>
                      <w:szCs w:val="24"/>
                      <w:lang w:eastAsia="ar-SA"/>
                    </w:rPr>
                    <w:t xml:space="preserve">. fiksuoto dydžio pajamų mokestį gyventojams už veiklos rūšis, kuriomis gali būti verčiamasi turint verslo liudijimą (1 priedas); </w:t>
                  </w:r>
                </w:p>
              </w:sdtContent>
            </w:sdt>
            <w:sdt>
              <w:sdtPr>
                <w:alias w:val="1.2 pp."/>
                <w:tag w:val="part_a9a747c8922241d3bfaf2561c5a2ec19"/>
                <w:lock w:val="sdtLocked"/>
                <w:richText/>
              </w:sdtPr>
              <w:sdtContent>
                <w:p w14:paraId="63310BFA" w14:textId="341624FB">
                  <w:pPr>
                    <w:suppressAutoHyphens/>
                    <w:ind w:firstLine="720"/>
                    <w:jc w:val="both"/>
                    <w:rPr>
                      <w:rFonts w:eastAsia="Lucida Sans Unicode" w:cs="Tahoma"/>
                      <w:szCs w:val="24"/>
                      <w:lang w:eastAsia="ar-SA"/>
                    </w:rPr>
                  </w:pPr>
                  <w:sdt>
                    <w:sdtPr>
                      <w:alias w:val="Numeris"/>
                      <w:tag w:val="nr_a9a747c8922241d3bfaf2561c5a2ec19"/>
                      <w:lock w:val="sdtLocked"/>
                      <w:richText/>
                    </w:sdtPr>
                    <w:sdtContent>
                      <w:r>
                        <w:rPr>
                          <w:rFonts w:eastAsia="Lucida Sans Unicode" w:cs="Tahoma"/>
                          <w:szCs w:val="24"/>
                          <w:lang w:eastAsia="ar-SA"/>
                        </w:rPr>
                        <w:t>1.2</w:t>
                      </w:r>
                    </w:sdtContent>
                  </w:sdt>
                  <w:r>
                    <w:rPr>
                      <w:rFonts w:eastAsia="Lucida Sans Unicode" w:cs="Tahoma"/>
                      <w:szCs w:val="24"/>
                      <w:lang w:eastAsia="ar-SA"/>
                    </w:rPr>
                    <w:t>. lengvatas, taikomas gyventojams, įsigyjantiems verslo liudijimus (2 priedas).</w:t>
                  </w:r>
                </w:p>
              </w:sdtContent>
            </w:sdt>
          </w:sdtContent>
        </w:sdt>
        <w:sdt>
          <w:sdtPr>
            <w:alias w:val="2 p."/>
            <w:tag w:val="part_1f44ed048fb84f09bfb4ab8110a46949"/>
            <w:lock w:val="sdtLocked"/>
            <w:richText/>
          </w:sdtPr>
          <w:sdtContent>
            <w:p w14:paraId="0EA8DA73" w14:textId="5FF65759">
              <w:pPr>
                <w:suppressAutoHyphens/>
                <w:ind w:firstLine="720"/>
                <w:jc w:val="both"/>
                <w:rPr>
                  <w:rFonts w:eastAsia="Lucida Sans Unicode" w:cs="Tahoma"/>
                  <w:szCs w:val="24"/>
                  <w:lang w:eastAsia="ar-SA"/>
                </w:rPr>
              </w:pPr>
              <w:sdt>
                <w:sdtPr>
                  <w:alias w:val="Numeris"/>
                  <w:tag w:val="nr_1f44ed048fb84f09bfb4ab8110a46949"/>
                  <w:lock w:val="sdtLocked"/>
                  <w:richText/>
                </w:sdtPr>
                <w:sdtContent>
                  <w:r>
                    <w:rPr>
                      <w:rFonts w:eastAsia="Lucida Sans Unicode" w:cs="Tahoma"/>
                      <w:szCs w:val="24"/>
                      <w:lang w:eastAsia="ar-SA"/>
                    </w:rPr>
                    <w:t>2</w:t>
                  </w:r>
                </w:sdtContent>
              </w:sdt>
              <w:r>
                <w:rPr>
                  <w:rFonts w:eastAsia="Lucida Sans Unicode" w:cs="Tahoma"/>
                  <w:szCs w:val="24"/>
                  <w:lang w:eastAsia="ar-SA"/>
                </w:rPr>
                <w:t xml:space="preserve">. Pripažinti netekusiu galios </w:t>
              </w:r>
              <w:r>
                <w:rPr>
                  <w:rFonts w:cs="Tahoma"/>
                  <w:szCs w:val="24"/>
                  <w:shd w:val="clear" w:color="auto" w:fill="FFFFFF"/>
                  <w:lang w:eastAsia="ar-SA"/>
                </w:rPr>
                <w:t xml:space="preserve">Šiaulių miesto savivaldybės tarybos 2021 m. spalio  14 d. sprendimą Nr. T-397 „Dėl fiksuotų pajamų mokesčio dydžių ir lengvatų, taikomų įsigyjant verslo liudijimus 2022 ir vėlesniais metais vykdomai veiklai, nustatymo“.</w:t>
              </w:r>
            </w:p>
          </w:sdtContent>
        </w:sdt>
        <w:sdt>
          <w:sdtPr>
            <w:alias w:val="3 p."/>
            <w:tag w:val="part_d074cd0ff85c476ca6f9a10f770e134e"/>
            <w:lock w:val="sdtLocked"/>
            <w:richText/>
          </w:sdtPr>
          <w:sdtContent>
            <w:p w14:paraId="6BA56CA7" w14:textId="23F88349">
              <w:pPr>
                <w:suppressAutoHyphens/>
                <w:ind w:firstLine="720"/>
                <w:jc w:val="both"/>
                <w:rPr>
                  <w:rFonts w:eastAsia="Lucida Sans Unicode" w:cs="Tahoma"/>
                  <w:szCs w:val="24"/>
                  <w:shd w:val="clear" w:color="auto" w:fill="FFFFFF"/>
                  <w:lang w:eastAsia="ar-SA"/>
                </w:rPr>
              </w:pPr>
              <w:sdt>
                <w:sdtPr>
                  <w:alias w:val="Numeris"/>
                  <w:tag w:val="nr_d074cd0ff85c476ca6f9a10f770e134e"/>
                  <w:lock w:val="sdtLocked"/>
                  <w:richText/>
                </w:sdtPr>
                <w:sdtContent>
                  <w:r>
                    <w:rPr>
                      <w:rFonts w:eastAsia="Lucida Sans Unicode" w:cs="Tahoma"/>
                      <w:szCs w:val="24"/>
                      <w:shd w:val="clear" w:color="auto" w:fill="FFFFFF"/>
                      <w:lang w:eastAsia="ar-SA"/>
                    </w:rPr>
                    <w:t>3</w:t>
                  </w:r>
                </w:sdtContent>
              </w:sdt>
              <w:r>
                <w:rPr>
                  <w:rFonts w:eastAsia="Lucida Sans Unicode" w:cs="Tahoma"/>
                  <w:szCs w:val="24"/>
                  <w:shd w:val="clear" w:color="auto" w:fill="FFFFFF"/>
                  <w:lang w:eastAsia="ar-SA"/>
                </w:rPr>
                <w:t xml:space="preserve">.  Nustatyti, kad šis sprendimas įsigalioja 2025 m. sausio 1 d.</w:t>
              </w:r>
            </w:p>
            <w:p w14:paraId="44464604" w14:textId="77777777">
              <w:pPr>
                <w:suppressAutoHyphens/>
                <w:ind w:firstLine="720"/>
                <w:jc w:val="both"/>
                <w:rPr>
                  <w:rFonts w:eastAsia="Lucida Sans Unicode" w:cs="Tahoma"/>
                  <w:szCs w:val="24"/>
                  <w:lang w:eastAsia="ar-SA"/>
                </w:rPr>
              </w:pPr>
            </w:p>
            <w:p w14:paraId="274EF03E" w14:textId="77777777">
              <w:pPr>
                <w:suppressAutoHyphens/>
                <w:jc w:val="both"/>
                <w:rPr>
                  <w:rFonts w:eastAsia="Lucida Sans Unicode" w:cs="Tahoma"/>
                  <w:szCs w:val="24"/>
                  <w:lang w:eastAsia="ar-SA"/>
                </w:rPr>
              </w:pPr>
            </w:p>
          </w:sdtContent>
        </w:sdt>
        <w:sdt>
          <w:sdtPr>
            <w:alias w:val="signatura"/>
            <w:tag w:val="part_c70e85c1318943eeac51da5db5c3770b"/>
            <w:lock w:val="sdtLocked"/>
            <w:richText/>
          </w:sdtPr>
          <w:sdtContent>
            <w:p w14:paraId="1A63545D" w14:textId="77777777">
              <w:pPr>
                <w:suppressAutoHyphens/>
                <w:jc w:val="both"/>
                <w:rPr>
                  <w:rFonts w:eastAsia="Lucida Sans Unicode" w:cs="Tahoma"/>
                  <w:szCs w:val="24"/>
                  <w:shd w:val="clear" w:color="auto" w:fill="FFFFFF"/>
                  <w:lang w:eastAsia="ar-SA"/>
                </w:rPr>
              </w:pPr>
              <w:r>
                <w:rPr>
                  <w:rFonts w:eastAsia="Lucida Sans Unicode" w:cs="Tahoma"/>
                  <w:szCs w:val="24"/>
                  <w:shd w:val="clear" w:color="auto" w:fill="FFFFFF"/>
                  <w:lang w:eastAsia="ar-SA"/>
                </w:rPr>
                <w:t xml:space="preserve">Savivaldybės meras    </w:t>
              </w:r>
            </w:p>
            <w:p w14:paraId="6FA84574" w14:textId="77777777">
              <w:pPr>
                <w:suppressAutoHyphens/>
                <w:jc w:val="both"/>
                <w:rPr>
                  <w:rFonts w:eastAsia="Lucida Sans Unicode" w:cs="Tahoma"/>
                  <w:szCs w:val="24"/>
                  <w:shd w:val="clear" w:color="auto" w:fill="FFFFFF"/>
                  <w:lang w:eastAsia="ar-SA"/>
                </w:rPr>
              </w:pPr>
            </w:p>
            <w:p w14:paraId="257D72E5" w14:textId="77777777">
              <w:pPr>
                <w:suppressAutoHyphens/>
                <w:jc w:val="both"/>
                <w:rPr>
                  <w:rFonts w:eastAsia="Lucida Sans Unicode" w:cs="Tahoma"/>
                  <w:szCs w:val="24"/>
                  <w:shd w:val="clear" w:color="auto" w:fill="FFFFFF"/>
                  <w:lang w:eastAsia="ar-SA"/>
                </w:rPr>
              </w:pPr>
            </w:p>
            <w:p w14:paraId="58AD897E" w14:textId="77777777">
              <w:pPr>
                <w:suppressAutoHyphens/>
                <w:jc w:val="both"/>
                <w:rPr>
                  <w:rFonts w:eastAsia="Lucida Sans Unicode" w:cs="Tahoma"/>
                  <w:szCs w:val="24"/>
                  <w:shd w:val="clear" w:color="auto" w:fill="FFFFFF"/>
                  <w:lang w:eastAsia="ar-SA"/>
                </w:rPr>
              </w:pPr>
            </w:p>
            <w:p w14:paraId="1480797F" w14:textId="77777777">
              <w:pPr>
                <w:suppressAutoHyphens/>
                <w:jc w:val="both"/>
                <w:rPr>
                  <w:rFonts w:eastAsia="Lucida Sans Unicode" w:cs="Tahoma"/>
                  <w:szCs w:val="24"/>
                  <w:shd w:val="clear" w:color="auto" w:fill="FFFFFF"/>
                  <w:lang w:eastAsia="ar-SA"/>
                </w:rPr>
              </w:pPr>
            </w:p>
            <w:p w14:paraId="1FC1C4FF" w14:textId="77777777">
              <w:pPr>
                <w:suppressAutoHyphens/>
                <w:jc w:val="both"/>
                <w:rPr>
                  <w:rFonts w:eastAsia="Lucida Sans Unicode" w:cs="Tahoma"/>
                  <w:szCs w:val="24"/>
                  <w:shd w:val="clear" w:color="auto" w:fill="FFFFFF"/>
                  <w:lang w:eastAsia="ar-SA"/>
                </w:rPr>
              </w:pPr>
            </w:p>
            <w:p w14:paraId="67AF2587" w14:textId="77777777">
              <w:pPr>
                <w:suppressAutoHyphens/>
                <w:jc w:val="both"/>
                <w:rPr>
                  <w:rFonts w:eastAsia="Lucida Sans Unicode" w:cs="Tahoma"/>
                  <w:szCs w:val="24"/>
                  <w:shd w:val="clear" w:color="auto" w:fill="FFFFFF"/>
                  <w:lang w:eastAsia="ar-SA"/>
                </w:rPr>
              </w:pPr>
            </w:p>
            <w:p w14:paraId="453FA367" w14:textId="77777777">
              <w:pPr>
                <w:suppressAutoHyphens/>
                <w:jc w:val="both"/>
                <w:rPr>
                  <w:rFonts w:eastAsia="Lucida Sans Unicode" w:cs="Tahoma"/>
                  <w:szCs w:val="24"/>
                  <w:shd w:val="clear" w:color="auto" w:fill="FFFFFF"/>
                  <w:lang w:eastAsia="ar-SA"/>
                </w:rPr>
              </w:pPr>
            </w:p>
            <w:p w14:paraId="356C8DD2" w14:textId="77777777">
              <w:pPr>
                <w:suppressAutoHyphens/>
                <w:jc w:val="both"/>
                <w:rPr>
                  <w:rFonts w:eastAsia="Lucida Sans Unicode" w:cs="Tahoma"/>
                  <w:szCs w:val="24"/>
                  <w:shd w:val="clear" w:color="auto" w:fill="FFFFFF"/>
                  <w:lang w:eastAsia="ar-SA"/>
                </w:rPr>
              </w:pPr>
            </w:p>
            <w:p w14:paraId="20897E3E" w14:textId="77777777">
              <w:pPr>
                <w:suppressAutoHyphens/>
                <w:jc w:val="both"/>
                <w:rPr>
                  <w:rFonts w:eastAsia="Lucida Sans Unicode" w:cs="Tahoma"/>
                  <w:szCs w:val="24"/>
                  <w:shd w:val="clear" w:color="auto" w:fill="FFFFFF"/>
                  <w:lang w:eastAsia="ar-SA"/>
                </w:rPr>
              </w:pPr>
            </w:p>
            <w:p w14:paraId="55BCD8E7" w14:textId="77777777">
              <w:pPr>
                <w:suppressAutoHyphens/>
                <w:jc w:val="both"/>
                <w:rPr>
                  <w:rFonts w:eastAsia="Lucida Sans Unicode" w:cs="Tahoma"/>
                  <w:szCs w:val="24"/>
                  <w:shd w:val="clear" w:color="auto" w:fill="FFFFFF"/>
                  <w:lang w:eastAsia="ar-SA"/>
                </w:rPr>
              </w:pPr>
            </w:p>
            <w:p w14:paraId="48DA0197" w14:textId="77777777">
              <w:pPr>
                <w:suppressAutoHyphens/>
                <w:jc w:val="both"/>
                <w:rPr>
                  <w:rFonts w:eastAsia="Lucida Sans Unicode" w:cs="Tahoma"/>
                  <w:szCs w:val="24"/>
                  <w:shd w:val="clear" w:color="auto" w:fill="FFFFFF"/>
                  <w:lang w:eastAsia="ar-SA"/>
                </w:rPr>
              </w:pPr>
            </w:p>
            <w:p w14:paraId="6E7BD85E" w14:textId="77777777">
              <w:pPr>
                <w:suppressAutoHyphens/>
                <w:jc w:val="both"/>
                <w:rPr>
                  <w:szCs w:val="24"/>
                  <w:lang w:val="en-GB" w:eastAsia="ar-SA"/>
                </w:rPr>
              </w:pPr>
            </w:p>
          </w:sdtContent>
        </w:sdt>
      </w:sdtContent>
    </w:sdt>
    <w:sectPr>
      <w:headerReference w:type="default" r:id="rId6"/>
      <w:pgSz w:w="11906" w:h="16838"/>
      <w:pgMar w:top="1134" w:right="567" w:bottom="776" w:left="1587" w:header="0"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7BA16E" w14:textId="77777777">
      <w:pPr>
        <w:suppressAutoHyphens/>
        <w:rPr>
          <w:szCs w:val="24"/>
          <w:lang w:val="en-GB" w:eastAsia="ar-SA"/>
        </w:rPr>
      </w:pPr>
      <w:r>
        <w:rPr>
          <w:szCs w:val="24"/>
          <w:lang w:val="en-GB" w:eastAsia="ar-SA"/>
        </w:rPr>
        <w:separator/>
      </w:r>
    </w:p>
  </w:endnote>
  <w:endnote w:type="continuationSeparator" w:id="0">
    <w:p w14:paraId="3184DB72"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97F7B" w14:textId="77777777">
      <w:pPr>
        <w:suppressAutoHyphens/>
        <w:rPr>
          <w:szCs w:val="24"/>
          <w:lang w:val="en-GB" w:eastAsia="ar-SA"/>
        </w:rPr>
      </w:pPr>
      <w:r>
        <w:rPr>
          <w:szCs w:val="24"/>
          <w:lang w:val="en-GB" w:eastAsia="ar-SA"/>
        </w:rPr>
        <w:separator/>
      </w:r>
    </w:p>
  </w:footnote>
  <w:footnote w:type="continuationSeparator" w:id="0">
    <w:p w14:paraId="18E4D0EC"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90B29" w14:textId="77777777">
    <w:pPr>
      <w:tabs>
        <w:tab w:val="center" w:pos="4819"/>
        <w:tab w:val="right" w:pos="9638"/>
      </w:tabs>
      <w:suppressAutoHyphens/>
      <w:rPr>
        <w:b/>
        <w:bCs/>
        <w:szCs w:val="24"/>
        <w:lang w:eastAsia="ar-SA"/>
      </w:rPr>
    </w:pPr>
  </w:p>
  <w:p w14:paraId="4C6E029A" w14:textId="77777777">
    <w:pPr>
      <w:tabs>
        <w:tab w:val="center" w:pos="4819"/>
        <w:tab w:val="right" w:pos="9638"/>
      </w:tabs>
      <w:suppressAutoHyphens/>
      <w:rPr>
        <w:szCs w:val="24"/>
        <w:lang w:val="en-GB" w:eastAsia="ar-SA"/>
      </w:rPr>
    </w:pPr>
  </w:p>
  <w:p w14:paraId="3366BE90" w14:textId="77777777">
    <w:pPr>
      <w:tabs>
        <w:tab w:val="center" w:pos="4819"/>
        <w:tab w:val="right" w:pos="9638"/>
      </w:tabs>
      <w:suppressAutoHyphens/>
      <w:rPr>
        <w:b/>
        <w:bCs/>
        <w:szCs w:val="24"/>
        <w:lang w:eastAsia="ar-SA"/>
      </w:rPr>
    </w:pPr>
    <w:r>
      <w:rPr>
        <w:b/>
        <w:bCs/>
        <w:szCs w:val="24"/>
        <w:lang w:eastAsia="ar-SA"/>
      </w:rPr>
      <w:tab/>
      <w:tab/>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9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944E8F8"/>
  <w15:chartTrackingRefBased/>
  <w15:docId w15:val="{164D6472-A4B4-49BD-BE4B-FA7A262C0E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5b2a2d7fef4e83b7af067d420b590a" PartId="91a3e9244b944516ad7845cc56f061d2">
    <Part Type="preambule" DocPartId="0bae0060a3604b62a2bb7a8be2ee73d5" PartId="cc101c3ea7b3467a98dd3c8577621eb4"/>
    <Part Type="punktas" Nr="1" Abbr="1 p." DocPartId="e627e817cd9745089b7940e025610cb6" PartId="b4b32faf1ce94a358417d9f288034a7b">
      <Part Type="papunktis" Nr="1.1" Abbr="1.1 pp." DocPartId="789ff48eb7104970b3cd99f309842dfc" PartId="a39791114bdb4f61aba1f4bc1fd91f40"/>
      <Part Type="papunktis" Nr="1.2" Abbr="1.2 pp." DocPartId="d4171ba882524dcfb823724190685b47" PartId="a9a747c8922241d3bfaf2561c5a2ec19"/>
    </Part>
    <Part Type="punktas" Nr="2" Abbr="2 p." DocPartId="d192d91aee3d4dd999e298158bf11ca6" PartId="1f44ed048fb84f09bfb4ab8110a46949"/>
    <Part Type="punktas" Nr="3" Abbr="3 p." DocPartId="83cd4b194502487f8c667eea605037ed" PartId="d074cd0ff85c476ca6f9a10f770e134e"/>
    <Part Type="signatura" DocPartId="82ec8a5104a54317b3a83dcdc6420120" PartId="c70e85c1318943eeac51da5db5c3770b"/>
  </Part>
</Parts>
</file>

<file path=customXml/itemProps1.xml><?xml version="1.0" encoding="utf-8"?>
<ds:datastoreItem xmlns:ds="http://schemas.openxmlformats.org/officeDocument/2006/customXml" ds:itemID="{4DDC8A71-F602-45FD-AB58-0E84693915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229</Words>
  <Characters>1491</Characters>
  <Application>Microsoft Office Word</Application>
  <DocSecurity>4</DocSecurity>
  <Lines>46</Lines>
  <Paragraphs>14</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1706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2024-08-14T16:20:00Z</dcterms:created>
  <dc:creator>d.antanaviciene</dc:creator>
  <lastModifiedBy>adlibuser</lastModifiedBy>
  <lastPrinted>2018-09-07T08:21:00Z</lastPrinted>
  <dcterms:modified xsi:type="dcterms:W3CDTF">2024-08-14T16:20:00Z</dcterms:modified>
  <revision>2</revision>
  <dc:title/>
</coreProperties>
</file>