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ind w:firstLine="567"/>
        <w:jc w:val="both"/>
        <w:rPr>
          <w:sz w:val="26"/>
          <w:lang w:eastAsia="lt-LT"/>
        </w:rPr>
      </w:pPr>
    </w:p>
    <w:p>
      <w:pPr>
        <w:framePr w:w="5670" w:hSpace="181" w:wrap="auto" w:vAnchor="page" w:hAnchor="page" w:x="3681" w:y="3065"/>
        <w:tabs>
          <w:tab w:val="left" w:leader="underscore" w:pos="2835"/>
          <w:tab w:val="left" w:leader="underscore" w:pos="5529"/>
        </w:tabs>
        <w:rPr>
          <w:b/>
          <w:sz w:val="26"/>
          <w:lang w:eastAsia="lt-LT"/>
        </w:rPr>
      </w:pPr>
    </w:p>
    <w:p>
      <w:pPr>
        <w:framePr w:w="5670" w:hSpace="181" w:wrap="auto" w:vAnchor="page" w:hAnchor="page" w:x="3681" w:y="3065"/>
        <w:tabs>
          <w:tab w:val="left" w:leader="underscore" w:pos="2835"/>
          <w:tab w:val="left" w:leader="underscore" w:pos="5529"/>
        </w:tabs>
        <w:rPr>
          <w:b/>
          <w:sz w:val="26"/>
          <w:lang w:eastAsia="lt-LT"/>
        </w:rPr>
      </w:pPr>
    </w:p>
    <w:p>
      <w:pPr>
        <w:framePr w:w="5670" w:hSpace="181" w:wrap="auto" w:vAnchor="page" w:hAnchor="page" w:x="3681" w:y="3065"/>
        <w:tabs>
          <w:tab w:val="left" w:leader="underscore" w:pos="2835"/>
          <w:tab w:val="left" w:leader="underscore" w:pos="5529"/>
        </w:tabs>
        <w:rPr>
          <w:b/>
          <w:sz w:val="26"/>
          <w:lang w:eastAsia="lt-LT"/>
        </w:rPr>
      </w:pPr>
    </w:p>
    <w:p>
      <w:pPr>
        <w:framePr w:w="5670" w:hSpace="181" w:wrap="auto" w:vAnchor="page" w:hAnchor="page" w:x="3681" w:y="3065"/>
        <w:tabs>
          <w:tab w:val="left" w:leader="underscore" w:pos="2835"/>
          <w:tab w:val="left" w:leader="underscore" w:pos="5529"/>
        </w:tabs>
        <w:spacing w:line="720" w:lineRule="auto"/>
        <w:jc w:val="center"/>
        <w:rPr>
          <w:lang w:eastAsia="lt-LT"/>
        </w:rPr>
      </w:pPr>
    </w:p>
    <w:p>
      <w:pPr>
        <w:framePr w:w="6819" w:hSpace="181" w:wrap="auto" w:vAnchor="page" w:hAnchor="page" w:x="3168" w:y="1153"/>
        <w:jc w:val="center"/>
        <w:rPr>
          <w:sz w:val="10"/>
          <w:lang w:eastAsia="lt-LT"/>
        </w:rPr>
      </w:pPr>
    </w:p>
    <w:p>
      <w:pPr>
        <w:framePr w:w="6819" w:hSpace="181" w:wrap="auto" w:vAnchor="page" w:hAnchor="page" w:x="3168" w:y="1153"/>
        <w:jc w:val="center"/>
        <w:rPr>
          <w:b/>
          <w:sz w:val="28"/>
          <w:lang w:eastAsia="lt-LT"/>
        </w:rPr>
      </w:pPr>
    </w:p>
    <w:p>
      <w:pPr>
        <w:framePr w:w="6819" w:hSpace="181" w:wrap="auto" w:vAnchor="page" w:hAnchor="page" w:x="3168" w:y="1153"/>
        <w:jc w:val="center"/>
        <w:rPr>
          <w:b/>
          <w:szCs w:val="24"/>
          <w:lang w:eastAsia="lt-LT"/>
        </w:rPr>
      </w:pPr>
      <w:r>
        <w:rPr>
          <w:b/>
          <w:szCs w:val="24"/>
          <w:lang w:eastAsia="lt-LT"/>
        </w:rPr>
        <w:t>PRIENŲ RAJONO SAVIVALDYBĖS TARYBA</w:t>
      </w:r>
    </w:p>
    <w:p>
      <w:pPr>
        <w:tabs>
          <w:tab w:val="center" w:pos="4153"/>
          <w:tab w:val="right" w:pos="8306"/>
        </w:tabs>
        <w:ind w:firstLine="567"/>
        <w:jc w:val="both"/>
        <w:rPr>
          <w:sz w:val="26"/>
          <w:lang w:eastAsia="lt-LT"/>
        </w:rPr>
      </w:pPr>
    </w:p>
    <w:p>
      <w:pPr>
        <w:spacing w:line="360" w:lineRule="auto"/>
        <w:ind w:firstLine="567"/>
        <w:jc w:val="right"/>
        <w:rPr>
          <w:b/>
          <w:bCs/>
          <w:lang w:eastAsia="lt-LT"/>
        </w:rPr>
      </w:pPr>
      <w:r>
        <w:rPr>
          <w:b/>
          <w:bCs/>
          <w:lang w:eastAsia="lt-LT"/>
        </w:rPr>
        <w:t>Projektas</w:t>
      </w:r>
    </w:p>
    <w:p>
      <w:pPr>
        <w:spacing w:line="360" w:lineRule="auto"/>
        <w:ind w:firstLine="567"/>
        <w:jc w:val="both"/>
        <w:rPr>
          <w:lang w:eastAsia="lt-LT"/>
        </w:rPr>
      </w:pPr>
    </w:p>
    <w:p>
      <w:pPr>
        <w:spacing w:line="360" w:lineRule="auto"/>
        <w:ind w:firstLine="567"/>
        <w:jc w:val="both"/>
        <w:rPr>
          <w:caps/>
          <w:lang w:eastAsia="lt-LT"/>
        </w:rPr>
      </w:pPr>
    </w:p>
    <w:p>
      <w:pPr>
        <w:spacing w:line="360" w:lineRule="auto"/>
        <w:jc w:val="center"/>
        <w:rPr>
          <w:b/>
          <w:bCs/>
          <w:caps/>
          <w:lang w:eastAsia="lt-LT"/>
        </w:rPr>
      </w:pPr>
      <w:r>
        <w:rPr>
          <w:b/>
          <w:bCs/>
          <w:caps/>
          <w:lang w:eastAsia="lt-LT"/>
        </w:rPr>
        <w:t>SPRENDIMAS</w:t>
      </w:r>
    </w:p>
    <w:p>
      <w:pPr>
        <w:keepNext/>
        <w:spacing w:line="360" w:lineRule="auto"/>
        <w:jc w:val="center"/>
        <w:outlineLvl w:val="1"/>
        <w:rPr>
          <w:b/>
          <w:caps/>
          <w:lang w:eastAsia="lt-LT"/>
        </w:rPr>
      </w:pPr>
      <w:r>
        <w:rPr>
          <w:b/>
          <w:caps/>
          <w:lang w:eastAsia="lt-LT"/>
        </w:rPr>
        <w:t xml:space="preserve">dėl prienų rajono savivaldybės tarybos 2014 m. lapkričio 27 d. sprendimo Nr. t3-239 „DĖL viešame aukcione parduodamo PRIENŲ RAJONO  SAVIVALDYBĖS nekilnojamojo TURTO ir kitų nekilnojamųjų daiktų sąrašo patvirtinimo“ papildymo</w:t>
      </w:r>
    </w:p>
    <w:p>
      <w:pPr>
        <w:ind w:firstLine="567"/>
        <w:jc w:val="both"/>
        <w:rPr>
          <w:sz w:val="26"/>
          <w:lang w:eastAsia="lt-LT"/>
        </w:rPr>
      </w:pPr>
    </w:p>
    <w:p>
      <w:pPr>
        <w:jc w:val="center"/>
        <w:rPr>
          <w:lang w:eastAsia="lt-LT"/>
        </w:rPr>
      </w:pPr>
      <w:r>
        <w:rPr>
          <w:lang w:eastAsia="lt-LT"/>
        </w:rPr>
        <w:t xml:space="preserve">2015 m. lapkričio 18 d. Nr. (1.3)-T1-239 </w:t>
      </w:r>
    </w:p>
    <w:p>
      <w:pPr>
        <w:jc w:val="center"/>
        <w:rPr>
          <w:lang w:eastAsia="lt-LT"/>
        </w:rPr>
      </w:pPr>
      <w:r>
        <w:rPr>
          <w:lang w:eastAsia="lt-LT"/>
        </w:rPr>
        <w:t>Prienai</w:t>
      </w:r>
    </w:p>
    <w:p>
      <w:pPr>
        <w:spacing w:line="360" w:lineRule="auto"/>
        <w:ind w:firstLine="1247"/>
        <w:jc w:val="both"/>
        <w:rPr>
          <w:lang w:eastAsia="lt-LT"/>
        </w:rPr>
      </w:pPr>
    </w:p>
    <w:p>
      <w:pPr>
        <w:spacing w:line="360" w:lineRule="auto"/>
        <w:ind w:firstLine="851"/>
        <w:jc w:val="both"/>
        <w:rPr>
          <w:spacing w:val="120"/>
          <w:lang w:eastAsia="lt-LT"/>
        </w:rPr>
      </w:pPr>
      <w:r>
        <w:rPr>
          <w:lang w:eastAsia="lt-LT"/>
        </w:rPr>
        <w:t xml:space="preserve">Vadovaudamasi Lietuvos Respublikos Vyriausybės 2014 m. spalio 28 d. nutarimu Nr. 1179 „Dėl Viešame aukcione parduodamo valstybės ir savivaldybių nekilnojamojo turto ir kitų nekilnojamųjų daiktų sąrašo sudarymo tvarkos aprašo patvirtinimo“ patvirtinto Viešame aukcione parduodamo valstybės ir savivaldybių nekilnojamojo turto ir kitų nekilnojamųjų daiktų sąrašo sudarymo tvarkos aprašo 3.2 papunkčiu ir 5 punktu, Prienų rajono savivaldybės taryba </w:t>
      </w:r>
      <w:r>
        <w:rPr>
          <w:spacing w:val="120"/>
          <w:lang w:eastAsia="lt-LT"/>
        </w:rPr>
        <w:t>nusprendžia:</w:t>
      </w:r>
    </w:p>
    <w:p>
      <w:pPr>
        <w:spacing w:line="360" w:lineRule="auto"/>
        <w:ind w:firstLine="851"/>
        <w:jc w:val="both"/>
        <w:rPr>
          <w:lang w:eastAsia="lt-LT"/>
        </w:rPr>
      </w:pPr>
      <w:r>
        <w:rPr>
          <w:spacing w:val="10"/>
          <w:lang w:eastAsia="lt-LT"/>
        </w:rPr>
        <w:t xml:space="preserve">Papildyti </w:t>
      </w:r>
      <w:r>
        <w:rPr>
          <w:lang w:eastAsia="lt-LT"/>
        </w:rPr>
        <w:t>Prienų rajono savivaldybės tarybos 2014 m. lapkričio 27 d. sprendimu Nr. T3-239 „Dėl Viešame aukcione parduodamo Prienų rajono savivaldybės nekilnojamojo turto ir kitų nekilnojamųjų daiktų sąrašo patvirtinimo“ patvirtintą Viešame aukcione parduodamo Prienų rajono savivaldybės nekilnojamojo turto ir kitų nekilnojamųjų daiktų sąrašą ir išdėstyti jį nauja redakcija (pridedama).</w:t>
      </w:r>
    </w:p>
    <w:p>
      <w:pPr>
        <w:spacing w:line="360" w:lineRule="auto"/>
        <w:ind w:firstLine="1247"/>
        <w:jc w:val="both"/>
        <w:rPr>
          <w:lang w:eastAsia="lt-LT"/>
        </w:rPr>
      </w:pPr>
    </w:p>
    <w:p>
      <w:pPr>
        <w:spacing w:line="360" w:lineRule="auto"/>
        <w:ind w:firstLine="1247"/>
        <w:jc w:val="both"/>
        <w:rPr>
          <w:lang w:eastAsia="lt-LT"/>
        </w:rPr>
      </w:pPr>
    </w:p>
    <w:p>
      <w:pPr>
        <w:spacing w:line="360" w:lineRule="auto"/>
        <w:jc w:val="both"/>
        <w:rPr>
          <w:lang w:eastAsia="lt-LT"/>
        </w:rPr>
      </w:pPr>
      <w:r>
        <w:rPr>
          <w:lang w:eastAsia="lt-LT"/>
        </w:rPr>
        <w:t>Savivaldybės meras</w:t>
      </w: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p>
      <w:pPr>
        <w:spacing w:line="360" w:lineRule="auto"/>
        <w:jc w:val="both"/>
        <w:rPr>
          <w:lang w:eastAsia="lt-LT"/>
        </w:rPr>
      </w:pPr>
    </w:p>
    <w:sectPr>
      <w:headerReference w:type="even" r:id="rId7"/>
      <w:headerReference w:type="default" r:id="rId8"/>
      <w:footerReference w:type="even" r:id="rId9"/>
      <w:footerReference w:type="default" r:id="rId10"/>
      <w:headerReference w:type="first" r:id="rId11"/>
      <w:footerReference w:type="first" r:id="rId12"/>
      <w:pgSz w:w="11907" w:h="16840" w:code="9"/>
      <w:pgMar w:top="-1135" w:right="567" w:bottom="426" w:left="1560" w:header="567" w:footer="567" w:gutter="0"/>
      <w:cols w:space="1296"/>
      <w:titlePg/>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ind w:firstLine="567"/>
        <w:jc w:val="both"/>
        <w:rPr>
          <w:sz w:val="26"/>
          <w:lang w:eastAsia="lt-LT"/>
        </w:rPr>
      </w:pPr>
      <w:r>
        <w:rPr>
          <w:sz w:val="26"/>
          <w:lang w:eastAsia="lt-LT"/>
        </w:rPr>
        <w:separator/>
      </w:r>
    </w:p>
  </w:endnote>
  <w:endnote w:type="continuationSeparator" w:id="0">
    <w:p>
      <w:pPr>
        <w:ind w:firstLine="567"/>
        <w:jc w:val="both"/>
        <w:rPr>
          <w:sz w:val="26"/>
          <w:lang w:eastAsia="lt-LT"/>
        </w:rPr>
      </w:pPr>
      <w:r>
        <w:rPr>
          <w:sz w:val="26"/>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ind w:firstLine="567"/>
        <w:jc w:val="both"/>
        <w:rPr>
          <w:sz w:val="26"/>
          <w:lang w:eastAsia="lt-LT"/>
        </w:rPr>
      </w:pPr>
      <w:r>
        <w:rPr>
          <w:sz w:val="26"/>
          <w:lang w:eastAsia="lt-LT"/>
        </w:rPr>
        <w:separator/>
      </w:r>
    </w:p>
  </w:footnote>
  <w:footnote w:type="continuationSeparator" w:id="0">
    <w:p>
      <w:pPr>
        <w:ind w:firstLine="567"/>
        <w:jc w:val="both"/>
        <w:rPr>
          <w:sz w:val="26"/>
          <w:lang w:eastAsia="lt-LT"/>
        </w:rPr>
      </w:pPr>
      <w:r>
        <w:rPr>
          <w:sz w:val="26"/>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both"/>
      <w:rPr>
        <w:sz w:val="26"/>
        <w:lang w:eastAsia="lt-LT"/>
      </w:rPr>
    </w:pPr>
    <w:r>
      <w:rPr>
        <w:sz w:val="26"/>
        <w:lang w:eastAsia="lt-LT"/>
      </w:rPr>
      <w:fldChar w:fldCharType="begin"/>
    </w:r>
    <w:r>
      <w:rPr>
        <w:sz w:val="26"/>
        <w:lang w:eastAsia="lt-LT"/>
      </w:rPr>
      <w:instrText xml:space="preserve">PAGE  </w:instrText>
    </w:r>
    <w:r>
      <w:rPr>
        <w:sz w:val="26"/>
        <w:lang w:eastAsia="lt-LT"/>
      </w:rPr>
      <w:fldChar w:fldCharType="separate"/>
    </w:r>
    <w:r>
      <w:rPr>
        <w:sz w:val="26"/>
        <w:lang w:eastAsia="lt-LT"/>
      </w:rPr>
      <w:t>1</w:t>
    </w:r>
    <w:r>
      <w:rPr>
        <w:sz w:val="26"/>
        <w:lang w:eastAsia="lt-LT"/>
      </w:rPr>
      <w:fldChar w:fldCharType="end"/>
    </w:r>
  </w:p>
  <w:p>
    <w:pPr>
      <w:tabs>
        <w:tab w:val="center" w:pos="4153"/>
        <w:tab w:val="right" w:pos="8306"/>
      </w:tabs>
      <w:ind w:firstLine="567"/>
      <w:jc w:val="both"/>
      <w:rPr>
        <w:sz w:val="26"/>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ind w:firstLine="567"/>
      <w:jc w:val="center"/>
      <w:rPr>
        <w:lang w:eastAsia="lt-LT"/>
      </w:rPr>
    </w:pPr>
    <w:r>
      <w:rPr>
        <w:lang w:eastAsia="lt-LT"/>
      </w:rPr>
      <w:fldChar w:fldCharType="begin"/>
    </w:r>
    <w:r>
      <w:rPr>
        <w:lang w:eastAsia="lt-LT"/>
      </w:rPr>
      <w:instrText xml:space="preserve">PAGE  </w:instrText>
    </w:r>
    <w:r>
      <w:rPr>
        <w:lang w:eastAsia="lt-LT"/>
      </w:rPr>
      <w:fldChar w:fldCharType="separate"/>
    </w:r>
    <w:r>
      <w:rPr>
        <w:lang w:eastAsia="lt-LT"/>
      </w:rPr>
      <w:t>2</w:t>
    </w:r>
    <w:r>
      <w:rPr>
        <w:lang w:eastAsia="lt-LT"/>
      </w:rPr>
      <w:fldChar w:fldCharType="end"/>
    </w:r>
  </w:p>
  <w:p>
    <w:pPr>
      <w:framePr w:wrap="auto" w:vAnchor="text" w:hAnchor="margin" w:xAlign="center" w:y="1"/>
      <w:tabs>
        <w:tab w:val="center" w:pos="4153"/>
        <w:tab w:val="right" w:pos="8306"/>
      </w:tabs>
      <w:ind w:firstLine="567"/>
      <w:jc w:val="center"/>
      <w:rPr>
        <w:sz w:val="26"/>
        <w:lang w:eastAsia="lt-LT"/>
      </w:rPr>
    </w:pPr>
  </w:p>
  <w:p>
    <w:pPr>
      <w:framePr w:wrap="auto" w:vAnchor="text" w:hAnchor="margin" w:xAlign="center" w:y="1"/>
      <w:tabs>
        <w:tab w:val="center" w:pos="4153"/>
        <w:tab w:val="right" w:pos="8306"/>
      </w:tabs>
      <w:ind w:firstLine="567"/>
      <w:jc w:val="both"/>
      <w:rPr>
        <w:sz w:val="26"/>
        <w:lang w:eastAsia="lt-LT"/>
      </w:rPr>
    </w:pPr>
  </w:p>
  <w:p>
    <w:pPr>
      <w:framePr w:wrap="auto" w:vAnchor="text" w:hAnchor="margin" w:xAlign="center" w:y="1"/>
      <w:tabs>
        <w:tab w:val="right" w:pos="8306"/>
      </w:tabs>
      <w:ind w:firstLine="567"/>
      <w:jc w:val="center"/>
      <w:rPr>
        <w:sz w:val="26"/>
        <w:lang w:eastAsia="lt-LT"/>
      </w:rPr>
    </w:pPr>
  </w:p>
  <w:p>
    <w:pPr>
      <w:framePr w:wrap="auto" w:vAnchor="text" w:hAnchor="margin" w:xAlign="center" w:y="1"/>
      <w:tabs>
        <w:tab w:val="center" w:pos="4153"/>
        <w:tab w:val="right" w:pos="8306"/>
      </w:tabs>
      <w:ind w:firstLine="567"/>
      <w:jc w:val="both"/>
      <w:rPr>
        <w:sz w:val="26"/>
        <w:lang w:eastAsia="lt-LT"/>
      </w:rPr>
    </w:pPr>
  </w:p>
  <w:p>
    <w:pPr>
      <w:jc w:val="center"/>
      <w:rPr>
        <w:sz w:val="26"/>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ind w:firstLine="567"/>
      <w:jc w:val="both"/>
      <w:rPr>
        <w:sz w:val="26"/>
        <w:lang w:eastAsia="lt-LT"/>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1067</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Adresatas </vt:lpstr>
    </vt:vector>
  </TitlesOfParts>
  <Company/>
  <LinksUpToDate>false</LinksUpToDate>
  <CharactersWithSpaces>1211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2015-11-19T14:11:00Z</dcterms:created>
  <dc:creator>*</dc:creator>
  <lastModifiedBy>CLUSadmin</lastModifiedBy>
  <lastPrinted>2015-11-09T07:02:00Z</lastPrinted>
  <dcterms:modified xsi:type="dcterms:W3CDTF">2015-11-19T14:11:00Z</dcterms:modified>
  <revision>2</revision>
  <dc:title>Adresatas</dc:title>
</coreProperties>
</file>