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f78b56e4aeb41429fc17c230a0cc866"/>
        <w:lock w:val="sdtLocked"/>
        <w:richText/>
      </w:sdtPr>
      <w:sdtContent>
        <w:p>
          <w:pPr>
            <w:ind w:left="7788" w:hanging="133"/>
            <w:rPr>
              <w:b/>
              <w:szCs w:val="24"/>
            </w:rPr>
          </w:pPr>
          <w:r>
            <w:rPr>
              <w:b/>
              <w:szCs w:val="24"/>
            </w:rPr>
            <w:t>Projektas</w:t>
          </w:r>
        </w:p>
        <w:p>
          <w:pPr>
            <w:ind w:left="7788" w:hanging="133"/>
            <w:rPr>
              <w:szCs w:val="24"/>
            </w:rPr>
          </w:pPr>
          <w:r>
            <w:rPr>
              <w:szCs w:val="24"/>
            </w:rPr>
            <w:t>Nr. TSP-</w:t>
          </w:r>
        </w:p>
        <w:p>
          <w:pPr>
            <w:jc w:val="right"/>
            <w:rPr>
              <w:szCs w:val="24"/>
            </w:rPr>
          </w:pPr>
        </w:p>
        <w:tbl>
          <w:tblPr>
            <w:tblW w:w="9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854"/>
          </w:tblGrid>
          <w:tr>
            <w:tc>
              <w:tcPr>
                <w:tcW w:w="9854" w:type="dxa"/>
                <w:tcBorders>
                  <w:top w:val="nil"/>
                  <w:left w:val="nil"/>
                  <w:bottom w:val="nil"/>
                  <w:right w:val="nil"/>
                </w:tcBorders>
              </w:tcPr>
              <w:p>
                <w:pPr>
                  <w:keepNext/>
                  <w:jc w:val="center"/>
                  <w:rPr>
                    <w:b/>
                    <w:bCs/>
                    <w:szCs w:val="24"/>
                  </w:rPr>
                </w:pPr>
                <w:r>
                  <w:rPr>
                    <w:b/>
                    <w:bCs/>
                    <w:szCs w:val="24"/>
                  </w:rPr>
                  <w:t xml:space="preserve">RADVILIŠKIO RAJONO SAVIVALDYBĖS TARYBA </w:t>
                </w:r>
              </w:p>
            </w:tc>
          </w:tr>
          <w:tr>
            <w:tc>
              <w:tcPr>
                <w:tcW w:w="9854" w:type="dxa"/>
                <w:tcBorders>
                  <w:top w:val="nil"/>
                  <w:left w:val="nil"/>
                  <w:bottom w:val="nil"/>
                  <w:right w:val="nil"/>
                </w:tcBorders>
              </w:tcPr>
              <w:p>
                <w:pPr>
                  <w:keepNext/>
                  <w:spacing w:line="360" w:lineRule="auto"/>
                  <w:jc w:val="center"/>
                  <w:rPr>
                    <w:b/>
                    <w:bCs/>
                    <w:szCs w:val="24"/>
                  </w:rPr>
                </w:pPr>
              </w:p>
            </w:tc>
          </w:tr>
          <w:tr>
            <w:tc>
              <w:tcPr>
                <w:tcW w:w="9854" w:type="dxa"/>
                <w:tcBorders>
                  <w:top w:val="nil"/>
                  <w:left w:val="nil"/>
                  <w:bottom w:val="nil"/>
                  <w:right w:val="nil"/>
                </w:tcBorders>
              </w:tcPr>
              <w:p>
                <w:pPr>
                  <w:keepNext/>
                  <w:jc w:val="center"/>
                  <w:rPr>
                    <w:b/>
                    <w:bCs/>
                    <w:szCs w:val="24"/>
                  </w:rPr>
                </w:pPr>
                <w:r>
                  <w:rPr>
                    <w:b/>
                    <w:bCs/>
                    <w:szCs w:val="24"/>
                  </w:rPr>
                  <w:t>SPRENDIMAS</w:t>
                </w:r>
              </w:p>
            </w:tc>
          </w:tr>
          <w:tr>
            <w:tc>
              <w:tcPr>
                <w:tcW w:w="9854" w:type="dxa"/>
                <w:tcBorders>
                  <w:top w:val="nil"/>
                  <w:left w:val="nil"/>
                  <w:bottom w:val="nil"/>
                  <w:right w:val="nil"/>
                </w:tcBorders>
              </w:tcPr>
              <w:p>
                <w:pPr>
                  <w:keepNext/>
                  <w:jc w:val="center"/>
                  <w:rPr>
                    <w:b/>
                    <w:bCs/>
                    <w:caps/>
                    <w:color w:val="000000"/>
                    <w:szCs w:val="24"/>
                  </w:rPr>
                </w:pPr>
                <w:r>
                  <w:rPr>
                    <w:b/>
                    <w:bCs/>
                    <w:caps/>
                    <w:color w:val="000000"/>
                    <w:szCs w:val="24"/>
                  </w:rPr>
                  <w:t xml:space="preserve">DĖL dalies VALSTYBINĖS ŽEMĖS SKLYPO </w:t>
                </w:r>
                <w:r>
                  <w:rPr>
                    <w:b/>
                    <w:bCs/>
                    <w:szCs w:val="24"/>
                    <w:lang w:eastAsia="ar-SA"/>
                  </w:rPr>
                  <w:t>(DUOMENYS NESKELBIAMI)</w:t>
                </w:r>
                <w:r>
                  <w:rPr>
                    <w:b/>
                    <w:bCs/>
                    <w:caps/>
                    <w:color w:val="000000"/>
                    <w:szCs w:val="24"/>
                  </w:rPr>
                  <w:t xml:space="preserve">, ESANČIO Maironio g. 20, Radviliškio m., NUOMOS </w:t>
                </w:r>
              </w:p>
              <w:p/>
            </w:tc>
          </w:tr>
          <w:tr>
            <w:trPr>
              <w:cantSplit/>
            </w:trPr>
            <w:tc>
              <w:tcPr>
                <w:tcW w:w="9854" w:type="dxa"/>
                <w:tcBorders>
                  <w:top w:val="nil"/>
                  <w:left w:val="nil"/>
                  <w:bottom w:val="nil"/>
                  <w:right w:val="nil"/>
                </w:tcBorders>
              </w:tcPr>
              <w:p>
                <w:pPr>
                  <w:jc w:val="center"/>
                  <w:rPr>
                    <w:szCs w:val="24"/>
                  </w:rPr>
                </w:pPr>
                <w:r>
                  <w:rPr>
                    <w:szCs w:val="24"/>
                  </w:rPr>
                  <w:t xml:space="preserve">2025 m.                            d. Nr. T-</w:t>
                </w:r>
              </w:p>
            </w:tc>
          </w:tr>
          <w:tr>
            <w:trPr>
              <w:cantSplit/>
              <w:trHeight w:val="294"/>
            </w:trPr>
            <w:tc>
              <w:tcPr>
                <w:tcW w:w="9854" w:type="dxa"/>
                <w:tcBorders>
                  <w:top w:val="nil"/>
                  <w:left w:val="nil"/>
                  <w:bottom w:val="nil"/>
                  <w:right w:val="nil"/>
                </w:tcBorders>
              </w:tcPr>
              <w:p>
                <w:pPr>
                  <w:tabs>
                    <w:tab w:val="left" w:pos="3912"/>
                  </w:tabs>
                  <w:jc w:val="center"/>
                  <w:rPr>
                    <w:szCs w:val="24"/>
                  </w:rPr>
                </w:pPr>
                <w:r>
                  <w:rPr>
                    <w:szCs w:val="24"/>
                  </w:rPr>
                  <w:t>Radviliškis</w:t>
                </w:r>
              </w:p>
            </w:tc>
          </w:tr>
          <w:tr>
            <w:trPr>
              <w:cantSplit/>
              <w:trHeight w:val="294"/>
            </w:trPr>
            <w:tc>
              <w:tcPr>
                <w:tcW w:w="9854" w:type="dxa"/>
                <w:tcBorders>
                  <w:top w:val="nil"/>
                  <w:left w:val="nil"/>
                  <w:bottom w:val="nil"/>
                  <w:right w:val="nil"/>
                </w:tcBorders>
              </w:tcPr>
              <w:p>
                <w:pPr>
                  <w:tabs>
                    <w:tab w:val="left" w:pos="4092"/>
                  </w:tabs>
                  <w:rPr>
                    <w:szCs w:val="24"/>
                  </w:rPr>
                </w:pPr>
              </w:p>
            </w:tc>
          </w:tr>
        </w:tbl>
        <w:p>
          <w:pPr>
            <w:tabs>
              <w:tab w:val="left" w:pos="851"/>
            </w:tabs>
            <w:spacing w:line="360" w:lineRule="auto"/>
            <w:ind w:firstLine="851"/>
            <w:jc w:val="both"/>
            <w:rPr>
              <w:spacing w:val="40"/>
              <w:szCs w:val="24"/>
            </w:rPr>
          </w:pPr>
          <w:r>
            <w:rPr>
              <w:szCs w:val="24"/>
            </w:rPr>
            <w:t xml:space="preserve">Vadovaudamasi </w:t>
          </w:r>
          <w:r>
            <w:rPr>
              <w:iCs/>
              <w:szCs w:val="24"/>
            </w:rPr>
            <w:t>Lietuvos Respublikos vietos savivaldos įstatymo 7 straipsnio 9 punktu, 15 straipsnio 2 dalies 20 punktu,</w:t>
          </w:r>
          <w:r>
            <w:rPr>
              <w:szCs w:val="24"/>
            </w:rPr>
            <w:t xml:space="preserve"> Lietuvos Respublikos žemės įstatymo 7 straipsnio 1 dalies 2 punktu,</w:t>
          </w:r>
          <w:r>
            <w:rPr>
              <w:iCs/>
              <w:szCs w:val="24"/>
            </w:rPr>
            <w:t xml:space="preserve"> 9 straipsnio 1 dalies 1 punktu, 9 straipsnio 3 dalimi,</w:t>
          </w:r>
          <w:r>
            <w:rPr>
              <w:bCs/>
              <w:iCs/>
              <w:szCs w:val="24"/>
            </w:rPr>
            <w:t xml:space="preserve"> </w:t>
          </w:r>
          <w:r>
            <w:rPr>
              <w:bCs/>
              <w:szCs w:val="24"/>
            </w:rPr>
            <w:t>Kitos paskirties valstybinės žemės sklypų pardavimo ir nuomos taisyklių, patvirtintų Lietuvos Respublikos Vyriausybės 1999 m. kovo 9 d. nutarimu Nr. 260 „Dėl kitos paskirties valstybinės žemės sklypų pardavimo ir nuomos taisyklių patvirtinimo“,</w:t>
          </w:r>
          <w:r>
            <w:rPr>
              <w:szCs w:val="24"/>
            </w:rPr>
            <w:t xml:space="preserve"> 2 punktu, 43.5.5 papunkčiu ir 44 punktu, Lietuvos Respublikos Vyriausybės 1999 m. vasario 24 d. nutarimo Nr. 205 „Dėl žemės įvertinimo tvarkos“ </w:t>
          </w:r>
          <w:r>
            <w:rPr>
              <w:color w:val="000000"/>
              <w:szCs w:val="24"/>
            </w:rPr>
            <w:t>5.9 papunkčiu, Pastatų, statinių, įrenginių, pastatytų iki 1996 m. sausio 1 d., saugaus naudojimo termino nustatymo tvarka, patvirtinta Lietuvos Respublikos aplinkos ministro 2003 m. gegužės 19 d. įsakymu Nr. 237 „Dėl Pastatų, statinių, įrenginių, pastatytų iki 1996 m. sausio 1 d., saugaus naudojimo termino nustatymo tvarkos patvirtinimo“</w:t>
          </w:r>
          <w:r>
            <w:rPr>
              <w:szCs w:val="24"/>
            </w:rPr>
            <w:t xml:space="preserve"> </w:t>
          </w:r>
          <w:r>
            <w:rPr>
              <w:color w:val="000000"/>
              <w:szCs w:val="24"/>
            </w:rPr>
            <w:t xml:space="preserve">(toliau – Tvarka), statybos techniniu reglamentu STR 1.12.06:2002 „Statinio naudojimo paskirtis ir gyvavimo trukmė“, patvirtintu Lietuvos Respublikos aplinkos ministro 2002 m. spalio 30 d. įsakymu Nr. 565 „Dėl statybos techninio reglamento STR 1.12.06:2002 „Statinio naudojimo paskirtis ir gyvavimo trukmė“ patvirtinimo“ (toliau – STR), </w:t>
          </w:r>
          <w:r>
            <w:rPr>
              <w:szCs w:val="24"/>
            </w:rPr>
            <w:t xml:space="preserve">įgyvendindama Radviliškio rajono savivaldybės vardu sudaromų sutarčių pasirašymo tvarkos aprašo, patvirtinto Radviliškio rajono savivaldybės tarybos 2023 m. rugpjūčio 31 d. sprendimu Nr. T-105 „Dėl Radviliškio rajono savivaldybės vardu sudaromų sutarčių pasirašymo tvarkos aprašo patvirtinimo“, 5.9 papunktį ir 9 punktą, atsižvelgdama į </w:t>
          </w:r>
          <w:r>
            <w:rPr>
              <w:szCs w:val="24"/>
              <w:lang w:eastAsia="ar-SA"/>
            </w:rPr>
            <w:t>(duomenys neskelbiami)</w:t>
          </w:r>
          <w:r>
            <w:rPr>
              <w:spacing w:val="-4"/>
              <w:szCs w:val="24"/>
            </w:rPr>
            <w:t xml:space="preserve">, </w:t>
          </w:r>
          <w:r>
            <w:rPr>
              <w:szCs w:val="24"/>
            </w:rPr>
            <w:t>Radviliškio rajono savivaldybės taryb</w:t>
          </w:r>
          <w:r>
            <w:rPr>
              <w:spacing w:val="40"/>
              <w:szCs w:val="24"/>
            </w:rPr>
            <w:t>a nusprendžia:</w:t>
          </w:r>
        </w:p>
        <w:sdt>
          <w:sdtPr>
            <w:alias w:val="1 p."/>
            <w:tag w:val="part_a41ade7a137848c093e24f6a28e5c9ee"/>
            <w:lock w:val="sdtLocked"/>
            <w:richText/>
          </w:sdtPr>
          <w:sdtContent>
            <w:p>
              <w:pPr>
                <w:tabs>
                  <w:tab w:val="left" w:pos="851"/>
                </w:tabs>
                <w:spacing w:line="360" w:lineRule="auto"/>
                <w:ind w:firstLine="851"/>
                <w:jc w:val="both"/>
                <w:rPr>
                  <w:color w:val="000000"/>
                  <w:szCs w:val="24"/>
                </w:rPr>
              </w:pPr>
              <w:sdt>
                <w:sdtPr>
                  <w:alias w:val="Numeris"/>
                  <w:tag w:val="nr_a41ade7a137848c093e24f6a28e5c9ee"/>
                  <w:lock w:val="sdtLocked"/>
                  <w:richText/>
                </w:sdtPr>
                <w:sdtContent>
                  <w:r>
                    <w:rPr>
                      <w:color w:val="000000"/>
                      <w:szCs w:val="24"/>
                    </w:rPr>
                    <w:t>1</w:t>
                  </w:r>
                </w:sdtContent>
              </w:sdt>
              <w:r>
                <w:rPr>
                  <w:color w:val="000000"/>
                  <w:szCs w:val="24"/>
                </w:rPr>
                <w:t xml:space="preserve">. Išnuomoti, be aukciono, trylikai (13) metų </w:t>
              </w:r>
              <w:r>
                <w:rPr>
                  <w:szCs w:val="24"/>
                  <w:lang w:eastAsia="ar-SA"/>
                </w:rPr>
                <w:t xml:space="preserve">(duomenys neskelbiami) </w:t>
              </w:r>
              <w:r>
                <w:rPr>
                  <w:color w:val="000000"/>
                  <w:szCs w:val="24"/>
                </w:rPr>
                <w:t xml:space="preserve">0,1362 ha kitos (daugiabučių gyvenamųjų pastatų ir bendrabučių teritorijos) paskirties valstybinės žemės sklypo </w:t>
              </w:r>
              <w:r>
                <w:rPr>
                  <w:szCs w:val="24"/>
                  <w:lang w:eastAsia="ar-SA"/>
                </w:rPr>
                <w:t>(duomenys neskelbiami)</w:t>
              </w:r>
              <w:r>
                <w:rPr>
                  <w:color w:val="000000"/>
                  <w:szCs w:val="24"/>
                </w:rPr>
                <w:t>, dalį, kurios plotas 0,0209 ha, nuomos terminą apskaičiuojant vadovaujantis Tvarka ir STR priedo 1.4 papunkčiu, pagal valstybinės žemės nuomos sutarties projekte (pridedama) įrašytas sąlygas.</w:t>
              </w:r>
            </w:p>
          </w:sdtContent>
        </w:sdt>
        <w:sdt>
          <w:sdtPr>
            <w:alias w:val="2 p."/>
            <w:tag w:val="part_70fde0722f6646d2b24572dc9100cc0c"/>
            <w:lock w:val="sdtLocked"/>
            <w:richText/>
          </w:sdtPr>
          <w:sdtContent>
            <w:p>
              <w:pPr>
                <w:tabs>
                  <w:tab w:val="left" w:pos="851"/>
                </w:tabs>
                <w:spacing w:line="360" w:lineRule="auto"/>
                <w:ind w:firstLine="851"/>
                <w:jc w:val="both"/>
                <w:rPr>
                  <w:color w:val="000000"/>
                  <w:szCs w:val="24"/>
                </w:rPr>
              </w:pPr>
              <w:sdt>
                <w:sdtPr>
                  <w:alias w:val="Numeris"/>
                  <w:tag w:val="nr_70fde0722f6646d2b24572dc9100cc0c"/>
                  <w:lock w:val="sdtLocked"/>
                  <w:richText/>
                </w:sdtPr>
                <w:sdtContent>
                  <w:r>
                    <w:rPr>
                      <w:color w:val="000000"/>
                      <w:szCs w:val="24"/>
                    </w:rPr>
                    <w:t>2</w:t>
                  </w:r>
                </w:sdtContent>
              </w:sdt>
              <w:r>
                <w:rPr>
                  <w:color w:val="000000"/>
                  <w:szCs w:val="24"/>
                </w:rPr>
                <w:t>. Nustatyti 2 punkte nurodytos žemės sklypo dalies vidutinę rinkos vertę, apskaičiuotą pagal taikytus žemės verčių zonų žemėlapius, patvirtintus Nacionalinės žemės tarnybos prie Aplinkos ministerijos direktoriaus 2024 m. gruodžio 9 d. įsakymu Nr. 1P-546-(1.1 E.) „Dėl masinio žemės vertinimo dokumentų patvirtinimo“, – 2 532 (du tūkstančiai penki šimtai trisdešimt du) Eur.</w:t>
              </w:r>
            </w:p>
          </w:sdtContent>
        </w:sdt>
        <w:sdt>
          <w:sdtPr>
            <w:alias w:val="3 p."/>
            <w:tag w:val="part_a90d3b830f0c4997a8b4f1fcac487b01"/>
            <w:lock w:val="sdtLocked"/>
            <w:richText/>
          </w:sdtPr>
          <w:sdtContent>
            <w:p>
              <w:pPr>
                <w:spacing w:line="360" w:lineRule="auto"/>
                <w:ind w:firstLine="720"/>
                <w:jc w:val="both"/>
                <w:rPr>
                  <w:szCs w:val="24"/>
                </w:rPr>
              </w:pPr>
              <w:sdt>
                <w:sdtPr>
                  <w:alias w:val="Numeris"/>
                  <w:tag w:val="nr_a90d3b830f0c4997a8b4f1fcac487b01"/>
                  <w:lock w:val="sdtLocked"/>
                  <w:richText/>
                </w:sdtPr>
                <w:sdtContent>
                  <w:r>
                    <w:rPr>
                      <w:szCs w:val="24"/>
                    </w:rPr>
                    <w:t>3</w:t>
                  </w:r>
                </w:sdtContent>
              </w:sdt>
              <w:r>
                <w:rPr>
                  <w:szCs w:val="24"/>
                </w:rPr>
                <w:t>. Įgalioti Radviliškio rajono savivaldybės merą pasirašyti valstybinės žemės sklypo dalies nuomos sutartį.</w:t>
              </w:r>
            </w:p>
          </w:sdtContent>
        </w:sdt>
        <w:sdt>
          <w:sdtPr>
            <w:alias w:val="4 p."/>
            <w:tag w:val="part_0dafe8c1c5ee41979bc175af66fa03c0"/>
            <w:lock w:val="sdtLocked"/>
            <w:richText/>
          </w:sdtPr>
          <w:sdtContent>
            <w:p>
              <w:pPr>
                <w:tabs>
                  <w:tab w:val="left" w:pos="851"/>
                </w:tabs>
                <w:spacing w:line="360" w:lineRule="auto"/>
                <w:ind w:firstLine="851"/>
                <w:jc w:val="both"/>
                <w:rPr>
                  <w:szCs w:val="24"/>
                </w:rPr>
              </w:pPr>
              <w:sdt>
                <w:sdtPr>
                  <w:alias w:val="Numeris"/>
                  <w:tag w:val="nr_0dafe8c1c5ee41979bc175af66fa03c0"/>
                  <w:lock w:val="sdtLocked"/>
                  <w:richText/>
                </w:sdtPr>
                <w:sdtContent>
                  <w:r>
                    <w:rPr>
                      <w:szCs w:val="24"/>
                    </w:rPr>
                    <w:t>4</w:t>
                  </w:r>
                </w:sdtContent>
              </w:sdt>
              <w:r>
                <w:rPr>
                  <w:szCs w:val="24"/>
                </w:rPr>
                <w:t>. Nurodyti, kad šis sprendimas ne vėliau kaip per vieną mėnesį nuo jo priėmimo dienos gali būti skundžiamas paduodant skundą Lietuvos administracinių ginčų komisijos Šiaulių apygardos skyriui adresu: Dvaro g. 81, Šiauliai, arba Regionų administraciniam teismui bet kuriuose šio teismo rūmuose.</w:t>
              </w:r>
            </w:p>
            <w:p>
              <w:pPr>
                <w:spacing w:line="360" w:lineRule="auto"/>
                <w:jc w:val="both"/>
                <w:rPr>
                  <w:szCs w:val="24"/>
                </w:rPr>
              </w:pPr>
            </w:p>
            <w:p>
              <w:pPr>
                <w:spacing w:line="360" w:lineRule="auto"/>
                <w:jc w:val="both"/>
                <w:rPr>
                  <w:szCs w:val="24"/>
                </w:rPr>
              </w:pPr>
            </w:p>
            <w:p>
              <w:pPr>
                <w:spacing w:line="360" w:lineRule="auto"/>
                <w:jc w:val="both"/>
                <w:rPr>
                  <w:szCs w:val="24"/>
                </w:rPr>
              </w:pPr>
            </w:p>
            <w:p>
              <w:pPr>
                <w:rPr>
                  <w:szCs w:val="24"/>
                </w:rPr>
              </w:pPr>
              <w:r>
                <w:rPr>
                  <w:szCs w:val="24"/>
                </w:rPr>
                <w:t xml:space="preserve">Savivaldybės meras                                                                                           </w:t>
              </w:r>
            </w:p>
            <w:p/>
            <w:p>
              <w:pPr>
                <w:spacing w:line="259" w:lineRule="auto"/>
                <w:rPr>
                  <w:szCs w:val="24"/>
                </w:rPr>
              </w:pPr>
              <w:r>
                <w:rPr>
                  <w:szCs w:val="24"/>
                </w:rPr>
                <w:br w:type="page"/>
              </w:r>
            </w:p>
            <w:p>
              <w:pPr>
                <w:rPr>
                  <w:sz w:val="14"/>
                  <w:szCs w:val="14"/>
                </w:rPr>
              </w:pPr>
            </w:p>
          </w:sdtContent>
        </w:sdt>
        <w:sdt>
          <w:sdtPr>
            <w:alias w:val="skirsnis"/>
            <w:tag w:val="part_600ac5c98f7349d0b9c7e9a257dec115"/>
            <w:lock w:val="sdtLocked"/>
            <w:richText/>
          </w:sdtPr>
          <w:sdtContent>
            <w:sdt>
              <w:sdtPr>
                <w:alias w:val="Pavadinimas"/>
                <w:tag w:val="title_600ac5c98f7349d0b9c7e9a257dec115"/>
                <w:lock w:val="sdtLocked"/>
                <w:richText/>
              </w:sdtPr>
              <w:sdtContent>
                <w:p>
                  <w:pPr>
                    <w:jc w:val="center"/>
                    <w:rPr>
                      <w:b/>
                      <w:szCs w:val="24"/>
                    </w:rPr>
                  </w:pPr>
                  <w:r>
                    <w:rPr>
                      <w:b/>
                      <w:szCs w:val="24"/>
                    </w:rPr>
                    <w:t>RADVILIŠKIO RAJONO SAVIVALDYBĖS TARYBOS SPRENDIMO PROJEKTO</w:t>
                  </w:r>
                </w:p>
                <w:p>
                  <w:pPr>
                    <w:jc w:val="center"/>
                    <w:rPr>
                      <w:b/>
                      <w:szCs w:val="24"/>
                    </w:rPr>
                  </w:pPr>
                  <w:r>
                    <w:rPr>
                      <w:b/>
                      <w:szCs w:val="24"/>
                    </w:rPr>
                    <w:t xml:space="preserve">„DĖL DALIES VALSTYBINĖS ŽEMĖS SKLYPO </w:t>
                  </w:r>
                  <w:r>
                    <w:rPr>
                      <w:b/>
                      <w:szCs w:val="24"/>
                      <w:lang w:eastAsia="ar-SA"/>
                    </w:rPr>
                    <w:t>(NUASMENINTA)</w:t>
                  </w:r>
                  <w:r>
                    <w:rPr>
                      <w:b/>
                      <w:szCs w:val="24"/>
                    </w:rPr>
                    <w:t xml:space="preserve">, ESANČIO MAIRONIO G. 20, RADVILIŠKIO M., NUOMOS“ </w:t>
                  </w:r>
                </w:p>
                <w:p>
                  <w:pPr>
                    <w:jc w:val="center"/>
                    <w:rPr>
                      <w:szCs w:val="24"/>
                    </w:rPr>
                  </w:pPr>
                  <w:r>
                    <w:rPr>
                      <w:b/>
                      <w:szCs w:val="24"/>
                    </w:rPr>
                    <w:t>AIŠKINAMASIS RAŠTAS</w:t>
                  </w:r>
                </w:p>
              </w:sdtContent>
            </w:sdt>
            <w:p>
              <w:pPr>
                <w:spacing w:line="276" w:lineRule="auto"/>
                <w:jc w:val="center"/>
                <w:rPr>
                  <w:szCs w:val="24"/>
                </w:rPr>
              </w:pPr>
            </w:p>
            <w:p>
              <w:pPr>
                <w:jc w:val="center"/>
                <w:rPr>
                  <w:szCs w:val="24"/>
                </w:rPr>
              </w:pPr>
              <w:r>
                <w:rPr>
                  <w:szCs w:val="24"/>
                </w:rPr>
                <w:t>2025 m. rugsėjo 5 d.</w:t>
              </w:r>
            </w:p>
            <w:p>
              <w:pPr>
                <w:jc w:val="center"/>
                <w:rPr>
                  <w:szCs w:val="24"/>
                </w:rPr>
              </w:pPr>
              <w:r>
                <w:rPr>
                  <w:szCs w:val="24"/>
                </w:rPr>
                <w:t>Radviliškis</w:t>
              </w:r>
            </w:p>
            <w:p>
              <w:pPr>
                <w:spacing w:line="276" w:lineRule="auto"/>
                <w:rPr>
                  <w:szCs w:val="24"/>
                </w:rPr>
              </w:pPr>
            </w:p>
            <w:sdt>
              <w:sdtPr>
                <w:alias w:val="1 p."/>
                <w:tag w:val="part_0ff9c64ecd9b4de5b5c0765f486890c7"/>
                <w:lock w:val="sdtLocked"/>
                <w:richText/>
              </w:sdtPr>
              <w:sdtContent>
                <w:p>
                  <w:pPr>
                    <w:spacing w:line="312" w:lineRule="auto"/>
                    <w:ind w:left="1080" w:hanging="360"/>
                    <w:jc w:val="both"/>
                    <w:rPr>
                      <w:b/>
                      <w:szCs w:val="24"/>
                    </w:rPr>
                  </w:pPr>
                  <w:sdt>
                    <w:sdtPr>
                      <w:alias w:val="Numeris"/>
                      <w:tag w:val="nr_0ff9c64ecd9b4de5b5c0765f486890c7"/>
                      <w:lock w:val="sdtLocked"/>
                      <w:richText/>
                    </w:sdtPr>
                    <w:sdtContent>
                      <w:r>
                        <w:rPr>
                          <w:b/>
                          <w:szCs w:val="24"/>
                        </w:rPr>
                        <w:t>1</w:t>
                      </w:r>
                    </w:sdtContent>
                  </w:sdt>
                  <w:r>
                    <w:rPr>
                      <w:b/>
                      <w:szCs w:val="24"/>
                    </w:rPr>
                    <w:t>.</w:t>
                    <w:tab/>
                    <w:t>Projekto rengimą paskatinusios priežastys, parengto projekto tikslai ir uždaviniai.</w:t>
                  </w:r>
                </w:p>
                <w:p>
                  <w:pPr>
                    <w:spacing w:line="312" w:lineRule="auto"/>
                    <w:ind w:firstLine="709"/>
                    <w:jc w:val="both"/>
                    <w:rPr>
                      <w:bCs/>
                      <w:szCs w:val="24"/>
                    </w:rPr>
                  </w:pPr>
                  <w:r>
                    <w:rPr>
                      <w:szCs w:val="24"/>
                    </w:rPr>
                    <w:t xml:space="preserve">Sprendimo projektas parengtas gavus </w:t>
                  </w:r>
                  <w:r>
                    <w:rPr>
                      <w:szCs w:val="24"/>
                      <w:lang w:eastAsia="ar-SA"/>
                    </w:rPr>
                    <w:t>(duomenys neskelbiami)</w:t>
                  </w:r>
                  <w:r>
                    <w:rPr>
                      <w:szCs w:val="24"/>
                    </w:rPr>
                    <w:t xml:space="preserve">. Sprendimo tikslas – gauti </w:t>
                  </w:r>
                  <w:r>
                    <w:rPr>
                      <w:bCs/>
                      <w:szCs w:val="24"/>
                    </w:rPr>
                    <w:t xml:space="preserve">Radviliškio rajono savivaldybės tarybos pritarimą išnuomoti ne aukciono būdu 13 (trylikai) metų 0,1362 ha valstybinės žemės sklypo </w:t>
                  </w:r>
                  <w:r>
                    <w:rPr>
                      <w:szCs w:val="24"/>
                      <w:lang w:eastAsia="ar-SA"/>
                    </w:rPr>
                    <w:t>(duomenys neskelbiami)</w:t>
                  </w:r>
                  <w:r>
                    <w:rPr>
                      <w:bCs/>
                      <w:szCs w:val="24"/>
                    </w:rPr>
                    <w:t>, dalį, kurios plotas 0,0209 ha.</w:t>
                  </w:r>
                </w:p>
              </w:sdtContent>
            </w:sdt>
            <w:sdt>
              <w:sdtPr>
                <w:alias w:val="2 p."/>
                <w:tag w:val="part_949a7b8a692a4b7b85ba0450a430b5d2"/>
                <w:lock w:val="sdtLocked"/>
                <w:richText/>
              </w:sdtPr>
              <w:sdtContent>
                <w:p>
                  <w:pPr>
                    <w:tabs>
                      <w:tab w:val="left" w:pos="720"/>
                    </w:tabs>
                    <w:spacing w:line="312" w:lineRule="auto"/>
                    <w:ind w:left="1080" w:hanging="360"/>
                    <w:jc w:val="both"/>
                    <w:rPr>
                      <w:b/>
                      <w:szCs w:val="24"/>
                    </w:rPr>
                  </w:pPr>
                  <w:sdt>
                    <w:sdtPr>
                      <w:alias w:val="Numeris"/>
                      <w:tag w:val="nr_949a7b8a692a4b7b85ba0450a430b5d2"/>
                      <w:lock w:val="sdtLocked"/>
                      <w:richText/>
                    </w:sdtPr>
                    <w:sdtContent>
                      <w:r>
                        <w:rPr>
                          <w:b/>
                          <w:szCs w:val="24"/>
                        </w:rPr>
                        <w:t>2</w:t>
                      </w:r>
                    </w:sdtContent>
                  </w:sdt>
                  <w:r>
                    <w:rPr>
                      <w:b/>
                      <w:szCs w:val="24"/>
                    </w:rPr>
                    <w:t>.</w:t>
                    <w:tab/>
                    <w:t>Projekto iniciatoriai (institucija, asmenys ar piliečių atstovai) ir rengėjai.</w:t>
                  </w:r>
                </w:p>
                <w:p>
                  <w:pPr>
                    <w:spacing w:line="312" w:lineRule="auto"/>
                    <w:ind w:firstLine="709"/>
                    <w:jc w:val="both"/>
                    <w:rPr>
                      <w:szCs w:val="24"/>
                    </w:rPr>
                  </w:pPr>
                  <w:r>
                    <w:rPr>
                      <w:szCs w:val="24"/>
                    </w:rPr>
                    <w:t>Iniciatorius – Radviliškio rajono savivaldybės administracija. Sprendimo projektą parengė Architektūros ir urbanistikos skyriaus vyriausiasis specialistas Vytautas Urbonas.</w:t>
                  </w:r>
                </w:p>
              </w:sdtContent>
            </w:sdt>
            <w:sdt>
              <w:sdtPr>
                <w:alias w:val="3 p."/>
                <w:tag w:val="part_10fd493bcfc04666845a5fcad2284de7"/>
                <w:lock w:val="sdtLocked"/>
                <w:richText/>
              </w:sdtPr>
              <w:sdtContent>
                <w:p>
                  <w:pPr>
                    <w:tabs>
                      <w:tab w:val="left" w:pos="720"/>
                    </w:tabs>
                    <w:spacing w:line="312" w:lineRule="auto"/>
                    <w:ind w:firstLine="720"/>
                    <w:jc w:val="both"/>
                    <w:rPr>
                      <w:b/>
                      <w:szCs w:val="24"/>
                    </w:rPr>
                  </w:pPr>
                  <w:sdt>
                    <w:sdtPr>
                      <w:alias w:val="Numeris"/>
                      <w:tag w:val="nr_10fd493bcfc04666845a5fcad2284de7"/>
                      <w:lock w:val="sdtLocked"/>
                      <w:richText/>
                    </w:sdtPr>
                    <w:sdtContent>
                      <w:r>
                        <w:rPr>
                          <w:b/>
                          <w:szCs w:val="24"/>
                        </w:rPr>
                        <w:t>3</w:t>
                      </w:r>
                    </w:sdtContent>
                  </w:sdt>
                  <w:r>
                    <w:rPr>
                      <w:b/>
                      <w:szCs w:val="24"/>
                    </w:rPr>
                    <w:t>. Kaip šiuo metu yra reguliuojami projekte aptarti teisiniai santykiai.</w:t>
                  </w:r>
                </w:p>
                <w:p>
                  <w:pPr>
                    <w:spacing w:line="312" w:lineRule="auto"/>
                    <w:ind w:firstLine="720"/>
                    <w:jc w:val="both"/>
                    <w:rPr>
                      <w:szCs w:val="24"/>
                    </w:rPr>
                  </w:pPr>
                  <w:r>
                    <w:rPr>
                      <w:szCs w:val="24"/>
                    </w:rPr>
                    <w:t>Lietuvos Respublikos vietos savivaldos įstatymo 15 straipsnio 2 dalies 20 punkte numatyta išimtinė savivaldybės Tarybos kompetencija – sprendimų dėl savivaldybei priskirtos valstybinės žemės ir kito valstybės turto valdymo, naudojimo ir disponavimo juo patikėjimo teise priėmimas.</w:t>
                  </w:r>
                </w:p>
                <w:p>
                  <w:pPr>
                    <w:spacing w:line="312" w:lineRule="auto"/>
                    <w:ind w:firstLine="720"/>
                    <w:jc w:val="both"/>
                    <w:rPr>
                      <w:szCs w:val="24"/>
                    </w:rPr>
                  </w:pPr>
                  <w:r>
                    <w:rPr>
                      <w:szCs w:val="24"/>
                    </w:rPr>
                    <w:t xml:space="preserve">Dabartinis sprendimo projekte aptariamų klausimų reguliavimas apibrėžtas </w:t>
                  </w:r>
                  <w:r>
                    <w:rPr>
                      <w:iCs/>
                      <w:szCs w:val="24"/>
                    </w:rPr>
                    <w:t>Lietuvos Respublikos vietos savivaldos įstatymo 7 straipsnio 9 punkte, 15 straipsnio 2 dalies 20 punkte,</w:t>
                  </w:r>
                  <w:r>
                    <w:rPr>
                      <w:szCs w:val="24"/>
                    </w:rPr>
                    <w:t xml:space="preserve"> Lietuvos Respublikos žemės įstatymo 7 straipsnio 1 dalies 2 punkte,</w:t>
                  </w:r>
                  <w:r>
                    <w:rPr>
                      <w:iCs/>
                      <w:szCs w:val="24"/>
                    </w:rPr>
                    <w:t xml:space="preserve"> 9 straipsnio 1 dalies 1 punkte, 9 straipsnio 3 dalyje,</w:t>
                  </w:r>
                  <w:r>
                    <w:rPr>
                      <w:szCs w:val="24"/>
                    </w:rPr>
                    <w:t xml:space="preserve"> </w:t>
                  </w:r>
                  <w:r>
                    <w:rPr>
                      <w:bCs/>
                      <w:szCs w:val="24"/>
                    </w:rPr>
                    <w:t xml:space="preserve">Kitos paskirties valstybinės žemės sklypų pardavimo ir nuomos taisyklėse, patvirtintose Lietuvos Respublikos Vyriausybės </w:t>
                  </w:r>
                  <w:r>
                    <w:rPr>
                      <w:szCs w:val="24"/>
                    </w:rPr>
                    <w:t xml:space="preserve">1999 m. kovo 9 d. nutarimu Nr. 260 „Dėl kitos paskirties valstybinės žemės sklypų pardavimo ir nuomos taisyklių patvirtinimo“ (toliau – Taisyklės). </w:t>
                  </w:r>
                </w:p>
                <w:p>
                  <w:pPr>
                    <w:spacing w:line="312" w:lineRule="auto"/>
                    <w:ind w:firstLine="720"/>
                    <w:jc w:val="both"/>
                    <w:rPr>
                      <w:szCs w:val="24"/>
                    </w:rPr>
                  </w:pPr>
                  <w:r>
                    <w:rPr>
                      <w:szCs w:val="24"/>
                    </w:rPr>
                    <w:t xml:space="preserve">Taisyklių 44 punkte nurodyta, kad valstybinės žemės nuomos procedūrą vykdanti institucija valstybinės žemės nuomos sutarties projektą pateikia nuomininkui. Pasirašydamas sutarties projekte nuomininkas patvirtina, kad sutinka su sutarties projekte įrašytomis žemės sklypo nuomos sąlygomis. Sprendimas išnuomoti žemės sklypą ar jo dalį arba prašymo netenkinti priimamas per 10 darbo dienų, kai valstybinės žemės nuomotojas yra savivaldybės taryba, – artimiausiame tarybos posėdyje, nuo valstybinės žemės nuomos sutarties projekto suderinimo su nuomininku. Jeigu priimamas sprendimas išnuomoti žemės sklypą ar jo dalį, jame nurodoma, kad žemės sklypas ar jo dalis išnuomojami valstybinės žemės nuomos sutarties projekte įrašytomis sąlygomis ir nurodomi žemės sklypo nuomos termino nustatymo motyvai. Sutarties projektas pridedamas prie sprendimo išnuomoti žemės sklypą kaip neatskiriamas priedas. </w:t>
                  </w:r>
                </w:p>
                <w:p>
                  <w:pPr>
                    <w:spacing w:line="312" w:lineRule="auto"/>
                    <w:ind w:firstLine="720"/>
                    <w:jc w:val="both"/>
                    <w:rPr>
                      <w:szCs w:val="24"/>
                    </w:rPr>
                  </w:pPr>
                  <w:r>
                    <w:rPr>
                      <w:szCs w:val="24"/>
                    </w:rPr>
                    <w:t xml:space="preserve">Taisyklių 43.5.5 papunktyje nurodyta, kad valstybinės žemės 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 </w:t>
                  </w:r>
                </w:p>
                <w:p>
                  <w:pPr>
                    <w:spacing w:line="312" w:lineRule="auto"/>
                    <w:ind w:firstLine="720"/>
                    <w:jc w:val="both"/>
                    <w:rPr>
                      <w:szCs w:val="24"/>
                    </w:rPr>
                  </w:pPr>
                  <w:r>
                    <w:rPr>
                      <w:szCs w:val="24"/>
                    </w:rPr>
                    <w:t xml:space="preserve">Žemės sklype esantis pagrindinis pastatas gyvenamasis namas 1A1m (unikalus Nr. 7188-0000-5013) pastatytas 1880 m., rekonstravimo pabaiga 1964 m., 2016 m. gruodžio 14 d. patikslinus kadastro duomenis nustatytas 63 procentų fizinis nusidėvėjimas. Kadangi ekonomiškai pagrįstos naudojimo trukmės terminas yra 60 metų, todėl, įvertinus nusidėvėjimą, žemės sklypo nuomos terminas nustatytas 13 metų laikotarpiui. </w:t>
                  </w:r>
                </w:p>
                <w:p>
                  <w:pPr>
                    <w:spacing w:line="312" w:lineRule="auto"/>
                    <w:ind w:firstLine="720"/>
                    <w:jc w:val="both"/>
                    <w:rPr>
                      <w:szCs w:val="24"/>
                    </w:rPr>
                  </w:pPr>
                  <w:r>
                    <w:rPr>
                      <w:szCs w:val="24"/>
                    </w:rPr>
                    <w:t>Pasirašydamas sutarties projekte nuomininkas patvirtino, kad sutinka su sutarties projekte išdėstytomis Žemės sklypo nuomos sąlygomis.</w:t>
                  </w:r>
                </w:p>
              </w:sdtContent>
            </w:sdt>
            <w:sdt>
              <w:sdtPr>
                <w:alias w:val="4 p."/>
                <w:tag w:val="part_273eab7333da4759a9ee055e910b9ff7"/>
                <w:lock w:val="sdtLocked"/>
                <w:richText/>
              </w:sdtPr>
              <w:sdtContent>
                <w:p>
                  <w:pPr>
                    <w:spacing w:line="312" w:lineRule="auto"/>
                    <w:ind w:firstLine="720"/>
                    <w:jc w:val="both"/>
                    <w:rPr>
                      <w:b/>
                      <w:szCs w:val="24"/>
                    </w:rPr>
                  </w:pPr>
                  <w:sdt>
                    <w:sdtPr>
                      <w:alias w:val="Numeris"/>
                      <w:tag w:val="nr_273eab7333da4759a9ee055e910b9ff7"/>
                      <w:lock w:val="sdtLocked"/>
                      <w:richText/>
                    </w:sdtPr>
                    <w:sdtContent>
                      <w:r>
                        <w:rPr>
                          <w:b/>
                          <w:szCs w:val="24"/>
                        </w:rPr>
                        <w:t>4</w:t>
                      </w:r>
                    </w:sdtContent>
                  </w:sdt>
                  <w:r>
                    <w:rPr>
                      <w:b/>
                      <w:szCs w:val="24"/>
                    </w:rPr>
                    <w:t>. Kokios siūlomos naujos teisinio reguliavimo nuostatos, kokių teigiamų rezultatų laukiama.</w:t>
                  </w:r>
                </w:p>
                <w:p>
                  <w:pPr>
                    <w:spacing w:line="312" w:lineRule="auto"/>
                    <w:ind w:firstLine="720"/>
                    <w:jc w:val="both"/>
                    <w:rPr>
                      <w:szCs w:val="24"/>
                    </w:rPr>
                  </w:pPr>
                  <w:r>
                    <w:rPr>
                      <w:szCs w:val="24"/>
                    </w:rPr>
                    <w:t>Naujos teisinio reguliavimo nuostatos nesiūlomos.</w:t>
                  </w:r>
                </w:p>
                <w:p>
                  <w:pPr>
                    <w:spacing w:line="312" w:lineRule="auto"/>
                    <w:ind w:firstLine="720"/>
                    <w:jc w:val="both"/>
                    <w:rPr>
                      <w:szCs w:val="24"/>
                    </w:rPr>
                  </w:pPr>
                  <w:r>
                    <w:rPr>
                      <w:szCs w:val="24"/>
                    </w:rPr>
                    <w:t>Teigiami rezultatai – nuomininkas įpareigotas prižiūrėti, tvarkyti ir naudoti Žemės sklypą pagal pagrindinę žemės naudojimo paskirtį ir būdą.</w:t>
                  </w:r>
                </w:p>
              </w:sdtContent>
            </w:sdt>
            <w:sdt>
              <w:sdtPr>
                <w:alias w:val="5 p."/>
                <w:tag w:val="part_6920e8bd4e3b4d269732a2a83af95b01"/>
                <w:lock w:val="sdtLocked"/>
                <w:richText/>
              </w:sdtPr>
              <w:sdtContent>
                <w:p>
                  <w:pPr>
                    <w:spacing w:line="312" w:lineRule="auto"/>
                    <w:ind w:firstLine="720"/>
                    <w:jc w:val="both"/>
                    <w:rPr>
                      <w:b/>
                      <w:szCs w:val="24"/>
                    </w:rPr>
                  </w:pPr>
                  <w:sdt>
                    <w:sdtPr>
                      <w:alias w:val="Numeris"/>
                      <w:tag w:val="nr_6920e8bd4e3b4d269732a2a83af95b01"/>
                      <w:lock w:val="sdtLocked"/>
                      <w:richText/>
                    </w:sdtPr>
                    <w:sdtContent>
                      <w:r>
                        <w:rPr>
                          <w:b/>
                          <w:szCs w:val="24"/>
                        </w:rPr>
                        <w:t>5</w:t>
                      </w:r>
                    </w:sdtContent>
                  </w:sdt>
                  <w:r>
                    <w:rPr>
                      <w:b/>
                      <w:szCs w:val="24"/>
                    </w:rPr>
                    <w:t>. Galimos neigiamos priimto sprendimo projekto pasekmės ir kokių priemonių reikėtų imtis, kad tokių pasekmių būtų išvengta.</w:t>
                  </w:r>
                </w:p>
                <w:p>
                  <w:pPr>
                    <w:spacing w:line="312" w:lineRule="auto"/>
                    <w:ind w:firstLine="720"/>
                    <w:jc w:val="both"/>
                    <w:rPr>
                      <w:szCs w:val="24"/>
                    </w:rPr>
                  </w:pPr>
                  <w:r>
                    <w:rPr>
                      <w:szCs w:val="24"/>
                    </w:rPr>
                    <w:t>Neigiamų pasekmių nenumatoma.</w:t>
                  </w:r>
                </w:p>
              </w:sdtContent>
            </w:sdt>
            <w:sdt>
              <w:sdtPr>
                <w:alias w:val="6 p."/>
                <w:tag w:val="part_2612eee7324b4d0a8d5fb85192584ec5"/>
                <w:lock w:val="sdtLocked"/>
                <w:richText/>
              </w:sdtPr>
              <w:sdtContent>
                <w:p>
                  <w:pPr>
                    <w:spacing w:line="312" w:lineRule="auto"/>
                    <w:ind w:firstLine="720"/>
                    <w:jc w:val="both"/>
                    <w:rPr>
                      <w:b/>
                      <w:szCs w:val="24"/>
                    </w:rPr>
                  </w:pPr>
                  <w:sdt>
                    <w:sdtPr>
                      <w:alias w:val="Numeris"/>
                      <w:tag w:val="nr_2612eee7324b4d0a8d5fb85192584ec5"/>
                      <w:lock w:val="sdtLocked"/>
                      <w:richText/>
                    </w:sdtPr>
                    <w:sdtContent>
                      <w:r>
                        <w:rPr>
                          <w:b/>
                          <w:szCs w:val="24"/>
                        </w:rPr>
                        <w:t>6</w:t>
                      </w:r>
                    </w:sdtContent>
                  </w:sdt>
                  <w:r>
                    <w:rPr>
                      <w:b/>
                      <w:szCs w:val="24"/>
                    </w:rPr>
                    <w:t>. Kokius teisės aktus būtina priimti, kokius galiojančius teisės aktus būtina pakeisti ar pripažinti netekusiais galios priėmus sprendimo projektą.</w:t>
                  </w:r>
                </w:p>
                <w:p>
                  <w:pPr>
                    <w:spacing w:line="312" w:lineRule="auto"/>
                    <w:ind w:firstLine="720"/>
                    <w:jc w:val="both"/>
                    <w:rPr>
                      <w:szCs w:val="24"/>
                    </w:rPr>
                  </w:pPr>
                  <w:r>
                    <w:rPr>
                      <w:szCs w:val="24"/>
                    </w:rPr>
                    <w:t>Nėra.</w:t>
                  </w:r>
                </w:p>
              </w:sdtContent>
            </w:sdt>
            <w:sdt>
              <w:sdtPr>
                <w:alias w:val="7 p."/>
                <w:tag w:val="part_8f8afdc957854006a75e86dcafa59e9d"/>
                <w:lock w:val="sdtLocked"/>
                <w:richText/>
              </w:sdtPr>
              <w:sdtContent>
                <w:p>
                  <w:pPr>
                    <w:spacing w:line="312" w:lineRule="auto"/>
                    <w:ind w:firstLine="720"/>
                    <w:jc w:val="both"/>
                    <w:rPr>
                      <w:szCs w:val="24"/>
                    </w:rPr>
                  </w:pPr>
                  <w:sdt>
                    <w:sdtPr>
                      <w:alias w:val="Numeris"/>
                      <w:tag w:val="nr_8f8afdc957854006a75e86dcafa59e9d"/>
                      <w:lock w:val="sdtLocked"/>
                      <w:richText/>
                    </w:sdtPr>
                    <w:sdtContent>
                      <w:r>
                        <w:rPr>
                          <w:b/>
                          <w:szCs w:val="24"/>
                        </w:rPr>
                        <w:t>7</w:t>
                      </w:r>
                    </w:sdtContent>
                  </w:sdt>
                  <w:r>
                    <w:rPr>
                      <w:b/>
                      <w:szCs w:val="24"/>
                    </w:rPr>
                    <w:t>. Sprendimo projektui įgyvendinti reikalingos lėšos, finansavimo šaltiniai.</w:t>
                  </w:r>
                </w:p>
                <w:p>
                  <w:pPr>
                    <w:spacing w:line="312" w:lineRule="auto"/>
                    <w:ind w:firstLine="720"/>
                    <w:jc w:val="both"/>
                    <w:rPr>
                      <w:szCs w:val="24"/>
                    </w:rPr>
                  </w:pPr>
                  <w:r>
                    <w:rPr>
                      <w:szCs w:val="24"/>
                    </w:rPr>
                    <w:t>Priėmusi sprendimą, Radviliškio rajono savivaldybė papildomų išlaidų nepatirs.</w:t>
                  </w:r>
                </w:p>
              </w:sdtContent>
            </w:sdt>
            <w:sdt>
              <w:sdtPr>
                <w:alias w:val="8 p."/>
                <w:tag w:val="part_3aaef5ed1a8a4450bc6ea33048a3e84d"/>
                <w:lock w:val="sdtLocked"/>
                <w:richText/>
              </w:sdtPr>
              <w:sdtContent>
                <w:p>
                  <w:pPr>
                    <w:spacing w:line="312" w:lineRule="auto"/>
                    <w:ind w:firstLine="720"/>
                    <w:jc w:val="both"/>
                    <w:rPr>
                      <w:b/>
                      <w:szCs w:val="24"/>
                    </w:rPr>
                  </w:pPr>
                  <w:sdt>
                    <w:sdtPr>
                      <w:alias w:val="Numeris"/>
                      <w:tag w:val="nr_3aaef5ed1a8a4450bc6ea33048a3e84d"/>
                      <w:lock w:val="sdtLocked"/>
                      <w:richText/>
                    </w:sdtPr>
                    <w:sdtContent>
                      <w:r>
                        <w:rPr>
                          <w:b/>
                          <w:szCs w:val="24"/>
                        </w:rPr>
                        <w:t>8</w:t>
                      </w:r>
                    </w:sdtContent>
                  </w:sdt>
                  <w:r>
                    <w:rPr>
                      <w:b/>
                      <w:szCs w:val="24"/>
                    </w:rPr>
                    <w:t>. Sprendimo projekto rengimo metu gauti specialistų vertinimai ir išvados.</w:t>
                  </w:r>
                </w:p>
                <w:p>
                  <w:pPr>
                    <w:spacing w:line="312" w:lineRule="auto"/>
                    <w:ind w:firstLine="720"/>
                    <w:jc w:val="both"/>
                    <w:rPr>
                      <w:szCs w:val="24"/>
                    </w:rPr>
                  </w:pPr>
                  <w:r>
                    <w:rPr>
                      <w:szCs w:val="24"/>
                    </w:rPr>
                    <w:t xml:space="preserve">Kitų sprendimo projekto rengimo metu specialistų vertinimų ir išvadų negauta. </w:t>
                  </w:r>
                </w:p>
              </w:sdtContent>
            </w:sdt>
            <w:sdt>
              <w:sdtPr>
                <w:alias w:val="9 p."/>
                <w:tag w:val="part_0c6ed3a6cddc4894a3578669c753bd1e"/>
                <w:lock w:val="sdtLocked"/>
                <w:richText/>
              </w:sdtPr>
              <w:sdtContent>
                <w:p>
                  <w:pPr>
                    <w:spacing w:line="312" w:lineRule="auto"/>
                    <w:ind w:firstLine="720"/>
                    <w:jc w:val="both"/>
                    <w:rPr>
                      <w:b/>
                      <w:szCs w:val="24"/>
                    </w:rPr>
                  </w:pPr>
                  <w:sdt>
                    <w:sdtPr>
                      <w:alias w:val="Numeris"/>
                      <w:tag w:val="nr_0c6ed3a6cddc4894a3578669c753bd1e"/>
                      <w:lock w:val="sdtLocked"/>
                      <w:richText/>
                    </w:sdtPr>
                    <w:sdtContent>
                      <w:r>
                        <w:rPr>
                          <w:b/>
                          <w:szCs w:val="24"/>
                        </w:rPr>
                        <w:t>9</w:t>
                      </w:r>
                    </w:sdtContent>
                  </w:sdt>
                  <w:r>
                    <w:rPr>
                      <w:b/>
                      <w:szCs w:val="24"/>
                    </w:rPr>
                    <w:t>. Numatomo teisinio reguliavimo poveikio vertinimo rezultatai.</w:t>
                  </w:r>
                </w:p>
                <w:p>
                  <w:pPr>
                    <w:spacing w:line="312" w:lineRule="auto"/>
                    <w:ind w:firstLine="720"/>
                    <w:jc w:val="both"/>
                    <w:rPr>
                      <w:szCs w:val="24"/>
                    </w:rPr>
                  </w:pPr>
                  <w:r>
                    <w:rPr>
                      <w:szCs w:val="24"/>
                    </w:rPr>
                    <w:t>Nevertinamas.</w:t>
                  </w:r>
                </w:p>
              </w:sdtContent>
            </w:sdt>
            <w:sdt>
              <w:sdtPr>
                <w:alias w:val="10 p."/>
                <w:tag w:val="part_06da0cbd8f3f49d8acf05368270303a7"/>
                <w:lock w:val="sdtLocked"/>
                <w:richText/>
              </w:sdtPr>
              <w:sdtContent>
                <w:p>
                  <w:pPr>
                    <w:spacing w:line="312" w:lineRule="auto"/>
                    <w:ind w:firstLine="720"/>
                    <w:jc w:val="both"/>
                    <w:rPr>
                      <w:b/>
                      <w:szCs w:val="24"/>
                    </w:rPr>
                  </w:pPr>
                  <w:sdt>
                    <w:sdtPr>
                      <w:alias w:val="Numeris"/>
                      <w:tag w:val="nr_06da0cbd8f3f49d8acf05368270303a7"/>
                      <w:lock w:val="sdtLocked"/>
                      <w:richText/>
                    </w:sdtPr>
                    <w:sdtContent>
                      <w:r>
                        <w:rPr>
                          <w:b/>
                          <w:szCs w:val="24"/>
                        </w:rPr>
                        <w:t>10</w:t>
                      </w:r>
                    </w:sdtContent>
                  </w:sdt>
                  <w:r>
                    <w:rPr>
                      <w:b/>
                      <w:szCs w:val="24"/>
                    </w:rPr>
                    <w:t>. Sprendimo projekto antikorupcinis vertinimas.</w:t>
                  </w:r>
                </w:p>
                <w:p>
                  <w:pPr>
                    <w:spacing w:line="312" w:lineRule="auto"/>
                    <w:ind w:firstLine="720"/>
                    <w:jc w:val="both"/>
                    <w:rPr>
                      <w:szCs w:val="24"/>
                    </w:rPr>
                  </w:pPr>
                  <w:r>
                    <w:rPr>
                      <w:szCs w:val="24"/>
                    </w:rPr>
                    <w:t>Vertinimas neatliekamas.</w:t>
                  </w:r>
                </w:p>
              </w:sdtContent>
            </w:sdt>
            <w:sdt>
              <w:sdtPr>
                <w:alias w:val="11 p."/>
                <w:tag w:val="part_aa80e763e90444f6a1169643cdab7380"/>
                <w:lock w:val="sdtLocked"/>
                <w:richText/>
              </w:sdtPr>
              <w:sdtContent>
                <w:p>
                  <w:pPr>
                    <w:spacing w:line="312" w:lineRule="auto"/>
                    <w:ind w:firstLine="720"/>
                    <w:jc w:val="both"/>
                    <w:rPr>
                      <w:b/>
                      <w:szCs w:val="24"/>
                    </w:rPr>
                  </w:pPr>
                  <w:sdt>
                    <w:sdtPr>
                      <w:alias w:val="Numeris"/>
                      <w:tag w:val="nr_aa80e763e90444f6a1169643cdab7380"/>
                      <w:lock w:val="sdtLocked"/>
                      <w:richText/>
                    </w:sdtPr>
                    <w:sdtContent>
                      <w:r>
                        <w:rPr>
                          <w:b/>
                          <w:szCs w:val="24"/>
                        </w:rPr>
                        <w:t>11</w:t>
                      </w:r>
                    </w:sdtContent>
                  </w:sdt>
                  <w:r>
                    <w:rPr>
                      <w:b/>
                      <w:szCs w:val="24"/>
                    </w:rPr>
                    <w:t>. Kiti, iniciatoriaus nuomone, reikalingi pagrindimai ir paaiškinimai.</w:t>
                  </w:r>
                </w:p>
                <w:p>
                  <w:pPr>
                    <w:spacing w:line="312" w:lineRule="auto"/>
                    <w:ind w:firstLine="720"/>
                    <w:jc w:val="both"/>
                    <w:rPr>
                      <w:szCs w:val="24"/>
                    </w:rPr>
                  </w:pPr>
                  <w:r>
                    <w:rPr>
                      <w:szCs w:val="24"/>
                    </w:rPr>
                    <w:t>Nėra.</w:t>
                  </w:r>
                </w:p>
              </w:sdtContent>
            </w:sdt>
            <w:sdt>
              <w:sdtPr>
                <w:alias w:val="12 p."/>
                <w:tag w:val="part_cac1b0a972c747a98e5a804ffd72149d"/>
                <w:lock w:val="sdtLocked"/>
                <w:richText/>
              </w:sdtPr>
              <w:sdtContent>
                <w:p>
                  <w:pPr>
                    <w:spacing w:line="312" w:lineRule="auto"/>
                    <w:ind w:firstLine="720"/>
                    <w:jc w:val="both"/>
                    <w:rPr>
                      <w:b/>
                      <w:szCs w:val="24"/>
                    </w:rPr>
                  </w:pPr>
                  <w:sdt>
                    <w:sdtPr>
                      <w:alias w:val="Numeris"/>
                      <w:tag w:val="nr_cac1b0a972c747a98e5a804ffd72149d"/>
                      <w:lock w:val="sdtLocked"/>
                      <w:richText/>
                    </w:sdtPr>
                    <w:sdtContent>
                      <w:r>
                        <w:rPr>
                          <w:b/>
                          <w:szCs w:val="24"/>
                        </w:rPr>
                        <w:t>12</w:t>
                      </w:r>
                    </w:sdtContent>
                  </w:sdt>
                  <w:r>
                    <w:rPr>
                      <w:b/>
                      <w:szCs w:val="24"/>
                    </w:rPr>
                    <w:t>. Pridedami dokumentai.</w:t>
                  </w:r>
                </w:p>
                <w:p>
                  <w:pPr>
                    <w:spacing w:line="312" w:lineRule="auto"/>
                    <w:ind w:firstLine="720"/>
                    <w:jc w:val="both"/>
                    <w:rPr>
                      <w:szCs w:val="24"/>
                    </w:rPr>
                  </w:pPr>
                  <w:r>
                    <w:rPr>
                      <w:szCs w:val="24"/>
                    </w:rPr>
                    <w:t xml:space="preserve">Žemės sklypo dalies nuomos sutarties projektas. </w:t>
                  </w:r>
                </w:p>
                <w:p>
                  <w:pPr>
                    <w:spacing w:line="312" w:lineRule="auto"/>
                    <w:jc w:val="both"/>
                    <w:rPr>
                      <w:szCs w:val="24"/>
                    </w:rPr>
                  </w:pPr>
                </w:p>
                <w:p>
                  <w:pPr>
                    <w:spacing w:line="312" w:lineRule="auto"/>
                    <w:jc w:val="both"/>
                    <w:rPr>
                      <w:szCs w:val="24"/>
                    </w:rPr>
                  </w:pPr>
                </w:p>
                <w:p>
                  <w:pPr>
                    <w:spacing w:line="312" w:lineRule="auto"/>
                    <w:jc w:val="both"/>
                    <w:rPr>
                      <w:szCs w:val="24"/>
                    </w:rPr>
                  </w:pPr>
                </w:p>
              </w:sdtContent>
            </w:sdt>
          </w:sdtContent>
        </w:sdt>
        <w:sdt>
          <w:sdtPr>
            <w:alias w:val="signatura"/>
            <w:tag w:val="part_0485b2f2e5dd4504b8b987d9f66d568d"/>
            <w:lock w:val="sdtLocked"/>
            <w:richText/>
          </w:sdtPr>
          <w:sdtContent>
            <w:p>
              <w:pPr>
                <w:rPr>
                  <w:szCs w:val="24"/>
                </w:rPr>
              </w:pPr>
              <w:r>
                <w:rPr>
                  <w:szCs w:val="24"/>
                </w:rPr>
                <w:t>Architektūros ir urbanistikos skyriaus</w:t>
              </w:r>
            </w:p>
            <w:p>
              <w:pPr>
                <w:rPr>
                  <w:szCs w:val="24"/>
                </w:rPr>
              </w:pPr>
              <w:r>
                <w:rPr>
                  <w:szCs w:val="24"/>
                </w:rPr>
                <w:t>vyriausiasis specialistas</w:t>
                <w:tab/>
                <w:tab/>
                <w:tab/>
                <w:tab/>
                <w:t xml:space="preserve">                                               Vytautas Urbonas</w:t>
              </w:r>
            </w:p>
            <w:p/>
            <w:p>
              <w:pPr>
                <w:rPr>
                  <w:szCs w:val="24"/>
                </w:rPr>
              </w:pPr>
            </w:p>
            <w:p>
              <w:pPr>
                <w:jc w:val="center"/>
                <w:rPr>
                  <w:szCs w:val="24"/>
                </w:rPr>
              </w:pPr>
              <w:r>
                <w:rPr>
                  <w:szCs w:val="24"/>
                </w:rPr>
                <w:t>_________________________</w:t>
              </w:r>
            </w:p>
          </w:sdtContent>
        </w:sdt>
      </w:sdtContent>
    </w:sdt>
    <w:sectPr>
      <w:headerReference w:type="default" r:id="rId7"/>
      <w:type w:val="continuous"/>
      <w:pgSz w:w="11906" w:h="16838" w:code="9"/>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left" w:pos="7088"/>
      </w:tabs>
      <w:rPr>
        <w:szCs w:val="24"/>
      </w:rPr>
    </w:pPr>
  </w:p>
  <w:p>
    <w:pPr>
      <w:tabs>
        <w:tab w:val="left" w:pos="7088"/>
      </w:tabs>
      <w:ind w:left="3894" w:firstLine="1298"/>
      <w:rPr>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28B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chartTrackingRefBased/>
  <w15:docId w15:val="{F0A35C43-06E6-48CC-8F4C-28569E236F6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89145635">
      <w:bodyDiv w:val="1"/>
      <w:marLeft w:val="0"/>
      <w:marRight w:val="0"/>
      <w:marTop w:val="0"/>
      <w:marBottom w:val="0"/>
      <w:divBdr>
        <w:top w:val="none" w:sz="0" w:space="0" w:color="auto"/>
        <w:left w:val="none" w:sz="0" w:space="0" w:color="auto"/>
        <w:bottom w:val="none" w:sz="0" w:space="0" w:color="auto"/>
        <w:right w:val="none" w:sz="0" w:space="0" w:color="auto"/>
      </w:divBdr>
    </w:div>
    <w:div w:id="502666855">
      <w:bodyDiv w:val="1"/>
      <w:marLeft w:val="0"/>
      <w:marRight w:val="0"/>
      <w:marTop w:val="0"/>
      <w:marBottom w:val="0"/>
      <w:divBdr>
        <w:top w:val="none" w:sz="0" w:space="0" w:color="auto"/>
        <w:left w:val="none" w:sz="0" w:space="0" w:color="auto"/>
        <w:bottom w:val="none" w:sz="0" w:space="0" w:color="auto"/>
        <w:right w:val="none" w:sz="0" w:space="0" w:color="auto"/>
      </w:divBdr>
    </w:div>
    <w:div w:id="673151411">
      <w:bodyDiv w:val="1"/>
      <w:marLeft w:val="0"/>
      <w:marRight w:val="0"/>
      <w:marTop w:val="0"/>
      <w:marBottom w:val="0"/>
      <w:divBdr>
        <w:top w:val="none" w:sz="0" w:space="0" w:color="auto"/>
        <w:left w:val="none" w:sz="0" w:space="0" w:color="auto"/>
        <w:bottom w:val="none" w:sz="0" w:space="0" w:color="auto"/>
        <w:right w:val="none" w:sz="0" w:space="0" w:color="auto"/>
      </w:divBdr>
    </w:div>
    <w:div w:id="683475908">
      <w:bodyDiv w:val="1"/>
      <w:marLeft w:val="0"/>
      <w:marRight w:val="0"/>
      <w:marTop w:val="0"/>
      <w:marBottom w:val="0"/>
      <w:divBdr>
        <w:top w:val="none" w:sz="0" w:space="0" w:color="auto"/>
        <w:left w:val="none" w:sz="0" w:space="0" w:color="auto"/>
        <w:bottom w:val="none" w:sz="0" w:space="0" w:color="auto"/>
        <w:right w:val="none" w:sz="0" w:space="0" w:color="auto"/>
      </w:divBdr>
    </w:div>
    <w:div w:id="873351943">
      <w:bodyDiv w:val="1"/>
      <w:marLeft w:val="0"/>
      <w:marRight w:val="0"/>
      <w:marTop w:val="0"/>
      <w:marBottom w:val="0"/>
      <w:divBdr>
        <w:top w:val="none" w:sz="0" w:space="0" w:color="auto"/>
        <w:left w:val="none" w:sz="0" w:space="0" w:color="auto"/>
        <w:bottom w:val="none" w:sz="0" w:space="0" w:color="auto"/>
        <w:right w:val="none" w:sz="0" w:space="0" w:color="auto"/>
      </w:divBdr>
    </w:div>
    <w:div w:id="913078911">
      <w:bodyDiv w:val="1"/>
      <w:marLeft w:val="0"/>
      <w:marRight w:val="0"/>
      <w:marTop w:val="0"/>
      <w:marBottom w:val="0"/>
      <w:divBdr>
        <w:top w:val="none" w:sz="0" w:space="0" w:color="auto"/>
        <w:left w:val="none" w:sz="0" w:space="0" w:color="auto"/>
        <w:bottom w:val="none" w:sz="0" w:space="0" w:color="auto"/>
        <w:right w:val="none" w:sz="0" w:space="0" w:color="auto"/>
      </w:divBdr>
    </w:div>
    <w:div w:id="1087850653">
      <w:bodyDiv w:val="1"/>
      <w:marLeft w:val="0"/>
      <w:marRight w:val="0"/>
      <w:marTop w:val="0"/>
      <w:marBottom w:val="0"/>
      <w:divBdr>
        <w:top w:val="none" w:sz="0" w:space="0" w:color="auto"/>
        <w:left w:val="none" w:sz="0" w:space="0" w:color="auto"/>
        <w:bottom w:val="none" w:sz="0" w:space="0" w:color="auto"/>
        <w:right w:val="none" w:sz="0" w:space="0" w:color="auto"/>
      </w:divBdr>
    </w:div>
    <w:div w:id="1489126204">
      <w:bodyDiv w:val="1"/>
      <w:marLeft w:val="0"/>
      <w:marRight w:val="0"/>
      <w:marTop w:val="0"/>
      <w:marBottom w:val="0"/>
      <w:divBdr>
        <w:top w:val="none" w:sz="0" w:space="0" w:color="auto"/>
        <w:left w:val="none" w:sz="0" w:space="0" w:color="auto"/>
        <w:bottom w:val="none" w:sz="0" w:space="0" w:color="auto"/>
        <w:right w:val="none" w:sz="0" w:space="0" w:color="auto"/>
      </w:divBdr>
    </w:div>
    <w:div w:id="1511095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301a6455124e4ea5bb8b3472691a97e1" PartId="3f78b56e4aeb41429fc17c230a0cc866">
    <Part Type="punktas" Nr="1" Abbr="1 p." DocPartId="29f846397bed41f09bb732c7b8ccdcbc" PartId="a41ade7a137848c093e24f6a28e5c9ee"/>
    <Part Type="punktas" Nr="2" Abbr="2 p." DocPartId="5a75689514b3454189b2d952dd01f21e" PartId="70fde0722f6646d2b24572dc9100cc0c"/>
    <Part Type="punktas" Nr="3" Abbr="3 p." DocPartId="a27f3899c1734aca9bf30b75ef8ac017" PartId="a90d3b830f0c4997a8b4f1fcac487b01"/>
    <Part Type="punktas" Nr="4" Abbr="4 p." DocPartId="eb9249c52c1b462ba45ae989054f3b2e" PartId="0dafe8c1c5ee41979bc175af66fa03c0"/>
    <Part Type="skirsnis" Title="RADVILIŠKIO RAJONO SAVIVALDYBĖS TARYBOS SPRENDIMO PROJEKTO „DĖL DALIES VALSTYBINĖS ŽEMĖS SKLYPO (NUASMENINTA), ESANČIO MAIRONIO G. 20, RADVILIŠKIO M., NUOMOS“ AIŠKINAMASIS RAŠTAS" DocPartId="df0859be408740baa5b0e8039c4d14b3" PartId="600ac5c98f7349d0b9c7e9a257dec115">
      <Part Type="punktas" Nr="1" Abbr="1 p." DocPartId="9e5857053c554ef093e2a0f0fed33cf7" PartId="0ff9c64ecd9b4de5b5c0765f486890c7"/>
      <Part Type="punktas" Nr="2" Abbr="2 p." DocPartId="20765ba775594bbba44c3f8b76121e1e" PartId="949a7b8a692a4b7b85ba0450a430b5d2"/>
      <Part Type="punktas" Nr="3" Abbr="3 p." DocPartId="7859023d39264256a64c5ed086425e83" PartId="10fd493bcfc04666845a5fcad2284de7"/>
      <Part Type="punktas" Nr="4" Abbr="4 p." DocPartId="db5bb4663b1046f091193c81bea6f1f5" PartId="273eab7333da4759a9ee055e910b9ff7"/>
      <Part Type="punktas" Nr="5" Abbr="5 p." DocPartId="2ee5b328a05640ba83485f5d2d12e0dc" PartId="6920e8bd4e3b4d269732a2a83af95b01"/>
      <Part Type="punktas" Nr="6" Abbr="6 p." DocPartId="578f0e955ac6437f80cd7f4f59fb6d52" PartId="2612eee7324b4d0a8d5fb85192584ec5"/>
      <Part Type="punktas" Nr="7" Abbr="7 p." DocPartId="bf7813557f394ea5b586d9f255a5f454" PartId="8f8afdc957854006a75e86dcafa59e9d"/>
      <Part Type="punktas" Nr="8" Abbr="8 p." DocPartId="4e3068e8d97949f2b0efe09fb060cadf" PartId="3aaef5ed1a8a4450bc6ea33048a3e84d"/>
      <Part Type="punktas" Nr="9" Abbr="9 p." DocPartId="7fc2cdb4994e42a3b8950e183c074490" PartId="0c6ed3a6cddc4894a3578669c753bd1e"/>
      <Part Type="punktas" Nr="10" Abbr="10 p." DocPartId="39b022b4c2d8458387f37c264d2808f1" PartId="06da0cbd8f3f49d8acf05368270303a7"/>
      <Part Type="punktas" Nr="11" Abbr="11 p." DocPartId="9f4bbf67eb234b0484b3d8c07218e2d6" PartId="aa80e763e90444f6a1169643cdab7380"/>
      <Part Type="punktas" Nr="12" Abbr="12 p." DocPartId="1513cc3f989f4009bf2b767ca3bc3419" PartId="cac1b0a972c747a98e5a804ffd72149d"/>
    </Part>
    <Part Type="signatura" DocPartId="484be58a59dd4aae80fb94a244a911b1" PartId="0485b2f2e5dd4504b8b987d9f66d568d"/>
  </Part>
</Parts>
</file>

<file path=customXml/itemProps1.xml><?xml version="1.0" encoding="utf-8"?>
<ds:datastoreItem xmlns:ds="http://schemas.openxmlformats.org/officeDocument/2006/customXml" ds:itemID="{44655F7C-1062-4696-8E62-D3487B1D7653}">
  <ds:schemaRefs>
    <ds:schemaRef ds:uri="http://schemas.openxmlformats.org/officeDocument/2006/bibliography"/>
  </ds:schemaRefs>
</ds:datastoreItem>
</file>

<file path=customXml/itemProps2.xml><?xml version="1.0" encoding="utf-8"?>
<ds:datastoreItem xmlns:ds="http://schemas.openxmlformats.org/officeDocument/2006/customXml" ds:itemID="{2120A844-7D01-43F0-BDB7-0CB8D218F79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1066</Words>
  <Characters>7479</Characters>
  <Application>Microsoft Office Word</Application>
  <DocSecurity>4</DocSecurity>
  <Lines>138</Lines>
  <Paragraphs>59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8486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2025-09-11T13:41:00Z</dcterms:created>
  <dc:creator>Sigitas Labanauskas</dc:creator>
  <lastModifiedBy>adlibuser</lastModifiedBy>
  <lastPrinted>2025-09-10T06:58:00Z</lastPrinted>
  <dcterms:modified xsi:type="dcterms:W3CDTF">2025-09-11T13:41:00Z</dcterms:modified>
  <revision>2</revision>
</coreProperties>
</file>