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c535aa4c9d84bdbad8292daebecbe87"/>
        <w:lock w:val="sdtLocked"/>
        <w:richText/>
      </w:sdtPr>
      <w:sdtContent>
        <w:p>
          <w:pPr>
            <w:keepNext/>
            <w:ind w:firstLine="6804"/>
            <w:outlineLvl w:val="2"/>
            <w:rPr>
              <w:b/>
              <w:bCs/>
              <w:szCs w:val="24"/>
            </w:rPr>
          </w:pPr>
          <w:r>
            <w:rPr>
              <w:b/>
              <w:bCs/>
              <w:szCs w:val="24"/>
            </w:rPr>
            <w:t xml:space="preserve">Projektas </w:t>
          </w:r>
        </w:p>
        <w:p>
          <w:pPr>
            <w:ind w:firstLine="6989"/>
            <w:jc w:val="both"/>
            <w:rPr>
              <w:szCs w:val="24"/>
            </w:rPr>
          </w:pPr>
          <w:r>
            <w:rPr>
              <w:szCs w:val="24"/>
            </w:rPr>
            <w:t xml:space="preserve">Nr. TSP       </w:t>
          </w:r>
        </w:p>
        <w:p>
          <w:pPr>
            <w:rPr>
              <w:sz w:val="20"/>
            </w:rPr>
          </w:pPr>
        </w:p>
        <w:p>
          <w:pPr>
            <w:keepNext/>
            <w:ind w:firstLine="851"/>
            <w:jc w:val="center"/>
            <w:outlineLvl w:val="2"/>
            <w:rPr>
              <w:b/>
              <w:bCs/>
              <w:szCs w:val="24"/>
            </w:rPr>
          </w:pPr>
          <w:r>
            <w:rPr>
              <w:b/>
              <w:bCs/>
              <w:szCs w:val="24"/>
            </w:rPr>
            <w:t>RADVILIŠKIO RAJONO SAVIVALDYBĖS TARYBA</w:t>
          </w:r>
        </w:p>
        <w:p>
          <w:pPr>
            <w:rPr>
              <w:sz w:val="6"/>
              <w:szCs w:val="6"/>
            </w:rPr>
          </w:pPr>
        </w:p>
        <w:p>
          <w:pPr>
            <w:ind w:firstLine="851"/>
            <w:jc w:val="both"/>
            <w:rPr>
              <w:szCs w:val="24"/>
            </w:rPr>
          </w:pPr>
        </w:p>
        <w:p>
          <w:pPr>
            <w:keepNext/>
            <w:jc w:val="center"/>
            <w:rPr>
              <w:b/>
              <w:szCs w:val="24"/>
            </w:rPr>
          </w:pPr>
          <w:r>
            <w:rPr>
              <w:b/>
              <w:szCs w:val="24"/>
            </w:rPr>
            <w:t>SPRENDIMAS</w:t>
          </w:r>
        </w:p>
        <w:p>
          <w:pPr>
            <w:keepNext/>
            <w:jc w:val="center"/>
          </w:pPr>
          <w:r>
            <w:rPr>
              <w:b/>
              <w:szCs w:val="24"/>
            </w:rPr>
            <w:t xml:space="preserve">DĖL </w:t>
          </w:r>
          <w:r>
            <w:rPr>
              <w:b/>
              <w:szCs w:val="24"/>
              <w:lang w:eastAsia="lt-LT"/>
            </w:rPr>
            <w:t>VIEŠOSIOS ĮSTAIGOS „DINGĘS ŠTETLAS“-ŠEDUVOS ŽYDŲ ISTORIJOS MUZIEJUS PROJEKTO „DINGUSIO ŠTETLO MUZIEJUS“ TERITORIJOS PATIKSLINIMO</w:t>
          </w:r>
        </w:p>
        <w:p>
          <w:pPr>
            <w:rPr>
              <w:sz w:val="20"/>
            </w:rPr>
          </w:pPr>
        </w:p>
        <w:p>
          <w:pPr>
            <w:jc w:val="center"/>
            <w:outlineLvl w:val="4"/>
            <w:rPr>
              <w:bCs/>
              <w:iCs/>
              <w:szCs w:val="24"/>
              <w:lang w:eastAsia="lt-LT"/>
            </w:rPr>
          </w:pPr>
          <w:r>
            <w:rPr>
              <w:bCs/>
              <w:iCs/>
              <w:szCs w:val="24"/>
              <w:lang w:eastAsia="lt-LT"/>
            </w:rPr>
            <w:t xml:space="preserve">2025 m.                    d. Nr. T-</w:t>
          </w:r>
        </w:p>
        <w:p>
          <w:pPr>
            <w:rPr>
              <w:sz w:val="6"/>
              <w:szCs w:val="6"/>
            </w:rPr>
          </w:pPr>
        </w:p>
        <w:p>
          <w:pPr>
            <w:jc w:val="center"/>
            <w:rPr>
              <w:szCs w:val="24"/>
            </w:rPr>
          </w:pPr>
          <w:r>
            <w:rPr>
              <w:szCs w:val="24"/>
            </w:rPr>
            <w:t>Radviliškis</w:t>
          </w:r>
        </w:p>
        <w:p>
          <w:pPr>
            <w:ind w:firstLine="851"/>
            <w:jc w:val="center"/>
            <w:rPr>
              <w:szCs w:val="24"/>
            </w:rPr>
          </w:pPr>
        </w:p>
        <w:p>
          <w:pPr>
            <w:ind w:firstLine="851"/>
            <w:jc w:val="center"/>
            <w:rPr>
              <w:szCs w:val="24"/>
            </w:rPr>
          </w:pPr>
        </w:p>
        <w:sdt>
          <w:sdtPr>
            <w:alias w:val="preambule"/>
            <w:tag w:val="part_b0d98b0f40db49cda828b56fbc172c72"/>
            <w:lock w:val="sdtLocked"/>
            <w:richText/>
          </w:sdtPr>
          <w:sdtContent>
            <w:p>
              <w:pPr>
                <w:ind w:firstLine="851"/>
                <w:jc w:val="both"/>
                <w:rPr>
                  <w:spacing w:val="40"/>
                  <w:szCs w:val="24"/>
                  <w:lang w:eastAsia="lt-LT"/>
                </w:rPr>
              </w:pPr>
              <w:r>
                <w:rPr>
                  <w:szCs w:val="24"/>
                </w:rPr>
                <w:t xml:space="preserve">Vadovaudamasi Lietuvos Respublikos vietos savivaldos įstatymo 15 straipsnio 4 dalimi, Lietuvos Respublikos regioninės plėtros įstatymo 7 straipsniu, Projekto pripažinimo regioninės svarbos projektu, regioninės svarbos projekto įgyvendinimo priežiūros ir regiono plėtros tarybos sprendimo, kuriuo projektas pripažintas regioninės svarbos projektu, pakeitimo ar pripažinimo netekusiu galios priėmimo tvarkos aprašo, patvirtinto Lietuvos Respublikos vidaus reikalų ministro 2022 m. kovo 3 d. įsakymu Nr. 1V-156 „Dėl Projekto pripažinimo regioninės svarbos projektu, regioninės svarbos projekto įgyvendinimo priežiūros ir regiono plėtros tarybos sprendimo, kuriuo projektas pripažintas regioninės svarbos projektu, pakeitimo ar pripažinimo netekusiu galios priėmimo tvarkos aprašo patvirtinimo“, 40 punktu, Radviliškio rajono savivaldybės tarybos 2019 m. birželio 27 d. sprendimu Nr. T-52 „Dėl viešosios įstaigos „Šeduvos žydų memorialinis fondas“ įgyvendinamo projekto „Dingusio Štetlo muziejus“ pripažinimo regioninės reikšmės projektu“, Šiaulių regiono plėtros tarybos 2019 m. rugsėjo 4 d. sprendimu Nr. 51/5S-38 „Dėl viešosios įstaigos „Šeduvos žydų memorialinis fondas“ projekto „Dingusio Štetlo muziejus“ pripažinimo regioninės svarbos projektu“ ir atsižvelgdama į viešosios įstaigos „Dingęs Štetlas“-Šeduvos žydų istorijos muziejus 2025 m. gegužės 13 d. raštą „Dėl regioninės svarbos projekto teritorijos patikslinimo“, Radviliškio rajono savivaldybės taryba </w:t>
              </w:r>
              <w:r>
                <w:rPr>
                  <w:spacing w:val="50"/>
                  <w:szCs w:val="24"/>
                  <w:lang w:eastAsia="lt-LT"/>
                </w:rPr>
                <w:t>nusprendži</w:t>
              </w:r>
              <w:r>
                <w:rPr>
                  <w:szCs w:val="24"/>
                  <w:lang w:eastAsia="lt-LT"/>
                </w:rPr>
                <w:t>a</w:t>
              </w:r>
              <w:r>
                <w:rPr>
                  <w:spacing w:val="40"/>
                  <w:szCs w:val="24"/>
                  <w:lang w:eastAsia="lt-LT"/>
                </w:rPr>
                <w:t>:</w:t>
              </w:r>
            </w:p>
          </w:sdtContent>
        </w:sdt>
        <w:sdt>
          <w:sdtPr>
            <w:alias w:val="1 p."/>
            <w:tag w:val="part_cd5d3dc4b16c45cea46487390221d024"/>
            <w:lock w:val="sdtLocked"/>
            <w:richText/>
          </w:sdtPr>
          <w:sdtContent>
            <w:p>
              <w:pPr>
                <w:ind w:firstLine="851"/>
                <w:jc w:val="both"/>
                <w:rPr>
                  <w:szCs w:val="24"/>
                </w:rPr>
              </w:pPr>
              <w:sdt>
                <w:sdtPr>
                  <w:alias w:val="Numeris"/>
                  <w:tag w:val="nr_cd5d3dc4b16c45cea46487390221d024"/>
                  <w:lock w:val="sdtLocked"/>
                  <w:richText/>
                </w:sdtPr>
                <w:sdtContent>
                  <w:r>
                    <w:rPr>
                      <w:szCs w:val="24"/>
                    </w:rPr>
                    <w:t>1</w:t>
                  </w:r>
                </w:sdtContent>
              </w:sdt>
              <w:r>
                <w:rPr>
                  <w:szCs w:val="24"/>
                </w:rPr>
                <w:t>.</w:t>
                <w:tab/>
                <w:t>Pritarti viešosios įstaigos „Dingęs Štetlas“-Šeduvos žydų istorijos muziejus regioninės svarbos projekto „Dingusio Štetlo muziejus“ teritorijos patikslinimui (pagal pridedamą teritorijos schemą).</w:t>
              </w:r>
            </w:p>
          </w:sdtContent>
        </w:sdt>
        <w:sdt>
          <w:sdtPr>
            <w:alias w:val="2 p."/>
            <w:tag w:val="part_40f2ee3d09034a37b550322e33fa6de7"/>
            <w:lock w:val="sdtLocked"/>
            <w:richText/>
          </w:sdtPr>
          <w:sdtContent>
            <w:p>
              <w:pPr>
                <w:ind w:firstLine="851"/>
                <w:jc w:val="both"/>
                <w:rPr>
                  <w:szCs w:val="24"/>
                </w:rPr>
              </w:pPr>
              <w:sdt>
                <w:sdtPr>
                  <w:alias w:val="Numeris"/>
                  <w:tag w:val="nr_40f2ee3d09034a37b550322e33fa6de7"/>
                  <w:lock w:val="sdtLocked"/>
                  <w:richText/>
                </w:sdtPr>
                <w:sdtContent>
                  <w:r>
                    <w:rPr>
                      <w:szCs w:val="24"/>
                    </w:rPr>
                    <w:t>2</w:t>
                  </w:r>
                </w:sdtContent>
              </w:sdt>
              <w:r>
                <w:rPr>
                  <w:szCs w:val="24"/>
                </w:rPr>
                <w:t>.</w:t>
                <w:tab/>
                <w:t>Informuoti Šiaulių regiono plėtros tarybą apie sprendimą dėl viešosios įstaigos „Dingęs Štetlas“-Šeduvos žydų istorijos muziejus regioninės svarbos projekto „Dingusio Štetlo muziejus“ teritorijos patikslinimo.</w:t>
              </w:r>
            </w:p>
          </w:sdtContent>
        </w:sdt>
        <w:sdt>
          <w:sdtPr>
            <w:alias w:val="3 p."/>
            <w:tag w:val="part_98960fc2c6474374ad7f28647e18d95c"/>
            <w:lock w:val="sdtLocked"/>
            <w:richText/>
          </w:sdtPr>
          <w:sdtContent>
            <w:p>
              <w:pPr>
                <w:ind w:firstLine="851"/>
                <w:jc w:val="both"/>
                <w:rPr>
                  <w:szCs w:val="24"/>
                </w:rPr>
              </w:pPr>
              <w:sdt>
                <w:sdtPr>
                  <w:alias w:val="Numeris"/>
                  <w:tag w:val="nr_98960fc2c6474374ad7f28647e18d95c"/>
                  <w:lock w:val="sdtLocked"/>
                  <w:richText/>
                </w:sdtPr>
                <w:sdtContent>
                  <w:r>
                    <w:rPr>
                      <w:szCs w:val="24"/>
                    </w:rPr>
                    <w:t>3</w:t>
                  </w:r>
                </w:sdtContent>
              </w:sdt>
              <w:r>
                <w:rPr>
                  <w:szCs w:val="24"/>
                </w:rPr>
                <w:t>.</w:t>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ind w:firstLine="851"/>
                <w:jc w:val="both"/>
                <w:rPr>
                  <w:szCs w:val="24"/>
                </w:rPr>
              </w:pPr>
            </w:p>
            <w:p>
              <w:pPr>
                <w:ind w:firstLine="851"/>
                <w:jc w:val="both"/>
                <w:rPr>
                  <w:szCs w:val="24"/>
                </w:rPr>
              </w:pPr>
            </w:p>
            <w:p>
              <w:pPr>
                <w:ind w:firstLine="851"/>
                <w:jc w:val="both"/>
                <w:rPr>
                  <w:szCs w:val="24"/>
                </w:rPr>
              </w:pPr>
            </w:p>
            <w:p>
              <w:pPr>
                <w:jc w:val="both"/>
                <w:rPr>
                  <w:szCs w:val="24"/>
                </w:rPr>
              </w:pPr>
              <w:r>
                <w:rPr>
                  <w:szCs w:val="24"/>
                </w:rPr>
                <w:t xml:space="preserve">Savivaldybės meras                                                                                                                    </w:t>
              </w:r>
            </w:p>
            <w:p>
              <w:pPr>
                <w:ind w:firstLine="851"/>
                <w:jc w:val="both"/>
                <w:rPr>
                  <w:szCs w:val="24"/>
                </w:rPr>
              </w:pPr>
            </w:p>
            <w:p>
              <w:pPr>
                <w:ind w:firstLine="851"/>
                <w:jc w:val="both"/>
                <w:rPr>
                  <w:szCs w:val="24"/>
                </w:rPr>
              </w:pPr>
            </w:p>
            <w:p>
              <w:pPr>
                <w:ind w:firstLine="851"/>
                <w:jc w:val="both"/>
                <w:rPr>
                  <w:szCs w:val="24"/>
                </w:rPr>
              </w:pPr>
            </w:p>
            <w:p>
              <w:pPr>
                <w:ind w:firstLine="851"/>
                <w:jc w:val="both"/>
                <w:rPr>
                  <w:szCs w:val="24"/>
                </w:rPr>
              </w:pPr>
            </w:p>
            <w:p>
              <w:pPr>
                <w:ind w:firstLine="851"/>
                <w:jc w:val="both"/>
                <w:rPr>
                  <w:szCs w:val="24"/>
                </w:rPr>
              </w:pPr>
            </w:p>
            <w:p>
              <w:pPr>
                <w:ind w:firstLine="851"/>
                <w:jc w:val="both"/>
                <w:rPr>
                  <w:szCs w:val="24"/>
                </w:rPr>
              </w:pPr>
            </w:p>
            <w:p>
              <w:pPr>
                <w:jc w:val="both"/>
                <w:rPr>
                  <w:szCs w:val="24"/>
                </w:rPr>
              </w:pPr>
            </w:p>
          </w:sdtContent>
        </w:sdt>
        <w:sdt>
          <w:sdtPr>
            <w:alias w:val="skirsnis"/>
            <w:tag w:val="part_13413155120d4dcf97759f8c096c3a24"/>
            <w:lock w:val="sdtLocked"/>
            <w:richText/>
          </w:sdtPr>
          <w:sdtContent>
            <w:sdt>
              <w:sdtPr>
                <w:alias w:val="Pavadinimas"/>
                <w:tag w:val="title_13413155120d4dcf97759f8c096c3a24"/>
                <w:lock w:val="sdtLocked"/>
                <w:richText/>
              </w:sdtPr>
              <w:sdtContent>
                <w:p>
                  <w:pPr>
                    <w:keepNext/>
                    <w:spacing w:line="276" w:lineRule="auto"/>
                    <w:jc w:val="center"/>
                    <w:outlineLvl w:val="2"/>
                    <w:rPr>
                      <w:b/>
                      <w:bCs/>
                      <w:szCs w:val="24"/>
                    </w:rPr>
                  </w:pPr>
                  <w:r>
                    <w:rPr>
                      <w:b/>
                      <w:bCs/>
                      <w:szCs w:val="24"/>
                    </w:rPr>
                    <w:t>RADVILIŠKIO RAJONO SAVIVALDYBĖS TARYBOS SPRENDIMO PROJEKTO</w:t>
                  </w:r>
                </w:p>
                <w:p>
                  <w:pPr>
                    <w:keepNext/>
                    <w:spacing w:line="276" w:lineRule="auto"/>
                    <w:jc w:val="center"/>
                  </w:pPr>
                  <w:r>
                    <w:rPr>
                      <w:b/>
                      <w:szCs w:val="24"/>
                    </w:rPr>
                    <w:t xml:space="preserve">„DĖL </w:t>
                  </w:r>
                  <w:r>
                    <w:rPr>
                      <w:b/>
                      <w:szCs w:val="24"/>
                      <w:lang w:eastAsia="lt-LT"/>
                    </w:rPr>
                    <w:t>VIEŠOSIOS ĮSTAIGOS „DINGĘS ŠTETLAS“-ŠEDUVOS ŽYDŲ ISTORIJOS MUZIEJUS PROJEKTO „DINGUSIO ŠTETLO MUZIEJUS“ TERITORIJOS PATIKSLINIMO“</w:t>
                  </w:r>
                </w:p>
                <w:p>
                  <w:pPr>
                    <w:spacing w:line="276" w:lineRule="auto"/>
                    <w:jc w:val="center"/>
                    <w:rPr>
                      <w:b/>
                      <w:bCs/>
                      <w:szCs w:val="24"/>
                    </w:rPr>
                  </w:pPr>
                  <w:r>
                    <w:rPr>
                      <w:b/>
                      <w:bCs/>
                      <w:szCs w:val="24"/>
                    </w:rPr>
                    <w:t>AIŠKINAMASIS RAŠTAS</w:t>
                  </w:r>
                </w:p>
              </w:sdtContent>
            </w:sdt>
            <w:p>
              <w:pPr>
                <w:spacing w:line="276" w:lineRule="auto"/>
                <w:ind w:firstLine="851"/>
                <w:jc w:val="center"/>
                <w:rPr>
                  <w:szCs w:val="24"/>
                </w:rPr>
              </w:pPr>
            </w:p>
            <w:p>
              <w:pPr>
                <w:spacing w:line="276" w:lineRule="auto"/>
                <w:jc w:val="center"/>
                <w:rPr>
                  <w:szCs w:val="24"/>
                </w:rPr>
              </w:pPr>
              <w:r>
                <w:rPr>
                  <w:szCs w:val="24"/>
                </w:rPr>
                <w:t>2025 m. gegužės 14 d.</w:t>
              </w:r>
            </w:p>
            <w:p>
              <w:pPr>
                <w:spacing w:line="276" w:lineRule="auto"/>
                <w:jc w:val="center"/>
                <w:rPr>
                  <w:szCs w:val="24"/>
                </w:rPr>
              </w:pPr>
              <w:r>
                <w:rPr>
                  <w:szCs w:val="24"/>
                </w:rPr>
                <w:t>Radviliškis</w:t>
              </w:r>
            </w:p>
            <w:p>
              <w:pPr>
                <w:spacing w:line="276" w:lineRule="auto"/>
                <w:jc w:val="both"/>
                <w:rPr>
                  <w:b/>
                  <w:szCs w:val="24"/>
                </w:rPr>
              </w:pPr>
            </w:p>
            <w:sdt>
              <w:sdtPr>
                <w:alias w:val="1 p."/>
                <w:tag w:val="part_5f6568289a5b4859ac31b3cec0f4ad9f"/>
                <w:lock w:val="sdtLocked"/>
                <w:richText/>
              </w:sdtPr>
              <w:sdtContent>
                <w:p>
                  <w:pPr>
                    <w:spacing w:line="276" w:lineRule="auto"/>
                    <w:ind w:firstLine="851"/>
                    <w:jc w:val="both"/>
                    <w:rPr>
                      <w:b/>
                      <w:szCs w:val="24"/>
                    </w:rPr>
                  </w:pPr>
                  <w:sdt>
                    <w:sdtPr>
                      <w:alias w:val="Numeris"/>
                      <w:tag w:val="nr_5f6568289a5b4859ac31b3cec0f4ad9f"/>
                      <w:lock w:val="sdtLocked"/>
                      <w:richText/>
                    </w:sdtPr>
                    <w:sdtContent>
                      <w:r>
                        <w:rPr>
                          <w:b/>
                          <w:szCs w:val="24"/>
                        </w:rPr>
                        <w:t>1</w:t>
                      </w:r>
                    </w:sdtContent>
                  </w:sdt>
                  <w:r>
                    <w:rPr>
                      <w:b/>
                      <w:szCs w:val="24"/>
                    </w:rPr>
                    <w:t>.</w:t>
                    <w:tab/>
                  </w:r>
                  <w:r>
                    <w:rPr>
                      <w:b/>
                      <w:szCs w:val="24"/>
                      <w:lang w:bidi="he-IL"/>
                    </w:rPr>
                    <w:t>Projekto rengimą paskatinusios priežastys, parengto projekto tikslai, sprendimo projekto tikslai ir uždaviniai</w:t>
                  </w:r>
                  <w:r>
                    <w:rPr>
                      <w:b/>
                      <w:szCs w:val="24"/>
                    </w:rPr>
                    <w:t>.</w:t>
                  </w:r>
                </w:p>
                <w:p>
                  <w:pPr>
                    <w:spacing w:line="276" w:lineRule="auto"/>
                    <w:ind w:firstLine="851"/>
                    <w:jc w:val="both"/>
                    <w:rPr>
                      <w:bCs/>
                      <w:szCs w:val="24"/>
                    </w:rPr>
                  </w:pPr>
                  <w:r>
                    <w:rPr>
                      <w:bCs/>
                      <w:szCs w:val="24"/>
                    </w:rPr>
                    <w:t>Viešosios įstaigos</w:t>
                  </w:r>
                  <w:r>
                    <w:rPr>
                      <w:szCs w:val="24"/>
                    </w:rPr>
                    <w:t xml:space="preserve"> „Dingęs Štetlas“-Šeduvos žydų istorijos muziejus 2025 m. gegužės 13 d. raštas „Dėl regioninės svarbos projekto teritorijos patikslinimo“</w:t>
                  </w:r>
                  <w:r>
                    <w:rPr>
                      <w:bCs/>
                      <w:szCs w:val="24"/>
                    </w:rPr>
                    <w:t>.</w:t>
                  </w:r>
                </w:p>
                <w:p>
                  <w:pPr>
                    <w:spacing w:line="276" w:lineRule="auto"/>
                    <w:ind w:firstLine="851"/>
                    <w:jc w:val="both"/>
                    <w:rPr>
                      <w:bCs/>
                      <w:szCs w:val="24"/>
                    </w:rPr>
                  </w:pPr>
                  <w:r>
                    <w:rPr>
                      <w:bCs/>
                      <w:szCs w:val="24"/>
                    </w:rPr>
                    <w:t>Įgyvendinat regioninės svarbos projektą „Dingusio Štetlo muziejus“ siekiama, kad sutvarkytos Šeduvos žydų senosios kapinės ir statomas „Dingusio Štetlo“ muziejus (toliau – Muziejus) kartu sudarytu vieningą Lietuvos žydų kultūros ir holokausto atminimo kompleksą, kuris taptu traukos centru. Siekiant užtikrinti viso komplekso vientisumą bei dar labiau padidinti jo patrauklumą, siekiama apželdinti šalia Muziejaus ir Šeduvos žydų senųjų kapinių esančią teritoriją bei įrengti joje naują poilsio ir rekreacijos erdvę, skirtą tiek Muziejaus ir Šeduvos žydų senųjų kapinių lankytojams, tiek kitiems Šeduvos miesto svečiams ir jo gyventojams. Greta Muziejaus ir Šeduvos žydų senųjų kapinių įrengtos žaliosios erdvės sukurs buferinę zoną, saugančią, kad gretimų teritorijų plėtra nedarytų neigiamos įtakos bei neužgožtu naujai pastatytų Muziejaus pastatų ir sutvarkytų Šeduvos žydų senųjų kapinių. Naujai įrengtos žaliosios erdvės taps regioninės svarbos projekto neatsiejama dalimi. Dėl nurodytų priežasčių atsirado poreikis tikslinti regioninės svarbos projekto „Dingusio Štetlo muziejus“ teritoriją.</w:t>
                  </w:r>
                </w:p>
              </w:sdtContent>
            </w:sdt>
            <w:sdt>
              <w:sdtPr>
                <w:alias w:val="2 p."/>
                <w:tag w:val="part_25b7e4c7426348d0bea61b64e62ba056"/>
                <w:lock w:val="sdtLocked"/>
                <w:richText/>
              </w:sdtPr>
              <w:sdtContent>
                <w:p>
                  <w:pPr>
                    <w:spacing w:line="276" w:lineRule="auto"/>
                    <w:ind w:left="1211" w:hanging="360"/>
                    <w:jc w:val="both"/>
                    <w:rPr>
                      <w:b/>
                      <w:szCs w:val="24"/>
                    </w:rPr>
                  </w:pPr>
                  <w:sdt>
                    <w:sdtPr>
                      <w:alias w:val="Numeris"/>
                      <w:tag w:val="nr_25b7e4c7426348d0bea61b64e62ba056"/>
                      <w:lock w:val="sdtLocked"/>
                      <w:richText/>
                    </w:sdtPr>
                    <w:sdtContent>
                      <w:r>
                        <w:rPr>
                          <w:b/>
                          <w:szCs w:val="24"/>
                        </w:rPr>
                        <w:t>2</w:t>
                      </w:r>
                    </w:sdtContent>
                  </w:sdt>
                  <w:r>
                    <w:rPr>
                      <w:b/>
                      <w:szCs w:val="24"/>
                    </w:rPr>
                    <w:t>.</w:t>
                    <w:tab/>
                    <w:t>Projekto iniciatoriai (institucija, asmenys ar piliečių atstovai) ir rengėjai.</w:t>
                  </w:r>
                </w:p>
                <w:p>
                  <w:pPr>
                    <w:spacing w:line="276" w:lineRule="auto"/>
                    <w:ind w:firstLine="851"/>
                    <w:jc w:val="both"/>
                    <w:rPr>
                      <w:b/>
                      <w:szCs w:val="24"/>
                    </w:rPr>
                  </w:pPr>
                  <w:r>
                    <w:rPr>
                      <w:bCs/>
                      <w:szCs w:val="24"/>
                    </w:rPr>
                    <w:t>Viešoji įstaiga</w:t>
                  </w:r>
                  <w:r>
                    <w:rPr>
                      <w:szCs w:val="24"/>
                    </w:rPr>
                    <w:t xml:space="preserve"> „Dingęs Štetlas“-Šeduvos žydų istorijos muziejus.</w:t>
                  </w:r>
                </w:p>
              </w:sdtContent>
            </w:sdt>
            <w:sdt>
              <w:sdtPr>
                <w:alias w:val="3 p."/>
                <w:tag w:val="part_0781f49c15934baf881d17fcaf60308e"/>
                <w:lock w:val="sdtLocked"/>
                <w:richText/>
              </w:sdtPr>
              <w:sdtContent>
                <w:p>
                  <w:pPr>
                    <w:spacing w:line="276" w:lineRule="auto"/>
                    <w:ind w:left="1211" w:hanging="360"/>
                    <w:jc w:val="both"/>
                    <w:rPr>
                      <w:b/>
                      <w:szCs w:val="24"/>
                    </w:rPr>
                  </w:pPr>
                  <w:sdt>
                    <w:sdtPr>
                      <w:alias w:val="Numeris"/>
                      <w:tag w:val="nr_0781f49c15934baf881d17fcaf60308e"/>
                      <w:lock w:val="sdtLocked"/>
                      <w:richText/>
                    </w:sdtPr>
                    <w:sdtContent>
                      <w:r>
                        <w:rPr>
                          <w:b/>
                          <w:szCs w:val="24"/>
                        </w:rPr>
                        <w:t>3</w:t>
                      </w:r>
                    </w:sdtContent>
                  </w:sdt>
                  <w:r>
                    <w:rPr>
                      <w:b/>
                      <w:szCs w:val="24"/>
                    </w:rPr>
                    <w:t>.</w:t>
                    <w:tab/>
                    <w:t>Kaip šiuo metu yra reguliuojami sprendimo projekte aptarti teisiniai santykiai.</w:t>
                  </w:r>
                </w:p>
                <w:p>
                  <w:pPr>
                    <w:spacing w:line="276" w:lineRule="auto"/>
                    <w:ind w:firstLine="851"/>
                    <w:jc w:val="both"/>
                    <w:rPr>
                      <w:szCs w:val="24"/>
                    </w:rPr>
                  </w:pPr>
                  <w:r>
                    <w:rPr>
                      <w:szCs w:val="24"/>
                    </w:rPr>
                    <w:t>Regioninės plėtros įstatymas.</w:t>
                  </w:r>
                </w:p>
              </w:sdtContent>
            </w:sdt>
            <w:sdt>
              <w:sdtPr>
                <w:alias w:val="4 p."/>
                <w:tag w:val="part_56c70deda38f413e9dce1169b011880d"/>
                <w:lock w:val="sdtLocked"/>
                <w:richText/>
              </w:sdtPr>
              <w:sdtContent>
                <w:p>
                  <w:pPr>
                    <w:spacing w:line="276" w:lineRule="auto"/>
                    <w:ind w:firstLine="851"/>
                    <w:jc w:val="both"/>
                    <w:rPr>
                      <w:b/>
                      <w:szCs w:val="24"/>
                    </w:rPr>
                  </w:pPr>
                  <w:sdt>
                    <w:sdtPr>
                      <w:alias w:val="Numeris"/>
                      <w:tag w:val="nr_56c70deda38f413e9dce1169b011880d"/>
                      <w:lock w:val="sdtLocked"/>
                      <w:richText/>
                    </w:sdtPr>
                    <w:sdtContent>
                      <w:r>
                        <w:rPr>
                          <w:b/>
                          <w:szCs w:val="24"/>
                        </w:rPr>
                        <w:t>4</w:t>
                      </w:r>
                    </w:sdtContent>
                  </w:sdt>
                  <w:r>
                    <w:rPr>
                      <w:b/>
                      <w:szCs w:val="24"/>
                    </w:rPr>
                    <w:t xml:space="preserve">. </w:t>
                  </w:r>
                  <w:r>
                    <w:rPr>
                      <w:b/>
                      <w:bCs/>
                      <w:szCs w:val="24"/>
                    </w:rPr>
                    <w:t>Kokios siūlomos naujos teisinio reguliavimo nuostatos, kokių teigiamų rezultatų laukiama</w:t>
                  </w:r>
                  <w:r>
                    <w:rPr>
                      <w:b/>
                      <w:szCs w:val="24"/>
                    </w:rPr>
                    <w:t>).</w:t>
                  </w:r>
                </w:p>
                <w:p>
                  <w:pPr>
                    <w:spacing w:line="276" w:lineRule="auto"/>
                    <w:ind w:firstLine="851"/>
                    <w:jc w:val="both"/>
                    <w:rPr>
                      <w:szCs w:val="24"/>
                    </w:rPr>
                  </w:pPr>
                  <w:r>
                    <w:rPr>
                      <w:szCs w:val="24"/>
                    </w:rPr>
                    <w:t>Rezultatai nenumatomi.</w:t>
                  </w:r>
                </w:p>
              </w:sdtContent>
            </w:sdt>
            <w:sdt>
              <w:sdtPr>
                <w:alias w:val="5 p."/>
                <w:tag w:val="part_0ffa1a86bd3243c99cae10a55e192a39"/>
                <w:lock w:val="sdtLocked"/>
                <w:richText/>
              </w:sdtPr>
              <w:sdtContent>
                <w:p>
                  <w:pPr>
                    <w:spacing w:line="276" w:lineRule="auto"/>
                    <w:ind w:firstLine="851"/>
                    <w:jc w:val="both"/>
                    <w:rPr>
                      <w:b/>
                      <w:bCs/>
                      <w:szCs w:val="24"/>
                    </w:rPr>
                  </w:pPr>
                  <w:sdt>
                    <w:sdtPr>
                      <w:alias w:val="Numeris"/>
                      <w:tag w:val="nr_0ffa1a86bd3243c99cae10a55e192a39"/>
                      <w:lock w:val="sdtLocked"/>
                      <w:richText/>
                    </w:sdtPr>
                    <w:sdtContent>
                      <w:r>
                        <w:rPr>
                          <w:b/>
                          <w:bCs/>
                          <w:szCs w:val="24"/>
                        </w:rPr>
                        <w:t>5</w:t>
                      </w:r>
                    </w:sdtContent>
                  </w:sdt>
                  <w:r>
                    <w:rPr>
                      <w:b/>
                      <w:bCs/>
                      <w:szCs w:val="24"/>
                    </w:rPr>
                    <w:t>.</w:t>
                    <w:tab/>
                    <w:t>Galimos neigiamos priimto sprendimo projekto pasekmės ir kokių priemonių reikėtų imtis, kad tokių pasekmių būtų išvengta.</w:t>
                  </w:r>
                </w:p>
                <w:p>
                  <w:pPr>
                    <w:spacing w:line="276" w:lineRule="auto"/>
                    <w:ind w:left="851"/>
                    <w:jc w:val="both"/>
                    <w:rPr>
                      <w:szCs w:val="24"/>
                    </w:rPr>
                  </w:pPr>
                  <w:r>
                    <w:rPr>
                      <w:szCs w:val="24"/>
                    </w:rPr>
                    <w:t>Neigiamų pasekmių nenumatoma.</w:t>
                  </w:r>
                </w:p>
              </w:sdtContent>
            </w:sdt>
            <w:sdt>
              <w:sdtPr>
                <w:alias w:val="6 p."/>
                <w:tag w:val="part_a1d04f9f481f457e81e60f75bb3d7d84"/>
                <w:lock w:val="sdtLocked"/>
                <w:richText/>
              </w:sdtPr>
              <w:sdtContent>
                <w:p>
                  <w:pPr>
                    <w:spacing w:line="276" w:lineRule="auto"/>
                    <w:ind w:firstLine="851"/>
                    <w:jc w:val="both"/>
                    <w:rPr>
                      <w:b/>
                      <w:szCs w:val="24"/>
                    </w:rPr>
                  </w:pPr>
                  <w:sdt>
                    <w:sdtPr>
                      <w:alias w:val="Numeris"/>
                      <w:tag w:val="nr_a1d04f9f481f457e81e60f75bb3d7d84"/>
                      <w:lock w:val="sdtLocked"/>
                      <w:richText/>
                    </w:sdtPr>
                    <w:sdtContent>
                      <w:r>
                        <w:rPr>
                          <w:b/>
                          <w:szCs w:val="24"/>
                        </w:rPr>
                        <w:t>6</w:t>
                      </w:r>
                    </w:sdtContent>
                  </w:sdt>
                  <w:r>
                    <w:rPr>
                      <w:b/>
                      <w:szCs w:val="24"/>
                    </w:rPr>
                    <w:t xml:space="preserve">. </w:t>
                  </w:r>
                  <w:r>
                    <w:rPr>
                      <w:b/>
                      <w:bCs/>
                      <w:szCs w:val="24"/>
                    </w:rPr>
                    <w:t>Kokius teisės aktus būtina priimti, kokius galiojančius teisės aktus būtina pakeisti ar pripažinti netekusiais galios priėmus sprendimo projektą</w:t>
                  </w:r>
                  <w:r>
                    <w:rPr>
                      <w:b/>
                      <w:szCs w:val="24"/>
                    </w:rPr>
                    <w:t>.</w:t>
                  </w:r>
                </w:p>
                <w:p>
                  <w:pPr>
                    <w:spacing w:line="276" w:lineRule="auto"/>
                    <w:ind w:firstLine="851"/>
                    <w:jc w:val="both"/>
                    <w:rPr>
                      <w:szCs w:val="24"/>
                    </w:rPr>
                  </w:pPr>
                  <w:r>
                    <w:rPr>
                      <w:szCs w:val="24"/>
                    </w:rPr>
                    <w:t>Teisės aktų keisti nereikia.</w:t>
                  </w:r>
                </w:p>
              </w:sdtContent>
            </w:sdt>
            <w:sdt>
              <w:sdtPr>
                <w:alias w:val="7 p."/>
                <w:tag w:val="part_11bf97993a354bee838d440c5f76a209"/>
                <w:lock w:val="sdtLocked"/>
                <w:richText/>
              </w:sdtPr>
              <w:sdtContent>
                <w:p>
                  <w:pPr>
                    <w:spacing w:line="276" w:lineRule="auto"/>
                    <w:ind w:firstLine="851"/>
                    <w:jc w:val="both"/>
                    <w:rPr>
                      <w:b/>
                      <w:szCs w:val="24"/>
                    </w:rPr>
                  </w:pPr>
                  <w:sdt>
                    <w:sdtPr>
                      <w:alias w:val="Numeris"/>
                      <w:tag w:val="nr_11bf97993a354bee838d440c5f76a209"/>
                      <w:lock w:val="sdtLocked"/>
                      <w:richText/>
                    </w:sdtPr>
                    <w:sdtContent>
                      <w:r>
                        <w:rPr>
                          <w:b/>
                          <w:szCs w:val="24"/>
                        </w:rPr>
                        <w:t>7</w:t>
                      </w:r>
                    </w:sdtContent>
                  </w:sdt>
                  <w:r>
                    <w:rPr>
                      <w:b/>
                      <w:szCs w:val="24"/>
                    </w:rPr>
                    <w:t>. Sprendimo projektui įgyvendinti reikalingos lėšos, finansavimo šaltiniai.</w:t>
                  </w:r>
                </w:p>
                <w:p>
                  <w:pPr>
                    <w:spacing w:line="276" w:lineRule="auto"/>
                    <w:ind w:firstLine="851"/>
                    <w:jc w:val="both"/>
                    <w:rPr>
                      <w:szCs w:val="24"/>
                    </w:rPr>
                  </w:pPr>
                  <w:r>
                    <w:rPr>
                      <w:szCs w:val="24"/>
                    </w:rPr>
                    <w:t xml:space="preserve">Sprendimui įgyvendinti papildomų  savivaldybės biudžeto lėšų nereikės.</w:t>
                  </w:r>
                </w:p>
              </w:sdtContent>
            </w:sdt>
            <w:sdt>
              <w:sdtPr>
                <w:alias w:val="8 p."/>
                <w:tag w:val="part_c6ea802612d246c2af19d5406c95b357"/>
                <w:lock w:val="sdtLocked"/>
                <w:richText/>
              </w:sdtPr>
              <w:sdtContent>
                <w:p>
                  <w:pPr>
                    <w:spacing w:line="276" w:lineRule="auto"/>
                    <w:ind w:firstLine="851"/>
                    <w:jc w:val="both"/>
                    <w:rPr>
                      <w:b/>
                      <w:szCs w:val="24"/>
                    </w:rPr>
                  </w:pPr>
                  <w:sdt>
                    <w:sdtPr>
                      <w:alias w:val="Numeris"/>
                      <w:tag w:val="nr_c6ea802612d246c2af19d5406c95b357"/>
                      <w:lock w:val="sdtLocked"/>
                      <w:richText/>
                    </w:sdtPr>
                    <w:sdtContent>
                      <w:r>
                        <w:rPr>
                          <w:b/>
                          <w:szCs w:val="24"/>
                        </w:rPr>
                        <w:t>8</w:t>
                      </w:r>
                    </w:sdtContent>
                  </w:sdt>
                  <w:r>
                    <w:rPr>
                      <w:b/>
                      <w:szCs w:val="24"/>
                    </w:rPr>
                    <w:t xml:space="preserve">. Sprendimo projekto rengimo metu gauti specialistų vertinimai ir išvados. </w:t>
                  </w:r>
                </w:p>
                <w:p>
                  <w:pPr>
                    <w:spacing w:line="276" w:lineRule="auto"/>
                    <w:ind w:firstLine="851"/>
                    <w:jc w:val="both"/>
                    <w:rPr>
                      <w:b/>
                      <w:szCs w:val="24"/>
                    </w:rPr>
                  </w:pPr>
                  <w:r>
                    <w:rPr>
                      <w:bCs/>
                      <w:szCs w:val="24"/>
                    </w:rPr>
                    <w:t>Sprendimo projektas</w:t>
                  </w:r>
                  <w:r>
                    <w:rPr>
                      <w:b/>
                      <w:szCs w:val="24"/>
                    </w:rPr>
                    <w:t xml:space="preserve"> </w:t>
                  </w:r>
                  <w:r>
                    <w:rPr>
                      <w:bCs/>
                      <w:szCs w:val="24"/>
                    </w:rPr>
                    <w:t>suderintas su savivaldybės juristu, kalbininku, administracijos direktore, vicemerais ir meru</w:t>
                  </w:r>
                  <w:r>
                    <w:rPr>
                      <w:b/>
                      <w:szCs w:val="24"/>
                    </w:rPr>
                    <w:t>.</w:t>
                  </w:r>
                </w:p>
              </w:sdtContent>
            </w:sdt>
            <w:sdt>
              <w:sdtPr>
                <w:alias w:val="9 p."/>
                <w:tag w:val="part_486dcdae05e24b179373b0f5626c5a2d"/>
                <w:lock w:val="sdtLocked"/>
                <w:richText/>
              </w:sdtPr>
              <w:sdtContent>
                <w:p>
                  <w:pPr>
                    <w:spacing w:line="276" w:lineRule="auto"/>
                    <w:ind w:firstLine="851"/>
                    <w:jc w:val="both"/>
                    <w:rPr>
                      <w:b/>
                      <w:szCs w:val="24"/>
                    </w:rPr>
                  </w:pPr>
                  <w:sdt>
                    <w:sdtPr>
                      <w:alias w:val="Numeris"/>
                      <w:tag w:val="nr_486dcdae05e24b179373b0f5626c5a2d"/>
                      <w:lock w:val="sdtLocked"/>
                      <w:richText/>
                    </w:sdtPr>
                    <w:sdtContent>
                      <w:r>
                        <w:rPr>
                          <w:b/>
                          <w:szCs w:val="24"/>
                        </w:rPr>
                        <w:t>9</w:t>
                      </w:r>
                    </w:sdtContent>
                  </w:sdt>
                  <w:r>
                    <w:rPr>
                      <w:b/>
                      <w:szCs w:val="24"/>
                    </w:rPr>
                    <w:t>. Numatomo teisinio reguliavimo poveikio vertinimo rezultatai.</w:t>
                  </w:r>
                </w:p>
                <w:p>
                  <w:pPr>
                    <w:spacing w:line="276" w:lineRule="auto"/>
                    <w:ind w:firstLine="851"/>
                    <w:jc w:val="both"/>
                    <w:rPr>
                      <w:bCs/>
                      <w:szCs w:val="24"/>
                    </w:rPr>
                  </w:pPr>
                  <w:r>
                    <w:rPr>
                      <w:bCs/>
                      <w:szCs w:val="24"/>
                    </w:rPr>
                    <w:t>Rezultatai nenumatomi.</w:t>
                  </w:r>
                </w:p>
              </w:sdtContent>
            </w:sdt>
            <w:sdt>
              <w:sdtPr>
                <w:alias w:val="10 p."/>
                <w:tag w:val="part_f847865ff1a3432089a27445151ef256"/>
                <w:lock w:val="sdtLocked"/>
                <w:richText/>
              </w:sdtPr>
              <w:sdtContent>
                <w:p>
                  <w:pPr>
                    <w:spacing w:line="276" w:lineRule="auto"/>
                    <w:ind w:firstLine="851"/>
                    <w:jc w:val="both"/>
                    <w:rPr>
                      <w:b/>
                      <w:szCs w:val="24"/>
                    </w:rPr>
                  </w:pPr>
                  <w:sdt>
                    <w:sdtPr>
                      <w:alias w:val="Numeris"/>
                      <w:tag w:val="nr_f847865ff1a3432089a27445151ef256"/>
                      <w:lock w:val="sdtLocked"/>
                      <w:richText/>
                    </w:sdtPr>
                    <w:sdtContent>
                      <w:r>
                        <w:rPr>
                          <w:b/>
                          <w:szCs w:val="24"/>
                        </w:rPr>
                        <w:t>10</w:t>
                      </w:r>
                    </w:sdtContent>
                  </w:sdt>
                  <w:r>
                    <w:rPr>
                      <w:b/>
                      <w:szCs w:val="24"/>
                    </w:rPr>
                    <w:t xml:space="preserve">. </w:t>
                  </w:r>
                  <w:r>
                    <w:rPr>
                      <w:rFonts w:eastAsia="Calibri"/>
                      <w:b/>
                      <w:szCs w:val="24"/>
                      <w:lang w:eastAsia="ar-SA"/>
                    </w:rPr>
                    <w:t>Sprendimo projekto antikorupcinis vertinimas</w:t>
                  </w:r>
                  <w:r>
                    <w:rPr>
                      <w:b/>
                      <w:szCs w:val="24"/>
                    </w:rPr>
                    <w:t>.</w:t>
                  </w:r>
                </w:p>
                <w:p>
                  <w:pPr>
                    <w:spacing w:line="276" w:lineRule="auto"/>
                    <w:ind w:firstLine="851"/>
                    <w:jc w:val="both"/>
                    <w:rPr>
                      <w:szCs w:val="24"/>
                    </w:rPr>
                  </w:pPr>
                  <w:r>
                    <w:rPr>
                      <w:rFonts w:eastAsia="Calibri"/>
                      <w:szCs w:val="24"/>
                    </w:rPr>
                    <w:t>Teisės akto projektas antikorupciniam vertinimui neteikiamas</w:t>
                  </w:r>
                  <w:r>
                    <w:rPr>
                      <w:szCs w:val="24"/>
                    </w:rPr>
                    <w:t>.</w:t>
                  </w:r>
                </w:p>
              </w:sdtContent>
            </w:sdt>
            <w:sdt>
              <w:sdtPr>
                <w:alias w:val="11 p."/>
                <w:tag w:val="part_171b3d15ef1d427a82d8c68cabf529f7"/>
                <w:lock w:val="sdtLocked"/>
                <w:richText/>
              </w:sdtPr>
              <w:sdtContent>
                <w:p>
                  <w:pPr>
                    <w:spacing w:line="276" w:lineRule="auto"/>
                    <w:ind w:firstLine="851"/>
                    <w:jc w:val="both"/>
                    <w:rPr>
                      <w:b/>
                      <w:szCs w:val="24"/>
                    </w:rPr>
                  </w:pPr>
                  <w:sdt>
                    <w:sdtPr>
                      <w:alias w:val="Numeris"/>
                      <w:tag w:val="nr_171b3d15ef1d427a82d8c68cabf529f7"/>
                      <w:lock w:val="sdtLocked"/>
                      <w:richText/>
                    </w:sdtPr>
                    <w:sdtContent>
                      <w:r>
                        <w:rPr>
                          <w:b/>
                          <w:szCs w:val="24"/>
                        </w:rPr>
                        <w:t>11</w:t>
                      </w:r>
                    </w:sdtContent>
                  </w:sdt>
                  <w:r>
                    <w:rPr>
                      <w:b/>
                      <w:szCs w:val="24"/>
                    </w:rPr>
                    <w:t xml:space="preserve">. </w:t>
                  </w:r>
                  <w:r>
                    <w:rPr>
                      <w:rFonts w:eastAsia="Calibri"/>
                      <w:b/>
                      <w:bCs/>
                      <w:szCs w:val="24"/>
                    </w:rPr>
                    <w:t>Kiti, iniciatoriaus nuomone, reikalingi pagrindimai ir paaiškinimai</w:t>
                  </w:r>
                  <w:r>
                    <w:rPr>
                      <w:b/>
                      <w:szCs w:val="24"/>
                    </w:rPr>
                    <w:t xml:space="preserve">. </w:t>
                  </w:r>
                </w:p>
                <w:p>
                  <w:pPr>
                    <w:spacing w:line="276" w:lineRule="auto"/>
                    <w:ind w:firstLine="851"/>
                    <w:jc w:val="both"/>
                    <w:rPr>
                      <w:szCs w:val="24"/>
                    </w:rPr>
                  </w:pPr>
                  <w:r>
                    <w:rPr>
                      <w:rFonts w:eastAsia="Calibri"/>
                      <w:szCs w:val="24"/>
                    </w:rPr>
                    <w:t>Papildomų paaiškinimų nėra</w:t>
                  </w:r>
                  <w:r>
                    <w:rPr>
                      <w:szCs w:val="24"/>
                    </w:rPr>
                    <w:t>.</w:t>
                  </w:r>
                </w:p>
              </w:sdtContent>
            </w:sdt>
            <w:sdt>
              <w:sdtPr>
                <w:alias w:val="12 p."/>
                <w:tag w:val="part_ff44354f0a794c9ab338d94e4f0aae41"/>
                <w:lock w:val="sdtLocked"/>
                <w:richText/>
              </w:sdtPr>
              <w:sdtContent>
                <w:p>
                  <w:pPr>
                    <w:spacing w:line="276" w:lineRule="auto"/>
                    <w:ind w:firstLine="851"/>
                    <w:jc w:val="both"/>
                    <w:rPr>
                      <w:szCs w:val="24"/>
                    </w:rPr>
                  </w:pPr>
                  <w:sdt>
                    <w:sdtPr>
                      <w:alias w:val="Numeris"/>
                      <w:tag w:val="nr_ff44354f0a794c9ab338d94e4f0aae41"/>
                      <w:lock w:val="sdtLocked"/>
                      <w:richText/>
                    </w:sdtPr>
                    <w:sdtContent>
                      <w:r>
                        <w:rPr>
                          <w:b/>
                          <w:szCs w:val="24"/>
                        </w:rPr>
                        <w:t>12</w:t>
                      </w:r>
                    </w:sdtContent>
                  </w:sdt>
                  <w:r>
                    <w:rPr>
                      <w:b/>
                      <w:szCs w:val="24"/>
                    </w:rPr>
                    <w:t xml:space="preserve">. </w:t>
                  </w:r>
                  <w:r>
                    <w:rPr>
                      <w:rFonts w:eastAsia="Calibri"/>
                      <w:b/>
                      <w:bCs/>
                      <w:szCs w:val="24"/>
                    </w:rPr>
                    <w:t>Pridedami dokumentai</w:t>
                  </w:r>
                  <w:r>
                    <w:rPr>
                      <w:szCs w:val="24"/>
                    </w:rPr>
                    <w:t>.</w:t>
                  </w:r>
                </w:p>
                <w:p>
                  <w:pPr>
                    <w:spacing w:line="276" w:lineRule="auto"/>
                    <w:ind w:firstLine="851"/>
                    <w:jc w:val="both"/>
                    <w:rPr>
                      <w:szCs w:val="22"/>
                    </w:rPr>
                  </w:pPr>
                  <w:r>
                    <w:rPr>
                      <w:szCs w:val="22"/>
                    </w:rPr>
                    <w:t xml:space="preserve">Viešosios įstaigos „Dingęs Štetlas“-Šeduvos žydų istorijos muziejus raštas. </w:t>
                  </w:r>
                </w:p>
                <w:p>
                  <w:pPr>
                    <w:spacing w:line="276" w:lineRule="auto"/>
                    <w:ind w:firstLine="851"/>
                    <w:jc w:val="both"/>
                    <w:rPr>
                      <w:szCs w:val="22"/>
                    </w:rPr>
                  </w:pPr>
                  <w:r>
                    <w:rPr>
                      <w:szCs w:val="22"/>
                    </w:rPr>
                    <w:t>Projekto teritorijos schema.</w:t>
                  </w:r>
                </w:p>
                <w:p>
                  <w:pPr>
                    <w:spacing w:line="276" w:lineRule="auto"/>
                    <w:ind w:firstLine="851"/>
                    <w:jc w:val="both"/>
                    <w:rPr>
                      <w:szCs w:val="22"/>
                    </w:rPr>
                  </w:pPr>
                </w:p>
                <w:p>
                  <w:pPr>
                    <w:spacing w:line="276" w:lineRule="auto"/>
                    <w:ind w:firstLine="851"/>
                    <w:jc w:val="both"/>
                    <w:rPr>
                      <w:szCs w:val="22"/>
                    </w:rPr>
                  </w:pPr>
                </w:p>
                <w:p>
                  <w:pPr>
                    <w:spacing w:line="276" w:lineRule="auto"/>
                    <w:ind w:firstLine="851"/>
                    <w:jc w:val="both"/>
                    <w:rPr>
                      <w:szCs w:val="22"/>
                    </w:rPr>
                  </w:pPr>
                </w:p>
              </w:sdtContent>
            </w:sdt>
          </w:sdtContent>
        </w:sdt>
        <w:sdt>
          <w:sdtPr>
            <w:alias w:val="signatura"/>
            <w:tag w:val="part_3abaf99aa941488c9af88e28628f0ec2"/>
            <w:lock w:val="sdtLocked"/>
            <w:richText/>
          </w:sdtPr>
          <w:sdtContent>
            <w:p>
              <w:pPr>
                <w:tabs>
                  <w:tab w:val="left" w:pos="0"/>
                </w:tabs>
                <w:spacing w:line="276" w:lineRule="auto"/>
                <w:jc w:val="both"/>
                <w:rPr>
                  <w:szCs w:val="22"/>
                </w:rPr>
              </w:pPr>
              <w:r>
                <w:rPr>
                  <w:szCs w:val="22"/>
                </w:rPr>
                <w:t xml:space="preserve">Architektūros ir urbanistikos skyriaus vyr. specialistas                                                Rolandas Plukas</w:t>
              </w:r>
            </w:p>
            <w:p>
              <w:pPr>
                <w:tabs>
                  <w:tab w:val="left" w:pos="0"/>
                </w:tabs>
                <w:spacing w:line="276" w:lineRule="auto"/>
                <w:ind w:firstLine="4134"/>
                <w:jc w:val="both"/>
                <w:rPr>
                  <w:szCs w:val="24"/>
                </w:rPr>
              </w:pPr>
            </w:p>
          </w:sdtContent>
        </w:sdt>
      </w:sdtContent>
    </w:sdt>
    <w:sectPr>
      <w:pgSz w:w="11907" w:h="16840" w:code="9"/>
      <w:pgMar w:top="1134" w:right="567" w:bottom="1134" w:left="1701" w:header="567" w:footer="567" w:gutter="0"/>
      <w:cols w:space="129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851"/>
        <w:jc w:val="both"/>
        <w:rPr>
          <w:sz w:val="20"/>
        </w:rPr>
      </w:pPr>
      <w:r>
        <w:rPr>
          <w:sz w:val="20"/>
        </w:rPr>
        <w:separator/>
      </w:r>
    </w:p>
  </w:endnote>
  <w:endnote w:type="continuationSeparator" w:id="0">
    <w:p>
      <w:pPr>
        <w:ind w:firstLine="851"/>
        <w:jc w:val="both"/>
        <w:rPr>
          <w:sz w:val="20"/>
        </w:rPr>
      </w:pPr>
      <w:r>
        <w:rPr>
          <w:sz w:val="20"/>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851"/>
        <w:jc w:val="both"/>
        <w:rPr>
          <w:sz w:val="20"/>
        </w:rPr>
      </w:pPr>
      <w:r>
        <w:rPr>
          <w:sz w:val="20"/>
        </w:rPr>
        <w:separator/>
      </w:r>
    </w:p>
  </w:footnote>
  <w:footnote w:type="continuationSeparator" w:id="0">
    <w:p>
      <w:pPr>
        <w:ind w:firstLine="851"/>
        <w:jc w:val="both"/>
        <w:rPr>
          <w:sz w:val="20"/>
        </w:rPr>
      </w:pPr>
      <w:r>
        <w:rPr>
          <w:sz w:val="20"/>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57"/>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519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9E83482-3DCA-4594-A106-8823A46CC51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20223225">
      <w:bodyDiv w:val="1"/>
      <w:marLeft w:val="0"/>
      <w:marRight w:val="0"/>
      <w:marTop w:val="0"/>
      <w:marBottom w:val="0"/>
      <w:divBdr>
        <w:top w:val="none" w:sz="0" w:space="0" w:color="auto"/>
        <w:left w:val="none" w:sz="0" w:space="0" w:color="auto"/>
        <w:bottom w:val="none" w:sz="0" w:space="0" w:color="auto"/>
        <w:right w:val="none" w:sz="0" w:space="0" w:color="auto"/>
      </w:divBdr>
    </w:div>
    <w:div w:id="606618295">
      <w:bodyDiv w:val="1"/>
      <w:marLeft w:val="0"/>
      <w:marRight w:val="0"/>
      <w:marTop w:val="0"/>
      <w:marBottom w:val="0"/>
      <w:divBdr>
        <w:top w:val="none" w:sz="0" w:space="0" w:color="auto"/>
        <w:left w:val="none" w:sz="0" w:space="0" w:color="auto"/>
        <w:bottom w:val="none" w:sz="0" w:space="0" w:color="auto"/>
        <w:right w:val="none" w:sz="0" w:space="0" w:color="auto"/>
      </w:divBdr>
      <w:divsChild>
        <w:div w:id="41565846">
          <w:marLeft w:val="0"/>
          <w:marRight w:val="0"/>
          <w:marTop w:val="0"/>
          <w:marBottom w:val="150"/>
          <w:divBdr>
            <w:top w:val="none" w:sz="0" w:space="0" w:color="auto"/>
            <w:left w:val="none" w:sz="0" w:space="0" w:color="auto"/>
            <w:bottom w:val="none" w:sz="0" w:space="0" w:color="auto"/>
            <w:right w:val="none" w:sz="0" w:space="0" w:color="auto"/>
          </w:divBdr>
        </w:div>
        <w:div w:id="774132893">
          <w:marLeft w:val="0"/>
          <w:marRight w:val="0"/>
          <w:marTop w:val="30"/>
          <w:marBottom w:val="0"/>
          <w:divBdr>
            <w:top w:val="none" w:sz="0" w:space="0" w:color="auto"/>
            <w:left w:val="none" w:sz="0" w:space="0" w:color="auto"/>
            <w:bottom w:val="none" w:sz="0" w:space="0" w:color="auto"/>
            <w:right w:val="none" w:sz="0" w:space="0" w:color="auto"/>
          </w:divBdr>
        </w:div>
        <w:div w:id="786897419">
          <w:marLeft w:val="0"/>
          <w:marRight w:val="0"/>
          <w:marTop w:val="30"/>
          <w:marBottom w:val="0"/>
          <w:divBdr>
            <w:top w:val="none" w:sz="0" w:space="0" w:color="auto"/>
            <w:left w:val="none" w:sz="0" w:space="0" w:color="auto"/>
            <w:bottom w:val="none" w:sz="0" w:space="0" w:color="auto"/>
            <w:right w:val="none" w:sz="0" w:space="0" w:color="auto"/>
          </w:divBdr>
        </w:div>
        <w:div w:id="629047123">
          <w:marLeft w:val="0"/>
          <w:marRight w:val="0"/>
          <w:marTop w:val="30"/>
          <w:marBottom w:val="0"/>
          <w:divBdr>
            <w:top w:val="none" w:sz="0" w:space="0" w:color="auto"/>
            <w:left w:val="none" w:sz="0" w:space="0" w:color="auto"/>
            <w:bottom w:val="none" w:sz="0" w:space="0" w:color="auto"/>
            <w:right w:val="none" w:sz="0" w:space="0" w:color="auto"/>
          </w:divBdr>
        </w:div>
        <w:div w:id="1371151653">
          <w:marLeft w:val="0"/>
          <w:marRight w:val="0"/>
          <w:marTop w:val="0"/>
          <w:marBottom w:val="0"/>
          <w:divBdr>
            <w:top w:val="none" w:sz="0" w:space="0" w:color="auto"/>
            <w:left w:val="none" w:sz="0" w:space="0" w:color="auto"/>
            <w:bottom w:val="none" w:sz="0" w:space="0" w:color="auto"/>
            <w:right w:val="none" w:sz="0" w:space="0" w:color="auto"/>
          </w:divBdr>
          <w:divsChild>
            <w:div w:id="312374295">
              <w:marLeft w:val="0"/>
              <w:marRight w:val="0"/>
              <w:marTop w:val="0"/>
              <w:marBottom w:val="0"/>
              <w:divBdr>
                <w:top w:val="none" w:sz="0" w:space="0" w:color="auto"/>
                <w:left w:val="none" w:sz="0" w:space="0" w:color="auto"/>
                <w:bottom w:val="none" w:sz="0" w:space="0" w:color="auto"/>
                <w:right w:val="none" w:sz="0" w:space="0" w:color="auto"/>
              </w:divBdr>
            </w:div>
          </w:divsChild>
        </w:div>
        <w:div w:id="681510409">
          <w:marLeft w:val="0"/>
          <w:marRight w:val="0"/>
          <w:marTop w:val="30"/>
          <w:marBottom w:val="0"/>
          <w:divBdr>
            <w:top w:val="none" w:sz="0" w:space="0" w:color="auto"/>
            <w:left w:val="none" w:sz="0" w:space="0" w:color="auto"/>
            <w:bottom w:val="none" w:sz="0" w:space="0" w:color="auto"/>
            <w:right w:val="none" w:sz="0" w:space="0" w:color="auto"/>
          </w:divBdr>
        </w:div>
        <w:div w:id="307637959">
          <w:marLeft w:val="0"/>
          <w:marRight w:val="0"/>
          <w:marTop w:val="0"/>
          <w:marBottom w:val="0"/>
          <w:divBdr>
            <w:top w:val="none" w:sz="0" w:space="0" w:color="auto"/>
            <w:left w:val="none" w:sz="0" w:space="0" w:color="auto"/>
            <w:bottom w:val="none" w:sz="0" w:space="0" w:color="auto"/>
            <w:right w:val="none" w:sz="0" w:space="0" w:color="auto"/>
          </w:divBdr>
          <w:divsChild>
            <w:div w:id="54280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5427422">
      <w:bodyDiv w:val="1"/>
      <w:marLeft w:val="0"/>
      <w:marRight w:val="0"/>
      <w:marTop w:val="0"/>
      <w:marBottom w:val="0"/>
      <w:divBdr>
        <w:top w:val="none" w:sz="0" w:space="0" w:color="auto"/>
        <w:left w:val="none" w:sz="0" w:space="0" w:color="auto"/>
        <w:bottom w:val="none" w:sz="0" w:space="0" w:color="auto"/>
        <w:right w:val="none" w:sz="0" w:space="0" w:color="auto"/>
      </w:divBdr>
    </w:div>
    <w:div w:id="985283614">
      <w:bodyDiv w:val="1"/>
      <w:marLeft w:val="0"/>
      <w:marRight w:val="0"/>
      <w:marTop w:val="0"/>
      <w:marBottom w:val="0"/>
      <w:divBdr>
        <w:top w:val="none" w:sz="0" w:space="0" w:color="auto"/>
        <w:left w:val="none" w:sz="0" w:space="0" w:color="auto"/>
        <w:bottom w:val="none" w:sz="0" w:space="0" w:color="auto"/>
        <w:right w:val="none" w:sz="0" w:space="0" w:color="auto"/>
      </w:divBdr>
    </w:div>
    <w:div w:id="1042241880">
      <w:bodyDiv w:val="1"/>
      <w:marLeft w:val="0"/>
      <w:marRight w:val="0"/>
      <w:marTop w:val="0"/>
      <w:marBottom w:val="0"/>
      <w:divBdr>
        <w:top w:val="none" w:sz="0" w:space="0" w:color="auto"/>
        <w:left w:val="none" w:sz="0" w:space="0" w:color="auto"/>
        <w:bottom w:val="none" w:sz="0" w:space="0" w:color="auto"/>
        <w:right w:val="none" w:sz="0" w:space="0" w:color="auto"/>
      </w:divBdr>
    </w:div>
    <w:div w:id="1053312203">
      <w:bodyDiv w:val="1"/>
      <w:marLeft w:val="0"/>
      <w:marRight w:val="0"/>
      <w:marTop w:val="0"/>
      <w:marBottom w:val="0"/>
      <w:divBdr>
        <w:top w:val="none" w:sz="0" w:space="0" w:color="auto"/>
        <w:left w:val="none" w:sz="0" w:space="0" w:color="auto"/>
        <w:bottom w:val="none" w:sz="0" w:space="0" w:color="auto"/>
        <w:right w:val="none" w:sz="0" w:space="0" w:color="auto"/>
      </w:divBdr>
    </w:div>
    <w:div w:id="1322584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0CDB8805-B858-4200-8A12-6B2277143950}">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778006e75f1549a0aa95d6fabe76d1ba" PartId="cc535aa4c9d84bdbad8292daebecbe87">
    <Part Type="preambule" DocPartId="88baa18ec1bf435d9582c500c051d551" PartId="b0d98b0f40db49cda828b56fbc172c72"/>
    <Part Type="punktas" Nr="1" Abbr="1 p." DocPartId="b6d5a63ee97d4b38ae3a6fd61d58f67d" PartId="cd5d3dc4b16c45cea46487390221d024"/>
    <Part Type="punktas" Nr="2" Abbr="2 p." DocPartId="ae2a407d6db94c3da16ba1b4da013fcf" PartId="40f2ee3d09034a37b550322e33fa6de7"/>
    <Part Type="punktas" Nr="3" Abbr="3 p." DocPartId="e16c222b400d40c98033358dfa40b3f2" PartId="98960fc2c6474374ad7f28647e18d95c"/>
    <Part Type="skirsnis" Title="RADVILIŠKIO RAJONO SAVIVALDYBĖS TARYBOS SPRENDIMO PROJEKTO „DĖL VIEŠOSIOS ĮSTAIGOS „DINGĘS ŠTETLAS“-ŠEDUVOS ŽYDŲ ISTORIJOS MUZIEJUS PROJEKTO „DINGUSIO ŠTETLO MUZIEJUS“ TERITORIJOS PATIKSLINIMO“ AIŠKINAMASIS RAŠTAS" DocPartId="928f053db2464e7c8995190c05b8cfb2" PartId="13413155120d4dcf97759f8c096c3a24">
      <Part Type="punktas" Nr="1" Abbr="1 p." DocPartId="fac0082dbc21427f87a3c88313679707" PartId="5f6568289a5b4859ac31b3cec0f4ad9f"/>
      <Part Type="punktas" Nr="2" Abbr="2 p." DocPartId="6c70595764364fc089c18b46f8bd452e" PartId="25b7e4c7426348d0bea61b64e62ba056"/>
      <Part Type="punktas" Nr="3" Abbr="3 p." DocPartId="07b062c1623546409a753378a1a8e9d6" PartId="0781f49c15934baf881d17fcaf60308e"/>
      <Part Type="punktas" Nr="4" Abbr="4 p." DocPartId="2f2b46b265394719a23918f047060bce" PartId="56c70deda38f413e9dce1169b011880d"/>
      <Part Type="punktas" Nr="5" Abbr="5 p." DocPartId="65d8c67bc18d4c478342e98557b6d104" PartId="0ffa1a86bd3243c99cae10a55e192a39"/>
      <Part Type="punktas" Nr="6" Abbr="6 p." DocPartId="1a62e20a08294f0495d06b52cf44ca98" PartId="a1d04f9f481f457e81e60f75bb3d7d84"/>
      <Part Type="punktas" Nr="7" Abbr="7 p." DocPartId="b00b2edf12924abe9acb7a2acfe2648d" PartId="11bf97993a354bee838d440c5f76a209"/>
      <Part Type="punktas" Nr="8" Abbr="8 p." DocPartId="730a18e0897c4381b3d4f371b66ef753" PartId="c6ea802612d246c2af19d5406c95b357"/>
      <Part Type="punktas" Nr="9" Abbr="9 p." DocPartId="499fb9c0f9504988b87489ba5dccf356" PartId="486dcdae05e24b179373b0f5626c5a2d"/>
      <Part Type="punktas" Nr="10" Abbr="10 p." DocPartId="e938513688b84d7dba06e12e3e6933d3" PartId="f847865ff1a3432089a27445151ef256"/>
      <Part Type="punktas" Nr="11" Abbr="11 p." DocPartId="6071d379aea148be95ab4d080e9eaa45" PartId="171b3d15ef1d427a82d8c68cabf529f7"/>
      <Part Type="punktas" Nr="12" Abbr="12 p." DocPartId="4aa7e1b1362b48c59d433b4d3342b80f" PartId="ff44354f0a794c9ab338d94e4f0aae41"/>
    </Part>
    <Part Type="signatura" DocPartId="d94908c9514f425d8f4f1dcbd4ba686f" PartId="3abaf99aa941488c9af88e28628f0ec2"/>
  </Part>
</Parts>
</file>

<file path=customXml/itemProps1.xml><?xml version="1.0" encoding="utf-8"?>
<ds:datastoreItem xmlns:ds="http://schemas.openxmlformats.org/officeDocument/2006/customXml" ds:itemID="{862FFD6D-D046-4E25-83CF-5FE4D8A8B96A}">
  <ds:schemaRefs>
    <ds:schemaRef ds:uri="http://schemas.openxmlformats.org/officeDocument/2006/bibliography"/>
  </ds:schemaRefs>
</ds:datastoreItem>
</file>

<file path=customXml/itemProps2.xml><?xml version="1.0" encoding="utf-8"?>
<ds:datastoreItem xmlns:ds="http://schemas.openxmlformats.org/officeDocument/2006/customXml" ds:itemID="{19837B69-875A-4E60-A24D-67BDD024359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692</Words>
  <Characters>5132</Characters>
  <Application>Microsoft Office Word</Application>
  <DocSecurity>4</DocSecurity>
  <Lines>111</Lines>
  <Paragraphs>51</Paragraphs>
  <ScaleCrop>false</ScaleCrop>
  <HeadingPairs>
    <vt:vector size="6" baseType="variant">
      <vt:variant>
        <vt:lpstr>Pavadinimas</vt:lpstr>
      </vt:variant>
      <vt:variant>
        <vt:i4>1</vt:i4>
      </vt:variant>
      <vt:variant>
        <vt:lpstr>Title</vt:lpstr>
      </vt:variant>
      <vt:variant>
        <vt:i4>1</vt:i4>
      </vt:variant>
      <vt:variant>
        <vt:lpstr>Headings</vt:lpstr>
      </vt:variant>
      <vt:variant>
        <vt:i4>3</vt:i4>
      </vt:variant>
    </vt:vector>
  </HeadingPairs>
  <TitlesOfParts>
    <vt:vector size="5" baseType="lpstr">
      <vt:lpstr>Projektas</vt:lpstr>
      <vt:lpstr>Projektas</vt:lpstr>
      <vt:lpstr>        RADVILIŠKIO RAJONO SAVIVALDYBĖS TARYBA</vt:lpstr>
      <vt:lpstr>SPRENDIMAS</vt:lpstr>
      <vt:lpstr>DĖL BENDRADARBIAVIMO SUTARTIES NUTRAUKIMO</vt:lpstr>
    </vt:vector>
  </TitlesOfParts>
  <Company/>
  <LinksUpToDate>false</LinksUpToDate>
  <CharactersWithSpaces>5773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2025-05-19T11:11:00Z</dcterms:created>
  <dc:creator>1</dc:creator>
  <lastModifiedBy>adlibuser</lastModifiedBy>
  <lastPrinted>2023-03-24T12:03:00Z</lastPrinted>
  <dcterms:modified xsi:type="dcterms:W3CDTF">2025-05-19T11:11:00Z</dcterms:modified>
  <revision>2</revision>
  <dc:title>Projektas</dc:title>
</coreProperties>
</file>