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c23774f6b34bc6aac299ce041a8245"/>
        <w:lock w:val="sdtLocked"/>
        <w:richText/>
      </w:sdtPr>
      <w:sdtContent>
        <w:p>
          <w:pPr>
            <w:tabs>
              <w:tab w:val="center" w:pos="4819"/>
              <w:tab w:val="right" w:pos="9638"/>
            </w:tabs>
            <w:jc w:val="right"/>
          </w:pPr>
        </w:p>
        <w:p>
          <w:pPr>
            <w:tabs>
              <w:tab w:val="center" w:pos="4153"/>
              <w:tab w:val="right" w:pos="8306"/>
            </w:tabs>
            <w:spacing w:line="259" w:lineRule="auto"/>
            <w:jc w:val="right"/>
            <w:rPr>
              <w:b/>
              <w:color w:val="000000"/>
              <w:szCs w:val="24"/>
            </w:rPr>
          </w:pPr>
          <w:r>
            <w:rPr>
              <w:b/>
              <w:color w:val="000000"/>
              <w:szCs w:val="24"/>
            </w:rPr>
            <w:t>Projektas</w:t>
          </w:r>
        </w:p>
        <w:p>
          <w:pPr>
            <w:rPr>
              <w:sz w:val="14"/>
              <w:szCs w:val="14"/>
            </w:rPr>
          </w:pPr>
        </w:p>
        <w:p>
          <w:pPr>
            <w:tabs>
              <w:tab w:val="left" w:pos="4387"/>
              <w:tab w:val="left" w:pos="4820"/>
              <w:tab w:val="left" w:pos="7229"/>
            </w:tabs>
            <w:jc w:val="center"/>
            <w:rPr>
              <w:color w:val="000000"/>
              <w:szCs w:val="24"/>
            </w:rPr>
          </w:pPr>
        </w:p>
        <w:p>
          <w:pPr>
            <w:tabs>
              <w:tab w:val="left" w:pos="4820"/>
              <w:tab w:val="left" w:pos="7229"/>
            </w:tabs>
            <w:jc w:val="center"/>
            <w:rPr>
              <w:b/>
              <w:caps/>
              <w:color w:val="000000"/>
              <w:szCs w:val="24"/>
            </w:rPr>
          </w:pPr>
          <w:r>
            <w:rPr>
              <w:b/>
              <w:caps/>
              <w:color w:val="000000"/>
              <w:szCs w:val="24"/>
            </w:rPr>
            <w:t xml:space="preserve">VALSTYBINĖS MOKESČIŲ INSPEKCIJOS </w:t>
            <w:br/>
            <w:t xml:space="preserve">PRIE LIETUVOS RESPUBLIKOS FINANSŲ MINISTERIJOS </w:t>
            <w:br/>
            <w:t>VIRŠININKAS</w:t>
          </w:r>
        </w:p>
        <w:p>
          <w:pPr>
            <w:tabs>
              <w:tab w:val="left" w:pos="4820"/>
              <w:tab w:val="left" w:pos="7229"/>
            </w:tabs>
            <w:jc w:val="center"/>
            <w:rPr>
              <w:color w:val="000000"/>
              <w:szCs w:val="24"/>
            </w:rPr>
          </w:pPr>
        </w:p>
        <w:p>
          <w:pPr>
            <w:tabs>
              <w:tab w:val="left" w:pos="4820"/>
              <w:tab w:val="left" w:pos="7229"/>
            </w:tabs>
            <w:jc w:val="center"/>
            <w:rPr>
              <w:color w:val="000000"/>
              <w:szCs w:val="24"/>
            </w:rPr>
          </w:pPr>
        </w:p>
        <w:p>
          <w:pPr>
            <w:tabs>
              <w:tab w:val="left" w:pos="4820"/>
              <w:tab w:val="left" w:pos="7229"/>
            </w:tabs>
            <w:jc w:val="center"/>
            <w:rPr>
              <w:caps/>
              <w:color w:val="000000"/>
              <w:szCs w:val="24"/>
            </w:rPr>
          </w:pPr>
          <w:r>
            <w:rPr>
              <w:b/>
              <w:caps/>
              <w:color w:val="000000"/>
              <w:szCs w:val="24"/>
            </w:rPr>
            <w:t>ĮSAKYMAS</w:t>
          </w:r>
        </w:p>
        <w:p>
          <w:pPr>
            <w:tabs>
              <w:tab w:val="left" w:pos="4820"/>
              <w:tab w:val="left" w:pos="7229"/>
            </w:tabs>
            <w:jc w:val="center"/>
            <w:rPr>
              <w:b/>
              <w:caps/>
              <w:color w:val="000000"/>
              <w:szCs w:val="24"/>
            </w:rPr>
          </w:pPr>
          <w:r>
            <w:rPr>
              <w:b/>
              <w:color w:val="000000"/>
              <w:szCs w:val="24"/>
            </w:rPr>
            <w:t xml:space="preserve">DĖL PRIDĖTINĖS VERTĖS MOKESČIO MOKĖTOJŲ, TAIKANČIŲ </w:t>
          </w:r>
          <w:r>
            <w:rPr>
              <w:b/>
              <w:bCs/>
              <w:color w:val="000000"/>
              <w:szCs w:val="24"/>
            </w:rPr>
            <w:t xml:space="preserve">SMULKIOJO VERSLO SCHEMĄ LIETUVOJE, </w:t>
          </w:r>
          <w:r>
            <w:rPr>
              <w:b/>
              <w:color w:val="000000"/>
              <w:szCs w:val="24"/>
            </w:rPr>
            <w:t>PRIDĖTINĖS VERTĖS MOKESČIO DEKLARACIJOS PVM101 UŽPILDYMO IR PATEIKIMO TAISYKLIŲ PATVIRTINIMO</w:t>
          </w:r>
        </w:p>
        <w:p>
          <w:pPr>
            <w:tabs>
              <w:tab w:val="left" w:pos="4820"/>
              <w:tab w:val="left" w:pos="7229"/>
            </w:tabs>
            <w:spacing w:line="259" w:lineRule="auto"/>
            <w:jc w:val="center"/>
            <w:rPr>
              <w:color w:val="000000"/>
              <w:szCs w:val="24"/>
            </w:rPr>
          </w:pPr>
        </w:p>
        <w:p>
          <w:pPr>
            <w:rPr>
              <w:sz w:val="14"/>
              <w:szCs w:val="14"/>
            </w:rPr>
          </w:pPr>
        </w:p>
        <w:p>
          <w:pPr>
            <w:tabs>
              <w:tab w:val="left" w:pos="4820"/>
              <w:tab w:val="left" w:pos="7229"/>
            </w:tabs>
            <w:spacing w:line="259" w:lineRule="auto"/>
            <w:jc w:val="center"/>
            <w:rPr>
              <w:color w:val="000000"/>
              <w:szCs w:val="24"/>
            </w:rPr>
          </w:pPr>
        </w:p>
        <w:p>
          <w:pPr>
            <w:rPr>
              <w:sz w:val="14"/>
              <w:szCs w:val="14"/>
            </w:rPr>
          </w:pPr>
        </w:p>
        <w:p>
          <w:pPr>
            <w:tabs>
              <w:tab w:val="left" w:pos="4820"/>
              <w:tab w:val="left" w:pos="7229"/>
            </w:tabs>
            <w:jc w:val="center"/>
            <w:rPr>
              <w:b/>
              <w:color w:val="000000"/>
              <w:szCs w:val="24"/>
            </w:rPr>
          </w:pPr>
          <w:r>
            <w:rPr>
              <w:color w:val="000000"/>
              <w:szCs w:val="24"/>
            </w:rPr>
            <w:t xml:space="preserve">Nr. </w:t>
          </w:r>
        </w:p>
        <w:p>
          <w:pPr>
            <w:tabs>
              <w:tab w:val="left" w:pos="4820"/>
              <w:tab w:val="left" w:pos="7229"/>
            </w:tabs>
            <w:jc w:val="center"/>
            <w:rPr>
              <w:b/>
              <w:color w:val="000000"/>
              <w:szCs w:val="24"/>
            </w:rPr>
          </w:pPr>
          <w:r>
            <w:rPr>
              <w:color w:val="000000"/>
              <w:szCs w:val="24"/>
            </w:rPr>
            <w:t>Vilnius</w:t>
          </w:r>
        </w:p>
        <w:p>
          <w:pPr>
            <w:tabs>
              <w:tab w:val="left" w:pos="4820"/>
              <w:tab w:val="left" w:pos="7229"/>
            </w:tabs>
            <w:jc w:val="center"/>
            <w:rPr>
              <w:color w:val="000000"/>
              <w:szCs w:val="24"/>
            </w:rPr>
          </w:pPr>
        </w:p>
        <w:p>
          <w:pPr>
            <w:tabs>
              <w:tab w:val="left" w:pos="4820"/>
              <w:tab w:val="left" w:pos="7229"/>
            </w:tabs>
            <w:jc w:val="center"/>
            <w:rPr>
              <w:color w:val="000000"/>
              <w:szCs w:val="24"/>
            </w:rPr>
          </w:pPr>
        </w:p>
        <w:sdt>
          <w:sdtPr>
            <w:alias w:val="preambule"/>
            <w:tag w:val="part_525e6bd807794c25bda1991221232922"/>
            <w:lock w:val="sdtLocked"/>
            <w:richText/>
          </w:sdtPr>
          <w:sdtContent>
            <w:p>
              <w:pPr>
                <w:shd w:val="clear" w:color="auto" w:fill="FFFFFF"/>
                <w:ind w:firstLine="720"/>
                <w:jc w:val="both"/>
                <w:rPr>
                  <w:color w:val="000000"/>
                  <w:szCs w:val="24"/>
                  <w:lang w:eastAsia="lt-LT"/>
                </w:rPr>
              </w:pPr>
              <w:r>
                <w:rPr>
                  <w:color w:val="000000"/>
                  <w:szCs w:val="24"/>
                  <w:lang w:eastAsia="lt-LT"/>
                </w:rPr>
                <w:t>Vadovaudamasis Lietuvos Respublikos pridėtinės vertės mokesčio įstatymo 86 straipsniu bei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sdtContent>
        </w:sdt>
        <w:sdt>
          <w:sdtPr>
            <w:alias w:val="1 p."/>
            <w:tag w:val="part_e4a3108e67794db690227e0cf0abfb6a"/>
            <w:lock w:val="sdtLocked"/>
            <w:richText/>
          </w:sdtPr>
          <w:sdtContent>
            <w:p>
              <w:pPr>
                <w:shd w:val="clear" w:color="auto" w:fill="FFFFFF"/>
                <w:ind w:firstLine="720"/>
                <w:jc w:val="both"/>
                <w:rPr>
                  <w:color w:val="000000"/>
                  <w:szCs w:val="24"/>
                  <w:lang w:eastAsia="lt-LT"/>
                </w:rPr>
              </w:pPr>
              <w:sdt>
                <w:sdtPr>
                  <w:alias w:val="Numeris"/>
                  <w:tag w:val="nr_e4a3108e67794db690227e0cf0abfb6a"/>
                  <w:lock w:val="sdtLocked"/>
                  <w:richText/>
                </w:sdtPr>
                <w:sdtContent>
                  <w:r>
                    <w:rPr>
                      <w:color w:val="000000"/>
                      <w:szCs w:val="24"/>
                      <w:lang w:eastAsia="lt-LT"/>
                    </w:rPr>
                    <w:t>1</w:t>
                  </w:r>
                </w:sdtContent>
              </w:sdt>
              <w:r>
                <w:rPr>
                  <w:color w:val="000000"/>
                  <w:spacing w:val="80"/>
                  <w:szCs w:val="24"/>
                  <w:lang w:eastAsia="lt-LT"/>
                </w:rPr>
                <w:t>.Tvirtin</w:t>
              </w:r>
              <w:r>
                <w:rPr>
                  <w:color w:val="000000"/>
                  <w:szCs w:val="24"/>
                  <w:lang w:eastAsia="lt-LT"/>
                </w:rPr>
                <w:t>u Pridėtinės vertės mokesčio mokėtojų, taikančių smulkiojo verslo schemą Lietuvoje, pridėtinės vertės mokesčio deklaracijos PVM101 užpildymo ir pateikimo taisykles (pridedama).</w:t>
              </w:r>
            </w:p>
          </w:sdtContent>
        </w:sdt>
        <w:sdt>
          <w:sdtPr>
            <w:alias w:val="2 p."/>
            <w:tag w:val="part_38a8d0767e764db0be4ace887c4b2219"/>
            <w:lock w:val="sdtLocked"/>
            <w:richText/>
          </w:sdtPr>
          <w:sdtContent>
            <w:p>
              <w:pPr>
                <w:tabs>
                  <w:tab w:val="left" w:pos="3973"/>
                  <w:tab w:val="left" w:pos="7371"/>
                </w:tabs>
                <w:spacing w:line="259" w:lineRule="auto"/>
                <w:ind w:left="8" w:firstLine="701"/>
                <w:rPr>
                  <w:color w:val="000000"/>
                  <w:szCs w:val="24"/>
                  <w:lang w:eastAsia="lt-LT"/>
                </w:rPr>
              </w:pPr>
              <w:sdt>
                <w:sdtPr>
                  <w:alias w:val="Numeris"/>
                  <w:tag w:val="nr_38a8d0767e764db0be4ace887c4b2219"/>
                  <w:lock w:val="sdtLocked"/>
                  <w:richText/>
                </w:sdtPr>
                <w:sdtContent>
                  <w:r>
                    <w:rPr>
                      <w:color w:val="000000"/>
                      <w:szCs w:val="24"/>
                      <w:lang w:eastAsia="lt-LT"/>
                    </w:rPr>
                    <w:t>2</w:t>
                  </w:r>
                </w:sdtContent>
              </w:sdt>
              <w:r>
                <w:rPr>
                  <w:color w:val="000000"/>
                  <w:szCs w:val="24"/>
                  <w:lang w:eastAsia="lt-LT"/>
                </w:rPr>
                <w:t xml:space="preserve">. </w:t>
              </w:r>
              <w:r>
                <w:rPr>
                  <w:color w:val="000000"/>
                  <w:spacing w:val="80"/>
                  <w:szCs w:val="24"/>
                  <w:lang w:eastAsia="lt-LT"/>
                </w:rPr>
                <w:t>Nustata</w:t>
              </w:r>
              <w:r>
                <w:rPr>
                  <w:color w:val="000000"/>
                  <w:szCs w:val="24"/>
                  <w:lang w:eastAsia="lt-LT"/>
                </w:rPr>
                <w:t>u, kad šis įsakymas įsigalioja 2025 m. gegužės 1 d.</w:t>
              </w:r>
            </w:p>
            <w:p>
              <w:pPr>
                <w:rPr>
                  <w:sz w:val="14"/>
                  <w:szCs w:val="14"/>
                </w:rPr>
              </w:pPr>
            </w:p>
            <w:p>
              <w:pPr>
                <w:tabs>
                  <w:tab w:val="left" w:pos="3973"/>
                  <w:tab w:val="left" w:pos="7371"/>
                </w:tabs>
                <w:spacing w:line="259" w:lineRule="auto"/>
                <w:ind w:left="8" w:hanging="8"/>
                <w:rPr>
                  <w:color w:val="000000"/>
                  <w:szCs w:val="24"/>
                </w:rPr>
              </w:pPr>
            </w:p>
            <w:p>
              <w:pPr>
                <w:rPr>
                  <w:sz w:val="14"/>
                  <w:szCs w:val="14"/>
                </w:rPr>
              </w:pPr>
            </w:p>
          </w:sdtContent>
        </w:sdt>
        <w:sdt>
          <w:sdtPr>
            <w:alias w:val="signatura"/>
            <w:tag w:val="part_8479072494d94662a86de1c508545093"/>
            <w:lock w:val="sdtLocked"/>
            <w:richText/>
          </w:sdtPr>
          <w:sdtContent>
            <w:p>
              <w:pPr>
                <w:tabs>
                  <w:tab w:val="left" w:pos="7371"/>
                  <w:tab w:val="right" w:pos="9639"/>
                </w:tabs>
                <w:spacing w:line="259" w:lineRule="auto"/>
                <w:ind w:left="8" w:hanging="8"/>
                <w:rPr>
                  <w:color w:val="000000"/>
                  <w:szCs w:val="24"/>
                </w:rPr>
              </w:pPr>
              <w:r>
                <w:rPr>
                  <w:color w:val="000000"/>
                  <w:szCs w:val="24"/>
                </w:rPr>
                <w:t>Viršininkas</w:t>
                <w:tab/>
              </w:r>
            </w:p>
            <w:p>
              <w:pPr>
                <w:rPr>
                  <w:sz w:val="14"/>
                  <w:szCs w:val="14"/>
                </w:rPr>
              </w:pPr>
            </w:p>
            <w:p>
              <w:pPr>
                <w:spacing w:line="259" w:lineRule="auto"/>
                <w:ind w:firstLine="5245"/>
                <w:rPr>
                  <w:color w:val="000000"/>
                  <w:szCs w:val="24"/>
                </w:rPr>
              </w:pPr>
            </w:p>
            <w:p>
              <w:pPr>
                <w:rPr>
                  <w:sz w:val="14"/>
                  <w:szCs w:val="14"/>
                </w:rPr>
              </w:pPr>
            </w:p>
            <w:p>
              <w:pPr>
                <w:spacing w:line="259" w:lineRule="auto"/>
                <w:ind w:firstLine="5245"/>
                <w:rPr>
                  <w:color w:val="000000"/>
                  <w:szCs w:val="24"/>
                </w:rPr>
                <w:sectPr>
                  <w:headerReference w:type="even" r:id="rId7"/>
                  <w:headerReference w:type="default" r:id="rId8"/>
                  <w:footerReference w:type="even" r:id="rId9"/>
                  <w:footerReference w:type="default" r:id="rId10"/>
                  <w:headerReference w:type="first" r:id="rId11"/>
                  <w:footerReference w:type="first" r:id="rId12"/>
                  <w:pgSz w:w="11907" w:h="16839"/>
                  <w:pgMar w:top="1134" w:right="567" w:bottom="1134" w:left="1701" w:header="567" w:footer="567" w:gutter="0"/>
                  <w:pgNumType w:start="1"/>
                  <w:cols w:space="1296"/>
                  <w:titlePg/>
                  <w:docGrid w:linePitch="360"/>
                </w:sectPr>
              </w:pPr>
            </w:p>
            <w:p>
              <w:pPr>
                <w:rPr>
                  <w:sz w:val="14"/>
                  <w:szCs w:val="14"/>
                </w:rPr>
              </w:pPr>
            </w:p>
            <w:p>
              <w:pPr>
                <w:tabs>
                  <w:tab w:val="center" w:pos="4819"/>
                  <w:tab w:val="right" w:pos="9638"/>
                </w:tabs>
              </w:pPr>
            </w:p>
          </w:sdtContent>
        </w:sdt>
      </w:sdtContent>
    </w:sdt>
    <w:sdt>
      <w:sdtPr>
        <w:alias w:val="patvirtinta"/>
        <w:tag w:val="part_610bb93bfb23447290843782ce6252b7"/>
        <w:lock w:val="sdtLocked"/>
        <w:richText/>
      </w:sdtPr>
      <w:sdtContent>
        <w:p>
          <w:pPr>
            <w:ind w:left="4820"/>
            <w:rPr>
              <w:color w:val="000000"/>
              <w:szCs w:val="24"/>
            </w:rPr>
          </w:pPr>
          <w:r>
            <w:rPr>
              <w:color w:val="000000"/>
              <w:szCs w:val="24"/>
            </w:rPr>
            <w:t>PATVIRTINTA</w:t>
          </w:r>
        </w:p>
        <w:p>
          <w:pPr>
            <w:ind w:left="4820"/>
            <w:rPr>
              <w:color w:val="000000"/>
              <w:szCs w:val="24"/>
            </w:rPr>
          </w:pPr>
          <w:r>
            <w:rPr>
              <w:color w:val="000000"/>
              <w:szCs w:val="24"/>
            </w:rPr>
            <w:t xml:space="preserve">Valstybinės mokesčių inspekcijos prie Lietuvos Respublikos finansų ministerijos viršininko </w:t>
          </w:r>
        </w:p>
        <w:p>
          <w:pPr>
            <w:ind w:left="4820"/>
            <w:rPr>
              <w:color w:val="000000"/>
              <w:szCs w:val="24"/>
            </w:rPr>
          </w:pPr>
          <w:r>
            <w:rPr>
              <w:color w:val="000000"/>
              <w:szCs w:val="24"/>
            </w:rPr>
            <w:t xml:space="preserve">2025 m.      d. įsakymu Nr. VA-</w:t>
          </w:r>
        </w:p>
        <w:p>
          <w:pPr>
            <w:spacing w:line="259" w:lineRule="auto"/>
            <w:rPr>
              <w:b/>
              <w:color w:val="000000"/>
              <w:szCs w:val="24"/>
            </w:rPr>
          </w:pPr>
        </w:p>
        <w:p>
          <w:pPr>
            <w:rPr>
              <w:sz w:val="14"/>
              <w:szCs w:val="14"/>
            </w:rPr>
          </w:pPr>
        </w:p>
        <w:p>
          <w:pPr>
            <w:jc w:val="center"/>
            <w:rPr>
              <w:b/>
              <w:bCs/>
              <w:color w:val="000000"/>
              <w:szCs w:val="24"/>
            </w:rPr>
          </w:pPr>
          <w:sdt>
            <w:sdtPr>
              <w:alias w:val="Pavadinimas"/>
              <w:tag w:val="title_610bb93bfb23447290843782ce6252b7"/>
              <w:lock w:val="sdtLocked"/>
              <w:richText/>
            </w:sdtPr>
            <w:sdtContent>
              <w:r>
                <w:rPr>
                  <w:b/>
                  <w:bCs/>
                  <w:color w:val="000000"/>
                  <w:szCs w:val="24"/>
                </w:rPr>
                <w:t>PRIDĖTINĖS VERTĖS MOKESČIO MOKĖTOJŲ, TAIKANČIŲ SMULKIOJO VERSLO SCHEMĄ LIETUVOJE, PRIDĖTINĖS VERTĖS MOKESČIO DEKLARACIJOS PVM101 UŽPILDYMO IR PATEIKIMO TAISYKLĖS</w:t>
              </w:r>
            </w:sdtContent>
          </w:sdt>
        </w:p>
        <w:p>
          <w:pPr>
            <w:jc w:val="center"/>
            <w:rPr>
              <w:b/>
              <w:bCs/>
              <w:color w:val="000000"/>
              <w:szCs w:val="24"/>
            </w:rPr>
          </w:pPr>
        </w:p>
        <w:sdt>
          <w:sdtPr>
            <w:alias w:val="skyrius"/>
            <w:tag w:val="part_a119f43b8c91473a833abe993a271c0a"/>
            <w:lock w:val="sdtLocked"/>
            <w:richText/>
          </w:sdtPr>
          <w:sdtContent>
            <w:p>
              <w:pPr>
                <w:jc w:val="center"/>
                <w:rPr>
                  <w:b/>
                  <w:color w:val="000000"/>
                  <w:szCs w:val="24"/>
                </w:rPr>
              </w:pPr>
              <w:sdt>
                <w:sdtPr>
                  <w:alias w:val="Numeris"/>
                  <w:tag w:val="nr_a119f43b8c91473a833abe993a271c0a"/>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a119f43b8c91473a833abe993a271c0a"/>
                  <w:lock w:val="sdtLocked"/>
                  <w:richText/>
                </w:sdtPr>
                <w:sdtContent>
                  <w:r>
                    <w:rPr>
                      <w:b/>
                      <w:color w:val="000000"/>
                      <w:szCs w:val="24"/>
                    </w:rPr>
                    <w:t>BENDROSIOS NUOSTATOS</w:t>
                  </w:r>
                </w:sdtContent>
              </w:sdt>
            </w:p>
            <w:p>
              <w:pPr>
                <w:jc w:val="center"/>
                <w:rPr>
                  <w:b/>
                  <w:color w:val="000000"/>
                  <w:szCs w:val="24"/>
                </w:rPr>
              </w:pPr>
            </w:p>
            <w:sdt>
              <w:sdtPr>
                <w:alias w:val="1 p."/>
                <w:tag w:val="part_6540e608d284440abc45b216ec22b6a8"/>
                <w:lock w:val="sdtLocked"/>
                <w:richText/>
              </w:sdtPr>
              <w:sdtContent>
                <w:p>
                  <w:pPr>
                    <w:tabs>
                      <w:tab w:val="left" w:pos="993"/>
                    </w:tabs>
                    <w:spacing w:line="259" w:lineRule="auto"/>
                    <w:ind w:firstLine="709"/>
                    <w:jc w:val="both"/>
                    <w:rPr>
                      <w:sz w:val="22"/>
                      <w:szCs w:val="24"/>
                      <w:shd w:val="clear" w:color="auto" w:fill="FFFFFF"/>
                    </w:rPr>
                  </w:pPr>
                  <w:sdt>
                    <w:sdtPr>
                      <w:alias w:val="Numeris"/>
                      <w:tag w:val="nr_6540e608d284440abc45b216ec22b6a8"/>
                      <w:lock w:val="sdtLocked"/>
                      <w:richText/>
                    </w:sdtPr>
                    <w:sdtContent>
                      <w:r>
                        <w:rPr>
                          <w:szCs w:val="24"/>
                        </w:rPr>
                        <w:t>1</w:t>
                      </w:r>
                    </w:sdtContent>
                  </w:sdt>
                  <w:r>
                    <w:rPr>
                      <w:szCs w:val="24"/>
                    </w:rPr>
                    <w:t>.</w:t>
                    <w:tab/>
                  </w:r>
                  <w:r>
                    <w:rPr>
                      <w:sz w:val="22"/>
                      <w:szCs w:val="24"/>
                      <w:shd w:val="clear" w:color="auto" w:fill="FFFFFF"/>
                    </w:rPr>
                    <w:t>Pridėtinės vertės mokesčio mokėtojų, taikančių smulkiojo verslo schemą Lietuvoje, Pridėtinės vertės mokesčio deklaracijos PVM101 užpildymo ir pateikimo taisyklės (toliau – Taisyklės) nustato pridėtinės vertės mokesčio mokėtojų, taikančių smulkiojo verslo schemą Lietuvoje, Pridėtinės vertės mokesčio deklaracijos PVM101 (toliau – Deklaracija PVM101) užpildymo ir pateikimo Valstybinei mokesčių inspekcijai (toliau – VMI) tvarką.</w:t>
                  </w:r>
                </w:p>
                <w:p>
                  <w:pPr>
                    <w:rPr>
                      <w:sz w:val="14"/>
                      <w:szCs w:val="14"/>
                    </w:rPr>
                  </w:pPr>
                </w:p>
              </w:sdtContent>
            </w:sdt>
            <w:sdt>
              <w:sdtPr>
                <w:alias w:val="2 p."/>
                <w:tag w:val="part_4214bc498c5f4f198f1c5f65ca3284e1"/>
                <w:lock w:val="sdtLocked"/>
                <w:richText/>
              </w:sdtPr>
              <w:sdtContent>
                <w:p>
                  <w:pPr>
                    <w:tabs>
                      <w:tab w:val="left" w:pos="993"/>
                    </w:tabs>
                    <w:spacing w:line="259" w:lineRule="auto"/>
                    <w:ind w:firstLine="709"/>
                    <w:jc w:val="both"/>
                    <w:rPr>
                      <w:bCs/>
                      <w:color w:val="000000"/>
                      <w:sz w:val="22"/>
                      <w:szCs w:val="24"/>
                    </w:rPr>
                  </w:pPr>
                  <w:sdt>
                    <w:sdtPr>
                      <w:alias w:val="Numeris"/>
                      <w:tag w:val="nr_4214bc498c5f4f198f1c5f65ca3284e1"/>
                      <w:lock w:val="sdtLocked"/>
                      <w:richText/>
                    </w:sdtPr>
                    <w:sdtContent>
                      <w:r>
                        <w:rPr>
                          <w:bCs/>
                          <w:color w:val="000000"/>
                          <w:szCs w:val="24"/>
                        </w:rPr>
                        <w:t>2</w:t>
                      </w:r>
                    </w:sdtContent>
                  </w:sdt>
                  <w:r>
                    <w:rPr>
                      <w:bCs/>
                      <w:color w:val="000000"/>
                      <w:szCs w:val="24"/>
                    </w:rPr>
                    <w:t>.</w:t>
                    <w:tab/>
                  </w:r>
                  <w:r>
                    <w:rPr>
                      <w:color w:val="000000"/>
                      <w:sz w:val="22"/>
                      <w:szCs w:val="24"/>
                      <w:lang w:eastAsia="lt-LT"/>
                    </w:rPr>
                    <w:t>Taisyklės parengtos, vadovaujantis Lietuvos Respublikos pridėtinės vertės mokesčio įstatymo (toliau – PVM įstatymas) ir Lietuvos Respublikos mokesčių administravimo įstatymo (toliau – MA įstatymas) nuostatomis.</w:t>
                  </w:r>
                </w:p>
                <w:p>
                  <w:pPr>
                    <w:rPr>
                      <w:sz w:val="14"/>
                      <w:szCs w:val="14"/>
                    </w:rPr>
                  </w:pPr>
                </w:p>
              </w:sdtContent>
            </w:sdt>
            <w:sdt>
              <w:sdtPr>
                <w:alias w:val="3 p."/>
                <w:tag w:val="part_214debbc61a64b9c998bc9010786f939"/>
                <w:lock w:val="sdtLocked"/>
                <w:richText/>
              </w:sdtPr>
              <w:sdtContent>
                <w:p>
                  <w:pPr>
                    <w:tabs>
                      <w:tab w:val="left" w:pos="993"/>
                    </w:tabs>
                    <w:spacing w:line="259" w:lineRule="auto"/>
                    <w:ind w:firstLine="709"/>
                    <w:jc w:val="both"/>
                    <w:rPr>
                      <w:bCs/>
                      <w:color w:val="000000"/>
                      <w:sz w:val="22"/>
                      <w:szCs w:val="24"/>
                    </w:rPr>
                  </w:pPr>
                  <w:sdt>
                    <w:sdtPr>
                      <w:alias w:val="Numeris"/>
                      <w:tag w:val="nr_214debbc61a64b9c998bc9010786f939"/>
                      <w:lock w:val="sdtLocked"/>
                      <w:richText/>
                    </w:sdtPr>
                    <w:sdtContent>
                      <w:r>
                        <w:rPr>
                          <w:bCs/>
                          <w:color w:val="000000"/>
                          <w:szCs w:val="24"/>
                        </w:rPr>
                        <w:t>3</w:t>
                      </w:r>
                    </w:sdtContent>
                  </w:sdt>
                  <w:r>
                    <w:rPr>
                      <w:bCs/>
                      <w:color w:val="000000"/>
                      <w:szCs w:val="24"/>
                    </w:rPr>
                    <w:t>.</w:t>
                    <w:tab/>
                  </w:r>
                  <w:r>
                    <w:rPr>
                      <w:bCs/>
                      <w:color w:val="000000"/>
                      <w:sz w:val="22"/>
                      <w:szCs w:val="24"/>
                    </w:rPr>
                    <w:t>Taisyklėse vartojamos sąvokos:</w:t>
                  </w:r>
                </w:p>
                <w:p>
                  <w:pPr>
                    <w:rPr>
                      <w:sz w:val="14"/>
                      <w:szCs w:val="14"/>
                    </w:rPr>
                  </w:pPr>
                </w:p>
                <w:sdt>
                  <w:sdtPr>
                    <w:alias w:val="3.1 pp."/>
                    <w:tag w:val="part_691ff16f658d47b88e11a8027730282d"/>
                    <w:lock w:val="sdtLocked"/>
                    <w:richText/>
                  </w:sdtPr>
                  <w:sdtContent>
                    <w:p>
                      <w:pPr>
                        <w:tabs>
                          <w:tab w:val="left" w:pos="1134"/>
                        </w:tabs>
                        <w:spacing w:line="259" w:lineRule="auto"/>
                        <w:ind w:firstLine="709"/>
                        <w:jc w:val="both"/>
                        <w:rPr>
                          <w:bCs/>
                          <w:color w:val="000000"/>
                          <w:sz w:val="22"/>
                          <w:szCs w:val="24"/>
                        </w:rPr>
                      </w:pPr>
                      <w:sdt>
                        <w:sdtPr>
                          <w:alias w:val="Numeris"/>
                          <w:tag w:val="nr_691ff16f658d47b88e11a8027730282d"/>
                          <w:lock w:val="sdtLocked"/>
                          <w:richText/>
                        </w:sdtPr>
                        <w:sdtContent>
                          <w:r>
                            <w:rPr>
                              <w:bCs/>
                              <w:color w:val="000000"/>
                              <w:szCs w:val="24"/>
                            </w:rPr>
                            <w:t>3.1</w:t>
                          </w:r>
                        </w:sdtContent>
                      </w:sdt>
                      <w:r>
                        <w:rPr>
                          <w:bCs/>
                          <w:color w:val="000000"/>
                          <w:szCs w:val="24"/>
                        </w:rPr>
                        <w:t>.</w:t>
                        <w:tab/>
                      </w:r>
                      <w:r>
                        <w:rPr>
                          <w:b/>
                          <w:color w:val="000000"/>
                          <w:sz w:val="22"/>
                          <w:szCs w:val="24"/>
                        </w:rPr>
                        <w:t>Mokestinis laikotarpis</w:t>
                      </w:r>
                      <w:r>
                        <w:rPr>
                          <w:color w:val="000000"/>
                          <w:sz w:val="22"/>
                          <w:szCs w:val="24"/>
                        </w:rPr>
                        <w:t xml:space="preserve"> – kalendorinis mėnuo, </w:t>
                      </w:r>
                      <w:r>
                        <w:rPr>
                          <w:sz w:val="22"/>
                          <w:szCs w:val="24"/>
                          <w:lang w:eastAsia="lt-LT"/>
                        </w:rPr>
                        <w:t xml:space="preserve">kurį pridėtinės vertės mokesčio mokėtojui, taikančiam smulkiojo verslo schemą Lietuvoje, atsirado prievolė apskaičiuoti ir sumokėti pridėtinės vertės mokestį už iš kitų Europos Sąjungos valstybių narių įsigytas prekes </w:t>
                      </w:r>
                      <w:r>
                        <w:rPr>
                          <w:color w:val="000000"/>
                          <w:sz w:val="22"/>
                          <w:szCs w:val="22"/>
                        </w:rPr>
                        <w:t xml:space="preserve">ir (ar) paslaugas, kurias šalies teritorijoje teikia kitos </w:t>
                      </w:r>
                      <w:r>
                        <w:rPr>
                          <w:sz w:val="22"/>
                          <w:szCs w:val="24"/>
                          <w:lang w:eastAsia="lt-LT"/>
                        </w:rPr>
                        <w:t xml:space="preserve">Europos Sąjungos </w:t>
                      </w:r>
                      <w:r>
                        <w:rPr>
                          <w:color w:val="000000"/>
                          <w:sz w:val="22"/>
                          <w:szCs w:val="22"/>
                        </w:rPr>
                        <w:t xml:space="preserve">valstybės narės </w:t>
                      </w:r>
                      <w:r>
                        <w:rPr>
                          <w:sz w:val="22"/>
                          <w:szCs w:val="24"/>
                          <w:lang w:eastAsia="lt-LT"/>
                        </w:rPr>
                        <w:t>pridėtinės vertės mokesčio</w:t>
                      </w:r>
                      <w:r>
                        <w:rPr>
                          <w:color w:val="000000"/>
                          <w:sz w:val="22"/>
                          <w:szCs w:val="22"/>
                        </w:rPr>
                        <w:t xml:space="preserve"> mokėtojai ir už kurias šių paslaugų pirkėjai </w:t>
                      </w:r>
                      <w:r>
                        <w:rPr>
                          <w:sz w:val="22"/>
                          <w:szCs w:val="24"/>
                          <w:lang w:eastAsia="lt-LT"/>
                        </w:rPr>
                        <w:t>Lietuvos Respublikos pridėtinės vertės mokesčio įstatymo</w:t>
                      </w:r>
                      <w:r>
                        <w:rPr>
                          <w:color w:val="000000"/>
                          <w:sz w:val="22"/>
                          <w:szCs w:val="22"/>
                        </w:rPr>
                        <w:t xml:space="preserve"> 95 straipsnio 2 dalyje nustatyta tvarka privalo apskaičiuoti ir sumokėti į biudžetą </w:t>
                      </w:r>
                      <w:r>
                        <w:rPr>
                          <w:sz w:val="22"/>
                          <w:szCs w:val="24"/>
                          <w:lang w:eastAsia="lt-LT"/>
                        </w:rPr>
                        <w:t>pridėtinės vertės mokestį,</w:t>
                      </w:r>
                      <w:r>
                        <w:rPr>
                          <w:color w:val="000000"/>
                          <w:sz w:val="22"/>
                          <w:szCs w:val="22"/>
                        </w:rPr>
                        <w:t xml:space="preserve"> </w:t>
                      </w:r>
                      <w:r>
                        <w:rPr>
                          <w:sz w:val="22"/>
                          <w:szCs w:val="24"/>
                          <w:lang w:eastAsia="lt-LT"/>
                        </w:rPr>
                        <w:t xml:space="preserve">ir (ar) mokesčio mokėtojam, </w:t>
                      </w:r>
                      <w:r>
                        <w:rPr>
                          <w:color w:val="000000"/>
                          <w:sz w:val="22"/>
                          <w:szCs w:val="22"/>
                        </w:rPr>
                        <w:t xml:space="preserve">teikiančiam paslaugas, kurių teikimo vieta, remiantis paslaugų teikimo vietos nustatymo kriterijais (pagal nuostatas, iš esmės tolygias </w:t>
                      </w:r>
                      <w:r>
                        <w:rPr>
                          <w:sz w:val="22"/>
                          <w:szCs w:val="24"/>
                          <w:lang w:eastAsia="lt-LT"/>
                        </w:rPr>
                        <w:t>Lietuvos Respublikos pridėtinės vertės mokesčio įstatymo</w:t>
                      </w:r>
                      <w:r>
                        <w:rPr>
                          <w:color w:val="000000"/>
                          <w:sz w:val="22"/>
                          <w:szCs w:val="22"/>
                        </w:rPr>
                        <w:t xml:space="preserve"> 13 straipsnio 2 dalies 1 punkto nuostatoms), yra kita Europos Sąjungos valstybė narė (išskyrus paslaugas, kurios toje kitoje </w:t>
                      </w:r>
                      <w:r>
                        <w:rPr>
                          <w:sz w:val="22"/>
                          <w:szCs w:val="24"/>
                          <w:lang w:eastAsia="lt-LT"/>
                        </w:rPr>
                        <w:t>Europos Sąjungos</w:t>
                      </w:r>
                      <w:r>
                        <w:rPr>
                          <w:color w:val="000000"/>
                          <w:sz w:val="22"/>
                          <w:szCs w:val="22"/>
                        </w:rPr>
                        <w:t xml:space="preserve"> valstybėje narėje neapmokestinamos </w:t>
                      </w:r>
                      <w:r>
                        <w:rPr>
                          <w:sz w:val="22"/>
                          <w:szCs w:val="24"/>
                          <w:lang w:eastAsia="lt-LT"/>
                        </w:rPr>
                        <w:t>pridėtinės vertės mokesčiu</w:t>
                      </w:r>
                      <w:r>
                        <w:rPr>
                          <w:color w:val="000000"/>
                          <w:sz w:val="22"/>
                          <w:szCs w:val="22"/>
                        </w:rPr>
                        <w:t xml:space="preserve"> arba apmokestinamos, taikant 0 procentų </w:t>
                      </w:r>
                      <w:r>
                        <w:rPr>
                          <w:sz w:val="22"/>
                          <w:szCs w:val="24"/>
                          <w:lang w:eastAsia="lt-LT"/>
                        </w:rPr>
                        <w:t>pridėtinės vertės mokesčio</w:t>
                      </w:r>
                      <w:r>
                        <w:rPr>
                          <w:color w:val="000000"/>
                          <w:sz w:val="22"/>
                          <w:szCs w:val="22"/>
                        </w:rPr>
                        <w:t xml:space="preserve"> tarifą). </w:t>
                      </w:r>
                    </w:p>
                    <w:p>
                      <w:pPr>
                        <w:rPr>
                          <w:sz w:val="14"/>
                          <w:szCs w:val="14"/>
                        </w:rPr>
                      </w:pPr>
                    </w:p>
                  </w:sdtContent>
                </w:sdt>
                <w:sdt>
                  <w:sdtPr>
                    <w:alias w:val="3.2 pp."/>
                    <w:tag w:val="part_023c339dbf834de48a97eba6d4ad239d"/>
                    <w:lock w:val="sdtLocked"/>
                    <w:richText/>
                  </w:sdtPr>
                  <w:sdtContent>
                    <w:p>
                      <w:pPr>
                        <w:tabs>
                          <w:tab w:val="left" w:pos="1134"/>
                        </w:tabs>
                        <w:spacing w:line="259" w:lineRule="auto"/>
                        <w:ind w:firstLine="709"/>
                        <w:jc w:val="both"/>
                        <w:rPr>
                          <w:bCs/>
                          <w:color w:val="000000"/>
                          <w:sz w:val="22"/>
                          <w:szCs w:val="24"/>
                        </w:rPr>
                      </w:pPr>
                      <w:sdt>
                        <w:sdtPr>
                          <w:alias w:val="Numeris"/>
                          <w:tag w:val="nr_023c339dbf834de48a97eba6d4ad239d"/>
                          <w:lock w:val="sdtLocked"/>
                          <w:richText/>
                        </w:sdtPr>
                        <w:sdtContent>
                          <w:r>
                            <w:rPr>
                              <w:bCs/>
                              <w:color w:val="000000"/>
                              <w:szCs w:val="24"/>
                            </w:rPr>
                            <w:t>3.2</w:t>
                          </w:r>
                        </w:sdtContent>
                      </w:sdt>
                      <w:r>
                        <w:rPr>
                          <w:bCs/>
                          <w:color w:val="000000"/>
                          <w:szCs w:val="24"/>
                        </w:rPr>
                        <w:t>.</w:t>
                        <w:tab/>
                      </w:r>
                      <w:r>
                        <w:rPr>
                          <w:b/>
                          <w:color w:val="000000"/>
                          <w:sz w:val="22"/>
                          <w:szCs w:val="24"/>
                        </w:rPr>
                        <w:t>Pridėtinės vertės mokesčio mokėtojai, taikantys smulkiojo verslo schemą Lietuvoje</w:t>
                      </w:r>
                      <w:r>
                        <w:rPr>
                          <w:color w:val="000000"/>
                          <w:sz w:val="22"/>
                          <w:szCs w:val="24"/>
                        </w:rPr>
                        <w:t xml:space="preserve"> – </w:t>
                      </w:r>
                      <w:r>
                        <w:rPr>
                          <w:sz w:val="22"/>
                          <w:szCs w:val="24"/>
                          <w:lang w:eastAsia="lt-LT"/>
                        </w:rPr>
                        <w:t>pridėtinės vertės mokesčio mokėtojai, taikantys smulkiojo verslo schemą Lietuvoje, kaip jie suprantami pagal Lietuvos Respublikos pridėtinės vertės mokesčio įstatymo 71</w:t>
                      </w:r>
                      <w:r>
                        <w:rPr>
                          <w:sz w:val="22"/>
                          <w:szCs w:val="24"/>
                          <w:vertAlign w:val="superscript"/>
                          <w:lang w:eastAsia="lt-LT"/>
                        </w:rPr>
                        <w:t>1</w:t>
                      </w:r>
                      <w:r>
                        <w:rPr>
                          <w:sz w:val="22"/>
                          <w:szCs w:val="24"/>
                          <w:lang w:eastAsia="lt-LT"/>
                        </w:rPr>
                        <w:t xml:space="preserve"> straipsnio 9 dalį</w:t>
                      </w:r>
                      <w:r>
                        <w:rPr>
                          <w:color w:val="000000"/>
                          <w:sz w:val="22"/>
                          <w:szCs w:val="24"/>
                        </w:rPr>
                        <w:t>.</w:t>
                      </w:r>
                    </w:p>
                    <w:p>
                      <w:pPr>
                        <w:rPr>
                          <w:sz w:val="14"/>
                          <w:szCs w:val="14"/>
                        </w:rPr>
                      </w:pPr>
                    </w:p>
                  </w:sdtContent>
                </w:sdt>
                <w:sdt>
                  <w:sdtPr>
                    <w:alias w:val="3.3 pp."/>
                    <w:tag w:val="part_2ea44f9b052a4a0f8f5a3ee55692a6d9"/>
                    <w:lock w:val="sdtLocked"/>
                    <w:richText/>
                  </w:sdtPr>
                  <w:sdtContent>
                    <w:p>
                      <w:pPr>
                        <w:tabs>
                          <w:tab w:val="left" w:pos="1134"/>
                        </w:tabs>
                        <w:spacing w:line="259" w:lineRule="auto"/>
                        <w:ind w:firstLine="709"/>
                        <w:jc w:val="both"/>
                        <w:rPr>
                          <w:bCs/>
                          <w:color w:val="000000"/>
                          <w:sz w:val="22"/>
                          <w:szCs w:val="24"/>
                        </w:rPr>
                      </w:pPr>
                      <w:sdt>
                        <w:sdtPr>
                          <w:alias w:val="Numeris"/>
                          <w:tag w:val="nr_2ea44f9b052a4a0f8f5a3ee55692a6d9"/>
                          <w:lock w:val="sdtLocked"/>
                          <w:richText/>
                        </w:sdtPr>
                        <w:sdtContent>
                          <w:r>
                            <w:rPr>
                              <w:bCs/>
                              <w:color w:val="000000"/>
                              <w:szCs w:val="24"/>
                            </w:rPr>
                            <w:t>3.3</w:t>
                          </w:r>
                        </w:sdtContent>
                      </w:sdt>
                      <w:r>
                        <w:rPr>
                          <w:bCs/>
                          <w:color w:val="000000"/>
                          <w:szCs w:val="24"/>
                        </w:rPr>
                        <w:t>.</w:t>
                        <w:tab/>
                      </w:r>
                      <w:r>
                        <w:rPr>
                          <w:b/>
                          <w:color w:val="000000"/>
                          <w:sz w:val="22"/>
                          <w:szCs w:val="24"/>
                        </w:rPr>
                        <w:t>Smulkiojo verslo schema Lietuvoje</w:t>
                      </w:r>
                      <w:r>
                        <w:rPr>
                          <w:color w:val="000000"/>
                          <w:sz w:val="22"/>
                          <w:szCs w:val="24"/>
                          <w:shd w:val="clear" w:color="auto" w:fill="FFFFFF"/>
                        </w:rPr>
                        <w:t xml:space="preserve"> – schema, kai apmokestinamieji asmenys, kurie atitinka </w:t>
                      </w:r>
                      <w:r>
                        <w:rPr>
                          <w:sz w:val="22"/>
                          <w:szCs w:val="24"/>
                          <w:lang w:eastAsia="lt-LT"/>
                        </w:rPr>
                        <w:t>Lietuvos Respublikos pridėtinės vertės mokesčio įstatymo</w:t>
                      </w:r>
                      <w:r>
                        <w:rPr>
                          <w:color w:val="000000"/>
                          <w:sz w:val="22"/>
                          <w:szCs w:val="24"/>
                          <w:shd w:val="clear" w:color="auto" w:fill="FFFFFF"/>
                        </w:rPr>
                        <w:t xml:space="preserve"> </w:t>
                      </w:r>
                      <w:r>
                        <w:rPr>
                          <w:sz w:val="22"/>
                          <w:szCs w:val="24"/>
                          <w:lang w:eastAsia="lt-LT"/>
                        </w:rPr>
                        <w:t>71 straipsnio 2 ir 2</w:t>
                      </w:r>
                      <w:r>
                        <w:rPr>
                          <w:sz w:val="22"/>
                          <w:szCs w:val="24"/>
                          <w:vertAlign w:val="superscript"/>
                          <w:lang w:eastAsia="lt-LT"/>
                        </w:rPr>
                        <w:t xml:space="preserve">1 </w:t>
                      </w:r>
                      <w:r>
                        <w:rPr>
                          <w:sz w:val="22"/>
                          <w:szCs w:val="24"/>
                          <w:lang w:eastAsia="lt-LT"/>
                        </w:rPr>
                        <w:t xml:space="preserve">dalyse nustatytas sąlygas, gali </w:t>
                      </w:r>
                      <w:r>
                        <w:rPr>
                          <w:sz w:val="22"/>
                          <w:szCs w:val="24"/>
                        </w:rPr>
                        <w:t xml:space="preserve">už tiekiamas prekes (išskyrus į kitas valstybes nares tiekiamas naujas transporto priemones) ir (arba) teikiamas paslaugas </w:t>
                      </w:r>
                      <w:r>
                        <w:rPr>
                          <w:sz w:val="22"/>
                          <w:szCs w:val="24"/>
                          <w:lang w:eastAsia="lt-LT"/>
                        </w:rPr>
                        <w:t>Lietuvos Respublikos pridėtinės vertės mokesčio įstatymo</w:t>
                      </w:r>
                      <w:r>
                        <w:rPr>
                          <w:sz w:val="22"/>
                          <w:szCs w:val="24"/>
                        </w:rPr>
                        <w:t xml:space="preserve"> nustatyta tvarka neskaičiuoti ir nemokėti pridėtinės vertės mokesčio.</w:t>
                      </w:r>
                    </w:p>
                    <w:p>
                      <w:pPr>
                        <w:rPr>
                          <w:sz w:val="14"/>
                          <w:szCs w:val="14"/>
                        </w:rPr>
                      </w:pPr>
                    </w:p>
                  </w:sdtContent>
                </w:sdt>
                <w:sdt>
                  <w:sdtPr>
                    <w:alias w:val="3.4 pp."/>
                    <w:tag w:val="part_5aa5637aa15a4874b638ac45a78b21e6"/>
                    <w:lock w:val="sdtLocked"/>
                    <w:richText/>
                  </w:sdtPr>
                  <w:sdtContent>
                    <w:p>
                      <w:pPr>
                        <w:tabs>
                          <w:tab w:val="left" w:pos="1276"/>
                        </w:tabs>
                        <w:spacing w:line="259" w:lineRule="auto"/>
                        <w:ind w:firstLine="709"/>
                        <w:jc w:val="both"/>
                        <w:rPr>
                          <w:bCs/>
                          <w:color w:val="000000"/>
                          <w:sz w:val="22"/>
                          <w:szCs w:val="24"/>
                        </w:rPr>
                      </w:pPr>
                      <w:sdt>
                        <w:sdtPr>
                          <w:alias w:val="Numeris"/>
                          <w:tag w:val="nr_5aa5637aa15a4874b638ac45a78b21e6"/>
                          <w:lock w:val="sdtLocked"/>
                          <w:richText/>
                        </w:sdtPr>
                        <w:sdtContent>
                          <w:r>
                            <w:rPr>
                              <w:bCs/>
                              <w:color w:val="000000"/>
                              <w:szCs w:val="24"/>
                            </w:rPr>
                            <w:t>3.4</w:t>
                          </w:r>
                        </w:sdtContent>
                      </w:sdt>
                      <w:r>
                        <w:rPr>
                          <w:bCs/>
                          <w:color w:val="000000"/>
                          <w:szCs w:val="24"/>
                        </w:rPr>
                        <w:t>.</w:t>
                        <w:tab/>
                      </w:r>
                      <w:r>
                        <w:rPr>
                          <w:sz w:val="22"/>
                          <w:szCs w:val="24"/>
                        </w:rPr>
                        <w:t>Kitos Taisyklėse vartojamos sąvokos atitinka Lietuvos Respublikos pridėtinės vertės mokesčio įstatyme ir Lietuvos Respublikos mokesčių administravimo įstatyme vartojamas sąvokas.</w:t>
                      </w:r>
                    </w:p>
                    <w:p>
                      <w:pPr>
                        <w:rPr>
                          <w:sz w:val="14"/>
                          <w:szCs w:val="14"/>
                        </w:rPr>
                      </w:pPr>
                    </w:p>
                  </w:sdtContent>
                </w:sdt>
              </w:sdtContent>
            </w:sdt>
            <w:sdt>
              <w:sdtPr>
                <w:alias w:val="4 p."/>
                <w:tag w:val="part_e9c5cff2cd344cb682661a9c61c490e7"/>
                <w:lock w:val="sdtLocked"/>
                <w:richText/>
              </w:sdtPr>
              <w:sdtContent>
                <w:p>
                  <w:pPr>
                    <w:tabs>
                      <w:tab w:val="left" w:pos="851"/>
                      <w:tab w:val="left" w:pos="993"/>
                      <w:tab w:val="left" w:pos="1134"/>
                      <w:tab w:val="left" w:pos="2127"/>
                    </w:tabs>
                    <w:spacing w:line="259" w:lineRule="auto"/>
                    <w:ind w:firstLine="709"/>
                    <w:jc w:val="both"/>
                    <w:rPr>
                      <w:bCs/>
                      <w:color w:val="000000"/>
                      <w:sz w:val="22"/>
                      <w:szCs w:val="24"/>
                    </w:rPr>
                  </w:pPr>
                  <w:sdt>
                    <w:sdtPr>
                      <w:alias w:val="Numeris"/>
                      <w:tag w:val="nr_e9c5cff2cd344cb682661a9c61c490e7"/>
                      <w:lock w:val="sdtLocked"/>
                      <w:richText/>
                    </w:sdtPr>
                    <w:sdtContent>
                      <w:r>
                        <w:rPr>
                          <w:bCs/>
                          <w:color w:val="000000"/>
                          <w:szCs w:val="24"/>
                        </w:rPr>
                        <w:t>4</w:t>
                      </w:r>
                    </w:sdtContent>
                  </w:sdt>
                  <w:r>
                    <w:rPr>
                      <w:bCs/>
                      <w:color w:val="000000"/>
                      <w:szCs w:val="24"/>
                    </w:rPr>
                    <w:t>.</w:t>
                    <w:tab/>
                  </w:r>
                  <w:r>
                    <w:rPr>
                      <w:bCs/>
                      <w:color w:val="000000"/>
                      <w:sz w:val="22"/>
                      <w:szCs w:val="24"/>
                    </w:rPr>
                    <w:t>Taisyklėmis privalo vadovautis:</w:t>
                  </w:r>
                </w:p>
                <w:p>
                  <w:pPr>
                    <w:rPr>
                      <w:sz w:val="14"/>
                      <w:szCs w:val="14"/>
                    </w:rPr>
                  </w:pPr>
                </w:p>
                <w:sdt>
                  <w:sdtPr>
                    <w:alias w:val="4.1 pp."/>
                    <w:tag w:val="part_74b1c2527cf74a148097fdd40b231763"/>
                    <w:lock w:val="sdtLocked"/>
                    <w:richText/>
                  </w:sdtPr>
                  <w:sdtContent>
                    <w:p>
                      <w:pPr>
                        <w:tabs>
                          <w:tab w:val="left" w:pos="851"/>
                          <w:tab w:val="left" w:pos="1134"/>
                        </w:tabs>
                        <w:spacing w:line="259" w:lineRule="auto"/>
                        <w:ind w:firstLine="709"/>
                        <w:jc w:val="both"/>
                        <w:rPr>
                          <w:bCs/>
                          <w:color w:val="000000"/>
                          <w:sz w:val="22"/>
                          <w:szCs w:val="24"/>
                        </w:rPr>
                      </w:pPr>
                      <w:sdt>
                        <w:sdtPr>
                          <w:alias w:val="Numeris"/>
                          <w:tag w:val="nr_74b1c2527cf74a148097fdd40b231763"/>
                          <w:lock w:val="sdtLocked"/>
                          <w:richText/>
                        </w:sdtPr>
                        <w:sdtContent>
                          <w:r>
                            <w:rPr>
                              <w:bCs/>
                              <w:color w:val="000000"/>
                              <w:szCs w:val="24"/>
                            </w:rPr>
                            <w:t>4.1</w:t>
                          </w:r>
                        </w:sdtContent>
                      </w:sdt>
                      <w:r>
                        <w:rPr>
                          <w:bCs/>
                          <w:color w:val="000000"/>
                          <w:szCs w:val="24"/>
                        </w:rPr>
                        <w:t>.</w:t>
                        <w:tab/>
                      </w:r>
                      <w:r>
                        <w:rPr>
                          <w:bCs/>
                          <w:color w:val="000000"/>
                          <w:sz w:val="22"/>
                          <w:szCs w:val="24"/>
                        </w:rPr>
                        <w:t xml:space="preserve">pridėtinės vertės mokesčio </w:t>
                      </w:r>
                      <w:r>
                        <w:rPr>
                          <w:color w:val="000000"/>
                          <w:sz w:val="22"/>
                          <w:szCs w:val="24"/>
                          <w:shd w:val="clear" w:color="auto" w:fill="FFFFFF"/>
                        </w:rPr>
                        <w:t xml:space="preserve">(toliau – PVM) </w:t>
                      </w:r>
                      <w:r>
                        <w:rPr>
                          <w:bCs/>
                          <w:color w:val="000000"/>
                          <w:sz w:val="22"/>
                          <w:szCs w:val="24"/>
                        </w:rPr>
                        <w:t>mokėtojai, taikantys smulkiojo verslo schemą (toliau – SVS) Lietuvoje, kurie, vadovaudamiesi PVM įstatymo 71</w:t>
                      </w:r>
                      <w:r>
                        <w:rPr>
                          <w:bCs/>
                          <w:color w:val="000000"/>
                          <w:sz w:val="22"/>
                          <w:szCs w:val="24"/>
                          <w:vertAlign w:val="superscript"/>
                        </w:rPr>
                        <w:t>1</w:t>
                      </w:r>
                      <w:r>
                        <w:rPr>
                          <w:bCs/>
                          <w:color w:val="000000"/>
                          <w:sz w:val="22"/>
                          <w:szCs w:val="24"/>
                        </w:rPr>
                        <w:t xml:space="preserve"> straipsnio nuostatomis, </w:t>
                      </w:r>
                      <w:r>
                        <w:rPr>
                          <w:color w:val="000000"/>
                          <w:sz w:val="22"/>
                          <w:szCs w:val="22"/>
                        </w:rPr>
                        <w:t>privalo registruotis PVM mokėtojais</w:t>
                      </w:r>
                      <w:r>
                        <w:rPr>
                          <w:sz w:val="22"/>
                          <w:szCs w:val="24"/>
                          <w:lang w:eastAsia="lt-LT"/>
                        </w:rPr>
                        <w:t xml:space="preserve"> ir apskaičiuoti PVM </w:t>
                      </w:r>
                      <w:r>
                        <w:rPr>
                          <w:bCs/>
                          <w:color w:val="000000"/>
                          <w:sz w:val="22"/>
                          <w:szCs w:val="24"/>
                        </w:rPr>
                        <w:t xml:space="preserve">Deklaracijoje PVM101 </w:t>
                      </w:r>
                      <w:r>
                        <w:rPr>
                          <w:sz w:val="22"/>
                          <w:szCs w:val="24"/>
                          <w:lang w:eastAsia="lt-LT"/>
                        </w:rPr>
                        <w:t>bei jį sumokėti į biudžetą</w:t>
                      </w:r>
                      <w:r>
                        <w:rPr>
                          <w:bCs/>
                          <w:color w:val="000000"/>
                          <w:sz w:val="22"/>
                          <w:szCs w:val="24"/>
                        </w:rPr>
                        <w:t>;</w:t>
                      </w:r>
                    </w:p>
                    <w:p>
                      <w:pPr>
                        <w:rPr>
                          <w:sz w:val="14"/>
                          <w:szCs w:val="14"/>
                        </w:rPr>
                      </w:pPr>
                    </w:p>
                  </w:sdtContent>
                </w:sdt>
                <w:sdt>
                  <w:sdtPr>
                    <w:alias w:val="4.2 pp."/>
                    <w:tag w:val="part_d3ca3293fb4f490f88ecc9e6206e3deb"/>
                    <w:lock w:val="sdtLocked"/>
                    <w:richText/>
                  </w:sdtPr>
                  <w:sdtContent>
                    <w:p>
                      <w:pPr>
                        <w:tabs>
                          <w:tab w:val="left" w:pos="851"/>
                          <w:tab w:val="left" w:pos="1134"/>
                        </w:tabs>
                        <w:spacing w:line="259" w:lineRule="auto"/>
                        <w:ind w:firstLine="709"/>
                        <w:jc w:val="both"/>
                        <w:rPr>
                          <w:bCs/>
                          <w:color w:val="000000"/>
                          <w:sz w:val="22"/>
                          <w:szCs w:val="24"/>
                        </w:rPr>
                      </w:pPr>
                      <w:sdt>
                        <w:sdtPr>
                          <w:alias w:val="Numeris"/>
                          <w:tag w:val="nr_d3ca3293fb4f490f88ecc9e6206e3deb"/>
                          <w:lock w:val="sdtLocked"/>
                          <w:richText/>
                        </w:sdtPr>
                        <w:sdtContent>
                          <w:r>
                            <w:rPr>
                              <w:bCs/>
                              <w:color w:val="000000"/>
                              <w:szCs w:val="24"/>
                            </w:rPr>
                            <w:t>4.2</w:t>
                          </w:r>
                        </w:sdtContent>
                      </w:sdt>
                      <w:r>
                        <w:rPr>
                          <w:bCs/>
                          <w:color w:val="000000"/>
                          <w:szCs w:val="24"/>
                        </w:rPr>
                        <w:t>.</w:t>
                        <w:tab/>
                      </w:r>
                      <w:r>
                        <w:rPr>
                          <w:bCs/>
                          <w:color w:val="000000"/>
                          <w:sz w:val="22"/>
                          <w:szCs w:val="24"/>
                        </w:rPr>
                        <w:t>VMI valstybės tarnautojai ir (ar) darbuotojai, dirbantys pagal darbo sutartį.</w:t>
                      </w:r>
                      <w:r>
                        <w:rPr>
                          <w:rFonts w:ascii="Arial" w:hAnsi="Arial" w:cs="Arial"/>
                          <w:color w:val="000000"/>
                          <w:sz w:val="22"/>
                          <w:szCs w:val="22"/>
                          <w:shd w:val="clear" w:color="auto" w:fill="FFFFFF"/>
                        </w:rPr>
                        <w:t xml:space="preserve"> </w:t>
                      </w:r>
                    </w:p>
                    <w:p>
                      <w:pPr>
                        <w:rPr>
                          <w:sz w:val="14"/>
                          <w:szCs w:val="14"/>
                        </w:rPr>
                      </w:pPr>
                    </w:p>
                    <w:p>
                      <w:pPr>
                        <w:tabs>
                          <w:tab w:val="left" w:pos="851"/>
                          <w:tab w:val="left" w:pos="1134"/>
                        </w:tabs>
                        <w:ind w:left="709"/>
                        <w:jc w:val="both"/>
                        <w:rPr>
                          <w:bCs/>
                          <w:color w:val="000000"/>
                          <w:szCs w:val="24"/>
                        </w:rPr>
                      </w:pPr>
                    </w:p>
                  </w:sdtContent>
                </w:sdt>
              </w:sdtContent>
            </w:sdt>
          </w:sdtContent>
        </w:sdt>
        <w:sdt>
          <w:sdtPr>
            <w:alias w:val="skyrius"/>
            <w:tag w:val="part_ccbe53fbf3c34626bb076574a6f2d0c6"/>
            <w:lock w:val="sdtLocked"/>
            <w:richText/>
          </w:sdtPr>
          <w:sdtContent>
            <w:p>
              <w:pPr>
                <w:jc w:val="center"/>
                <w:rPr>
                  <w:b/>
                  <w:color w:val="000000"/>
                  <w:szCs w:val="24"/>
                </w:rPr>
              </w:pPr>
              <w:sdt>
                <w:sdtPr>
                  <w:alias w:val="Numeris"/>
                  <w:tag w:val="nr_ccbe53fbf3c34626bb076574a6f2d0c6"/>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ccbe53fbf3c34626bb076574a6f2d0c6"/>
                  <w:lock w:val="sdtLocked"/>
                  <w:richText/>
                </w:sdtPr>
                <w:sdtContent>
                  <w:r>
                    <w:rPr>
                      <w:b/>
                      <w:color w:val="000000"/>
                      <w:szCs w:val="24"/>
                    </w:rPr>
                    <w:t>DEKLARACIJOS PVM101 UŽPILDYMAS IR PATEIKIMAS</w:t>
                  </w:r>
                </w:sdtContent>
              </w:sdt>
            </w:p>
            <w:p>
              <w:pPr>
                <w:ind w:firstLine="709"/>
                <w:jc w:val="both"/>
                <w:rPr>
                  <w:b/>
                  <w:color w:val="000000"/>
                  <w:szCs w:val="24"/>
                </w:rPr>
              </w:pPr>
            </w:p>
            <w:sdt>
              <w:sdtPr>
                <w:alias w:val="5 p."/>
                <w:tag w:val="part_8b3abde15d4847dd92d3895926458760"/>
                <w:lock w:val="sdtLocked"/>
                <w:richText/>
              </w:sdtPr>
              <w:sdtContent>
                <w:p>
                  <w:pPr>
                    <w:tabs>
                      <w:tab w:val="left" w:pos="993"/>
                    </w:tabs>
                    <w:spacing w:line="259" w:lineRule="auto"/>
                    <w:ind w:firstLine="709"/>
                    <w:jc w:val="both"/>
                    <w:rPr>
                      <w:color w:val="000000"/>
                      <w:sz w:val="22"/>
                      <w:szCs w:val="24"/>
                      <w:lang w:eastAsia="lt-LT"/>
                    </w:rPr>
                  </w:pPr>
                  <w:sdt>
                    <w:sdtPr>
                      <w:alias w:val="Numeris"/>
                      <w:tag w:val="nr_8b3abde15d4847dd92d3895926458760"/>
                      <w:lock w:val="sdtLocked"/>
                      <w:richText/>
                    </w:sdtPr>
                    <w:sdtContent>
                      <w:r>
                        <w:rPr>
                          <w:color w:val="000000"/>
                          <w:szCs w:val="24"/>
                          <w:lang w:eastAsia="lt-LT"/>
                        </w:rPr>
                        <w:t>5</w:t>
                      </w:r>
                    </w:sdtContent>
                  </w:sdt>
                  <w:r>
                    <w:rPr>
                      <w:color w:val="000000"/>
                      <w:szCs w:val="24"/>
                      <w:lang w:eastAsia="lt-LT"/>
                    </w:rPr>
                    <w:t>.</w:t>
                    <w:tab/>
                  </w:r>
                  <w:r>
                    <w:rPr>
                      <w:color w:val="000000"/>
                      <w:sz w:val="22"/>
                      <w:szCs w:val="24"/>
                    </w:rPr>
                    <w:t xml:space="preserve">Deklaracija PVM101 </w:t>
                  </w:r>
                  <w:r>
                    <w:rPr>
                      <w:color w:val="000000"/>
                      <w:sz w:val="22"/>
                      <w:szCs w:val="24"/>
                      <w:lang w:eastAsia="lt-LT"/>
                    </w:rPr>
                    <w:t xml:space="preserve">užpildoma ir pateikiama tiesiogiai (realiu laiku) </w:t>
                  </w:r>
                  <w:r>
                    <w:rPr>
                      <w:color w:val="000000"/>
                      <w:sz w:val="22"/>
                      <w:szCs w:val="24"/>
                    </w:rPr>
                    <w:t xml:space="preserve">VMI interneto svetainėje adresu </w:t>
                  </w:r>
                  <w:r>
                    <w:rPr>
                      <w:sz w:val="22"/>
                      <w:szCs w:val="22"/>
                    </w:rPr>
                    <w:t>www.vmi.lt</w:t>
                  </w:r>
                  <w:r>
                    <w:rPr>
                      <w:color w:val="000000"/>
                      <w:sz w:val="22"/>
                      <w:szCs w:val="24"/>
                    </w:rPr>
                    <w:t xml:space="preserve"> per Valstybinės mokesčių inspekcijos Elektroninio deklaravimo informacinę sistemą (toliau </w:t>
                  </w:r>
                  <w:r>
                    <w:rPr>
                      <w:color w:val="000000"/>
                      <w:sz w:val="22"/>
                      <w:szCs w:val="24"/>
                      <w:shd w:val="clear" w:color="auto" w:fill="FFFFFF"/>
                    </w:rPr>
                    <w:t>–</w:t>
                  </w:r>
                  <w:r>
                    <w:rPr>
                      <w:color w:val="000000"/>
                      <w:sz w:val="22"/>
                      <w:szCs w:val="24"/>
                    </w:rPr>
                    <w:t xml:space="preserve"> EDS). </w:t>
                  </w:r>
                </w:p>
                <w:p>
                  <w:pPr>
                    <w:rPr>
                      <w:sz w:val="14"/>
                      <w:szCs w:val="14"/>
                    </w:rPr>
                  </w:pPr>
                </w:p>
              </w:sdtContent>
            </w:sdt>
            <w:sdt>
              <w:sdtPr>
                <w:alias w:val="6 p."/>
                <w:tag w:val="part_0664c010630042d79f25ed574bc00178"/>
                <w:lock w:val="sdtLocked"/>
                <w:richText/>
              </w:sdtPr>
              <w:sdtContent>
                <w:p>
                  <w:pPr>
                    <w:tabs>
                      <w:tab w:val="left" w:pos="993"/>
                      <w:tab w:val="left" w:pos="1134"/>
                    </w:tabs>
                    <w:spacing w:line="259" w:lineRule="auto"/>
                    <w:ind w:firstLine="709"/>
                    <w:jc w:val="both"/>
                    <w:rPr>
                      <w:color w:val="000000"/>
                      <w:sz w:val="22"/>
                      <w:szCs w:val="24"/>
                      <w:lang w:eastAsia="lt-LT"/>
                    </w:rPr>
                  </w:pPr>
                  <w:sdt>
                    <w:sdtPr>
                      <w:alias w:val="Numeris"/>
                      <w:tag w:val="nr_0664c010630042d79f25ed574bc00178"/>
                      <w:lock w:val="sdtLocked"/>
                      <w:richText/>
                    </w:sdtPr>
                    <w:sdtContent>
                      <w:r>
                        <w:rPr>
                          <w:color w:val="000000"/>
                          <w:szCs w:val="24"/>
                          <w:lang w:eastAsia="lt-LT"/>
                        </w:rPr>
                        <w:t>6</w:t>
                      </w:r>
                    </w:sdtContent>
                  </w:sdt>
                  <w:r>
                    <w:rPr>
                      <w:color w:val="000000"/>
                      <w:szCs w:val="24"/>
                      <w:lang w:eastAsia="lt-LT"/>
                    </w:rPr>
                    <w:t>.</w:t>
                    <w:tab/>
                  </w:r>
                  <w:r>
                    <w:rPr>
                      <w:color w:val="000000"/>
                      <w:sz w:val="22"/>
                      <w:szCs w:val="22"/>
                    </w:rPr>
                    <w:t>PVM mokėtojas, taikantis SVS Lietuvoje, Deklaraciją PVM101 turi pateikti tik už tą mokestinį laikotarpį, kurį atsirado prievolė apskaičiuoti ir sumokėti PVM ir (arba) kurį įvyko paslaugų, kurių teikimo vieta, remiantis kriterijais, nustatančiais paslaugų teikimo vietą, yra kita Europos Sąjungos (</w:t>
                  </w:r>
                  <w:r>
                    <w:rPr>
                      <w:sz w:val="22"/>
                      <w:szCs w:val="24"/>
                    </w:rPr>
                    <w:t>toliau – ES)</w:t>
                  </w:r>
                  <w:r>
                    <w:rPr>
                      <w:color w:val="000000"/>
                      <w:sz w:val="22"/>
                      <w:szCs w:val="22"/>
                    </w:rPr>
                    <w:t xml:space="preserve"> valstybė narė (pagal nuostatas, iš esmės tolygias PVM įstatymo </w:t>
                  </w:r>
                  <w:r>
                    <w:rPr>
                      <w:color w:val="000000"/>
                      <w:sz w:val="22"/>
                      <w:szCs w:val="24"/>
                    </w:rPr>
                    <w:t>13 straipsnio 2 dalies 1 punkto nuostatoms), teikimas.</w:t>
                  </w:r>
                </w:p>
                <w:p>
                  <w:pPr>
                    <w:rPr>
                      <w:sz w:val="14"/>
                      <w:szCs w:val="14"/>
                    </w:rPr>
                  </w:pPr>
                </w:p>
              </w:sdtContent>
            </w:sdt>
            <w:sdt>
              <w:sdtPr>
                <w:alias w:val="7 p."/>
                <w:tag w:val="part_81c19db1bfd7420997f78cb34a4a53de"/>
                <w:lock w:val="sdtLocked"/>
                <w:richText/>
              </w:sdtPr>
              <w:sdtContent>
                <w:p>
                  <w:pPr>
                    <w:tabs>
                      <w:tab w:val="left" w:pos="993"/>
                      <w:tab w:val="left" w:pos="1134"/>
                    </w:tabs>
                    <w:spacing w:line="259" w:lineRule="auto"/>
                    <w:ind w:firstLine="709"/>
                    <w:jc w:val="both"/>
                    <w:rPr>
                      <w:color w:val="000000"/>
                      <w:sz w:val="22"/>
                      <w:szCs w:val="24"/>
                      <w:shd w:val="clear" w:color="auto" w:fill="FFFFFF"/>
                    </w:rPr>
                  </w:pPr>
                  <w:sdt>
                    <w:sdtPr>
                      <w:alias w:val="Numeris"/>
                      <w:tag w:val="nr_81c19db1bfd7420997f78cb34a4a53de"/>
                      <w:lock w:val="sdtLocked"/>
                      <w:richText/>
                    </w:sdtPr>
                    <w:sdtContent>
                      <w:r>
                        <w:rPr>
                          <w:color w:val="000000"/>
                          <w:szCs w:val="24"/>
                        </w:rPr>
                        <w:t>7</w:t>
                      </w:r>
                    </w:sdtContent>
                  </w:sdt>
                  <w:r>
                    <w:rPr>
                      <w:color w:val="000000"/>
                      <w:szCs w:val="24"/>
                    </w:rPr>
                    <w:t>.</w:t>
                    <w:tab/>
                  </w:r>
                  <w:r>
                    <w:rPr>
                      <w:color w:val="000000"/>
                      <w:sz w:val="22"/>
                      <w:szCs w:val="24"/>
                    </w:rPr>
                    <w:t xml:space="preserve">Deklaracija PVM101 pateikiama, pasibaigus kalendoriniam mėnesiui, iki kito mėnesio 25 d. </w:t>
                  </w:r>
                </w:p>
                <w:p>
                  <w:pPr>
                    <w:rPr>
                      <w:sz w:val="14"/>
                      <w:szCs w:val="14"/>
                    </w:rPr>
                  </w:pPr>
                </w:p>
              </w:sdtContent>
            </w:sdt>
            <w:sdt>
              <w:sdtPr>
                <w:alias w:val="8 p."/>
                <w:tag w:val="part_ddf0c92a485641c6a595ae3bc01517c4"/>
                <w:lock w:val="sdtLocked"/>
                <w:richText/>
              </w:sdtPr>
              <w:sdtContent>
                <w:p>
                  <w:pPr>
                    <w:tabs>
                      <w:tab w:val="left" w:pos="993"/>
                      <w:tab w:val="left" w:pos="1134"/>
                    </w:tabs>
                    <w:spacing w:line="259" w:lineRule="auto"/>
                    <w:ind w:firstLine="709"/>
                    <w:jc w:val="both"/>
                    <w:rPr>
                      <w:color w:val="000000"/>
                      <w:sz w:val="22"/>
                      <w:szCs w:val="24"/>
                      <w:shd w:val="clear" w:color="auto" w:fill="FFFFFF"/>
                    </w:rPr>
                  </w:pPr>
                  <w:sdt>
                    <w:sdtPr>
                      <w:alias w:val="Numeris"/>
                      <w:tag w:val="nr_ddf0c92a485641c6a595ae3bc01517c4"/>
                      <w:lock w:val="sdtLocked"/>
                      <w:richText/>
                    </w:sdtPr>
                    <w:sdtContent>
                      <w:r>
                        <w:rPr>
                          <w:color w:val="000000"/>
                          <w:szCs w:val="24"/>
                        </w:rPr>
                        <w:t>8</w:t>
                      </w:r>
                    </w:sdtContent>
                  </w:sdt>
                  <w:r>
                    <w:rPr>
                      <w:color w:val="000000"/>
                      <w:szCs w:val="24"/>
                    </w:rPr>
                    <w:t>.</w:t>
                    <w:tab/>
                  </w:r>
                  <w:r>
                    <w:rPr>
                      <w:color w:val="000000"/>
                      <w:sz w:val="22"/>
                      <w:szCs w:val="24"/>
                      <w:shd w:val="clear" w:color="auto" w:fill="FFFFFF"/>
                    </w:rPr>
                    <w:t xml:space="preserve">Iš PVM mokėtojų, taikančių SVS Lietuvoje, išregistruotas mokesčių mokėtojas Deklaraciją PVM101 turi pateikti, </w:t>
                  </w:r>
                  <w:r>
                    <w:rPr>
                      <w:color w:val="000000"/>
                      <w:sz w:val="22"/>
                      <w:szCs w:val="24"/>
                    </w:rPr>
                    <w:t>pasibaigus kalendoriniam mėnesiui,</w:t>
                  </w:r>
                  <w:r>
                    <w:rPr>
                      <w:color w:val="000000"/>
                      <w:sz w:val="22"/>
                      <w:szCs w:val="24"/>
                      <w:shd w:val="clear" w:color="auto" w:fill="FFFFFF"/>
                    </w:rPr>
                    <w:t xml:space="preserve"> iki </w:t>
                  </w:r>
                  <w:r>
                    <w:rPr>
                      <w:color w:val="000000"/>
                      <w:sz w:val="22"/>
                      <w:szCs w:val="24"/>
                    </w:rPr>
                    <w:t>kito mėnesio 25 d.</w:t>
                  </w:r>
                </w:p>
                <w:p>
                  <w:pPr>
                    <w:rPr>
                      <w:sz w:val="14"/>
                      <w:szCs w:val="14"/>
                    </w:rPr>
                  </w:pPr>
                </w:p>
                <w:p>
                  <w:pPr>
                    <w:tabs>
                      <w:tab w:val="left" w:pos="993"/>
                      <w:tab w:val="left" w:pos="1134"/>
                    </w:tabs>
                    <w:ind w:firstLine="709"/>
                    <w:jc w:val="both"/>
                    <w:rPr>
                      <w:color w:val="000000"/>
                      <w:szCs w:val="24"/>
                      <w:shd w:val="clear" w:color="auto" w:fill="FFFFFF"/>
                    </w:rPr>
                  </w:pPr>
                  <w:r>
                    <w:rPr>
                      <w:color w:val="000000"/>
                      <w:szCs w:val="24"/>
                    </w:rPr>
                    <w:t xml:space="preserve">Nuo išregistravimo iš PVM mokėtojų, taikančių SVS Lietuvoje, dienos išregistruotas asmuo, PVM mokėtojas, teikia </w:t>
                  </w:r>
                  <w:r>
                    <w:rPr>
                      <w:color w:val="000000"/>
                      <w:szCs w:val="24"/>
                      <w:shd w:val="clear" w:color="auto" w:fill="FFFFFF"/>
                    </w:rPr>
                    <w:t>Pridėtinės vertės mokesčio</w:t>
                  </w:r>
                  <w:r>
                    <w:rPr>
                      <w:rFonts w:ascii="Arial" w:hAnsi="Arial" w:cs="Arial"/>
                      <w:color w:val="000000"/>
                      <w:sz w:val="22"/>
                      <w:szCs w:val="22"/>
                      <w:shd w:val="clear" w:color="auto" w:fill="FFFFFF"/>
                    </w:rPr>
                    <w:t xml:space="preserve"> </w:t>
                  </w:r>
                  <w:r>
                    <w:rPr>
                      <w:color w:val="000000"/>
                      <w:szCs w:val="24"/>
                    </w:rPr>
                    <w:t xml:space="preserve">deklaraciją, kurios forma FR0600 patvirtinta </w:t>
                  </w:r>
                  <w:r>
                    <w:rPr>
                      <w:szCs w:val="24"/>
                    </w:rPr>
                    <w:t>Valstybinės mokesčių inspekcijos prie Lietuvos Respublikos finansų ministerijos</w:t>
                  </w:r>
                  <w:r>
                    <w:rPr>
                      <w:bCs/>
                      <w:szCs w:val="24"/>
                    </w:rPr>
                    <w:t xml:space="preserve"> viršininko 2004 m. kovo 1 d. įsakymu Nr. VA-29 „</w:t>
                  </w:r>
                  <w:r>
                    <w:rPr>
                      <w:bCs/>
                      <w:color w:val="000000"/>
                      <w:szCs w:val="24"/>
                      <w:shd w:val="clear" w:color="auto" w:fill="FFFFFF"/>
                    </w:rPr>
                    <w:t>Dėl Pridėtinės vertės mokesčio deklaracijos ir kitų su šiuo mokesčiu susijusių formų bei jų užpildymo taisyklių patvirtinimo“ (toliau – Pridėtinės vertės mokesčio deklaracija (FR0600 forma)) (pvz., asmuo išregistruotas iš PVM mokėtojų, taikančių SVS Lietuvoje, nuo 2025-07-10. Už laikotarpį nuo 2025-07-01 iki 2025-07-09 jis teikia Deklaraciją PVM101, už laikotarpį nuo 2025-07-10 iki 2025-07-31 teikia Pridėtinės vertės mokesčio deklaraciją (FR0600 forma)). Jei pateikiama Pridėtinės vertės mokesčio deklaracija už ankstesnį laikotarpį, už kurį jau buvo pateikta Deklaracija PVM101 ir joje deklaruoti duomenys, kurie jau buvo įtraukti į Deklaraciją PVM101, tai turi būti pateikta patikslinta Deklaracija PVM101. Jei visi duomenys yra arba turi būti deklaruoti Pridėtinės vertės mokesčio deklaracijoje (FR0600 formoje), tai teikiama patikslinta nulinė Deklaracija PVM101.</w:t>
                  </w:r>
                </w:p>
              </w:sdtContent>
            </w:sdt>
            <w:sdt>
              <w:sdtPr>
                <w:alias w:val="9 p."/>
                <w:tag w:val="part_10f7714be524401eb8e41c9c7bf29de8"/>
                <w:lock w:val="sdtLocked"/>
                <w:richText/>
              </w:sdtPr>
              <w:sdtContent>
                <w:p>
                  <w:pPr>
                    <w:tabs>
                      <w:tab w:val="left" w:pos="993"/>
                      <w:tab w:val="left" w:pos="1134"/>
                    </w:tabs>
                    <w:spacing w:line="259" w:lineRule="auto"/>
                    <w:ind w:firstLine="709"/>
                    <w:jc w:val="both"/>
                    <w:rPr>
                      <w:color w:val="000000"/>
                      <w:sz w:val="22"/>
                      <w:szCs w:val="24"/>
                      <w:lang w:eastAsia="lt-LT"/>
                    </w:rPr>
                  </w:pPr>
                  <w:sdt>
                    <w:sdtPr>
                      <w:alias w:val="Numeris"/>
                      <w:tag w:val="nr_10f7714be524401eb8e41c9c7bf29de8"/>
                      <w:lock w:val="sdtLocked"/>
                      <w:richText/>
                    </w:sdtPr>
                    <w:sdtContent>
                      <w:r>
                        <w:rPr>
                          <w:color w:val="000000"/>
                          <w:szCs w:val="24"/>
                          <w:lang w:eastAsia="lt-LT"/>
                        </w:rPr>
                        <w:t>9</w:t>
                      </w:r>
                    </w:sdtContent>
                  </w:sdt>
                  <w:r>
                    <w:rPr>
                      <w:color w:val="000000"/>
                      <w:szCs w:val="24"/>
                      <w:lang w:eastAsia="lt-LT"/>
                    </w:rPr>
                    <w:t>.</w:t>
                    <w:tab/>
                  </w:r>
                  <w:r>
                    <w:rPr>
                      <w:color w:val="000000"/>
                      <w:sz w:val="22"/>
                      <w:szCs w:val="24"/>
                    </w:rPr>
                    <w:t xml:space="preserve">Jeigu Deklaracijoje PVM101 deklaruota mokėtina PVM suma, ji turi būti sumokėta į VMI biudžeto pajamų surenkamąsias sąskaitas iki Deklaracijos PVM101 pateikimo termino pabaigos, t. y. </w:t>
                  </w:r>
                  <w:r>
                    <w:rPr>
                      <w:sz w:val="22"/>
                      <w:szCs w:val="22"/>
                    </w:rPr>
                    <w:t>iki kito mėnesio 25 d</w:t>
                  </w:r>
                  <w:r>
                    <w:rPr>
                      <w:color w:val="000000"/>
                      <w:sz w:val="22"/>
                      <w:szCs w:val="24"/>
                    </w:rPr>
                    <w:t xml:space="preserve">. </w:t>
                  </w:r>
                </w:p>
                <w:p>
                  <w:pPr>
                    <w:rPr>
                      <w:sz w:val="14"/>
                      <w:szCs w:val="14"/>
                    </w:rPr>
                  </w:pPr>
                </w:p>
              </w:sdtContent>
            </w:sdt>
            <w:sdt>
              <w:sdtPr>
                <w:alias w:val="10 p."/>
                <w:tag w:val="part_15ca85b0852b4f89a7351e4ddefda1f4"/>
                <w:lock w:val="sdtLocked"/>
                <w:richText/>
              </w:sdtPr>
              <w:sdtContent>
                <w:p>
                  <w:pPr>
                    <w:tabs>
                      <w:tab w:val="left" w:pos="1134"/>
                    </w:tabs>
                    <w:spacing w:line="259" w:lineRule="auto"/>
                    <w:ind w:firstLine="709"/>
                    <w:jc w:val="both"/>
                    <w:rPr>
                      <w:color w:val="000000"/>
                      <w:sz w:val="22"/>
                      <w:szCs w:val="24"/>
                      <w:lang w:eastAsia="lt-LT"/>
                    </w:rPr>
                  </w:pPr>
                  <w:sdt>
                    <w:sdtPr>
                      <w:alias w:val="Numeris"/>
                      <w:tag w:val="nr_15ca85b0852b4f89a7351e4ddefda1f4"/>
                      <w:lock w:val="sdtLocked"/>
                      <w:richText/>
                    </w:sdtPr>
                    <w:sdtContent>
                      <w:r>
                        <w:rPr>
                          <w:color w:val="000000"/>
                          <w:szCs w:val="24"/>
                          <w:lang w:eastAsia="lt-LT"/>
                        </w:rPr>
                        <w:t>10</w:t>
                      </w:r>
                    </w:sdtContent>
                  </w:sdt>
                  <w:r>
                    <w:rPr>
                      <w:color w:val="000000"/>
                      <w:szCs w:val="24"/>
                      <w:lang w:eastAsia="lt-LT"/>
                    </w:rPr>
                    <w:t>.</w:t>
                    <w:tab/>
                  </w:r>
                  <w:r>
                    <w:rPr>
                      <w:color w:val="000000"/>
                      <w:sz w:val="22"/>
                      <w:szCs w:val="24"/>
                      <w:shd w:val="clear" w:color="auto" w:fill="FFFFFF"/>
                    </w:rPr>
                    <w:t xml:space="preserve">Deklaracijoje PVM101 apskaičiuota PVM prievolės suma nurodoma eurais. Ši suma apvalinama taip: </w:t>
                  </w:r>
                  <w:r>
                    <w:rPr>
                      <w:sz w:val="22"/>
                      <w:szCs w:val="24"/>
                    </w:rPr>
                    <w:t>49 ir mažiau centų apvalinami mažinant (atmetant), 50 ir daugiau centų – didinant iki euro.</w:t>
                  </w:r>
                </w:p>
                <w:p>
                  <w:pPr>
                    <w:rPr>
                      <w:sz w:val="14"/>
                      <w:szCs w:val="14"/>
                    </w:rPr>
                  </w:pPr>
                </w:p>
                <w:p>
                  <w:pPr>
                    <w:jc w:val="center"/>
                    <w:rPr>
                      <w:b/>
                      <w:color w:val="000000"/>
                      <w:szCs w:val="24"/>
                    </w:rPr>
                  </w:pPr>
                </w:p>
              </w:sdtContent>
            </w:sdt>
          </w:sdtContent>
        </w:sdt>
        <w:sdt>
          <w:sdtPr>
            <w:alias w:val="skyrius"/>
            <w:tag w:val="part_e4cb684106e840588ea46833725855ed"/>
            <w:lock w:val="sdtLocked"/>
            <w:richText/>
          </w:sdtPr>
          <w:sdtContent>
            <w:p>
              <w:pPr>
                <w:jc w:val="center"/>
                <w:rPr>
                  <w:b/>
                  <w:color w:val="000000"/>
                  <w:szCs w:val="24"/>
                </w:rPr>
              </w:pPr>
              <w:sdt>
                <w:sdtPr>
                  <w:alias w:val="Numeris"/>
                  <w:tag w:val="nr_e4cb684106e840588ea46833725855ed"/>
                  <w:lock w:val="sdtLocked"/>
                  <w:richText/>
                </w:sdtPr>
                <w:sdtContent>
                  <w:r>
                    <w:rPr>
                      <w:b/>
                      <w:color w:val="000000"/>
                      <w:szCs w:val="24"/>
                    </w:rPr>
                    <w:t>III</w:t>
                  </w:r>
                </w:sdtContent>
              </w:sdt>
              <w:r>
                <w:rPr>
                  <w:b/>
                  <w:color w:val="000000"/>
                  <w:szCs w:val="24"/>
                </w:rPr>
                <w:t xml:space="preserve"> SKYRIUS</w:t>
              </w:r>
            </w:p>
            <w:p>
              <w:pPr>
                <w:widowControl w:val="0"/>
                <w:jc w:val="center"/>
                <w:rPr>
                  <w:b/>
                  <w:bCs/>
                  <w:caps/>
                  <w:color w:val="000000"/>
                  <w:szCs w:val="24"/>
                  <w:lang w:eastAsia="lt-LT"/>
                </w:rPr>
              </w:pPr>
              <w:sdt>
                <w:sdtPr>
                  <w:alias w:val="Pavadinimas"/>
                  <w:tag w:val="title_e4cb684106e840588ea46833725855ed"/>
                  <w:lock w:val="sdtLocked"/>
                  <w:richText/>
                </w:sdtPr>
                <w:sdtContent>
                  <w:r>
                    <w:rPr>
                      <w:b/>
                      <w:bCs/>
                      <w:caps/>
                      <w:color w:val="000000"/>
                      <w:szCs w:val="24"/>
                      <w:lang w:eastAsia="lt-LT"/>
                    </w:rPr>
                    <w:t>DEKLARACIJOS PVM101 DUOMENYS</w:t>
                  </w:r>
                </w:sdtContent>
              </w:sdt>
            </w:p>
            <w:p>
              <w:pPr>
                <w:widowControl w:val="0"/>
                <w:jc w:val="center"/>
                <w:rPr>
                  <w:b/>
                  <w:bCs/>
                  <w:caps/>
                  <w:color w:val="000000"/>
                  <w:szCs w:val="24"/>
                  <w:lang w:eastAsia="lt-LT"/>
                </w:rPr>
              </w:pPr>
            </w:p>
            <w:sdt>
              <w:sdtPr>
                <w:alias w:val="11 p."/>
                <w:tag w:val="part_1cf6e852b156482e83c86a95ad7cd75a"/>
                <w:lock w:val="sdtLocked"/>
                <w:richText/>
              </w:sdtPr>
              <w:sdtContent>
                <w:p>
                  <w:pPr>
                    <w:tabs>
                      <w:tab w:val="left" w:pos="1134"/>
                    </w:tabs>
                    <w:spacing w:line="259" w:lineRule="auto"/>
                    <w:ind w:firstLine="709"/>
                    <w:jc w:val="both"/>
                    <w:rPr>
                      <w:bCs/>
                      <w:color w:val="000000"/>
                      <w:sz w:val="22"/>
                      <w:szCs w:val="24"/>
                    </w:rPr>
                  </w:pPr>
                  <w:sdt>
                    <w:sdtPr>
                      <w:alias w:val="Numeris"/>
                      <w:tag w:val="nr_1cf6e852b156482e83c86a95ad7cd75a"/>
                      <w:lock w:val="sdtLocked"/>
                      <w:richText/>
                    </w:sdtPr>
                    <w:sdtContent>
                      <w:r>
                        <w:rPr>
                          <w:bCs/>
                          <w:color w:val="000000"/>
                          <w:szCs w:val="24"/>
                        </w:rPr>
                        <w:t>11</w:t>
                      </w:r>
                    </w:sdtContent>
                  </w:sdt>
                  <w:r>
                    <w:rPr>
                      <w:bCs/>
                      <w:color w:val="000000"/>
                      <w:szCs w:val="24"/>
                    </w:rPr>
                    <w:t>.</w:t>
                    <w:tab/>
                  </w:r>
                  <w:r>
                    <w:rPr>
                      <w:sz w:val="22"/>
                      <w:szCs w:val="22"/>
                    </w:rPr>
                    <w:t>Detalūs Deklaracijos PVM101 duomenys ir jų rūšys yra nurodyti Taisyklių 1 ir 2 prieduose.</w:t>
                  </w:r>
                </w:p>
                <w:p>
                  <w:pPr>
                    <w:rPr>
                      <w:sz w:val="14"/>
                      <w:szCs w:val="14"/>
                    </w:rPr>
                  </w:pPr>
                </w:p>
              </w:sdtContent>
            </w:sdt>
            <w:sdt>
              <w:sdtPr>
                <w:alias w:val="12 p."/>
                <w:tag w:val="part_dd18997c82cb483f9803c845fc90769c"/>
                <w:lock w:val="sdtLocked"/>
                <w:richText/>
              </w:sdtPr>
              <w:sdtContent>
                <w:p>
                  <w:pPr>
                    <w:tabs>
                      <w:tab w:val="left" w:pos="1134"/>
                    </w:tabs>
                    <w:spacing w:line="259" w:lineRule="auto"/>
                    <w:ind w:firstLine="709"/>
                    <w:jc w:val="both"/>
                    <w:rPr>
                      <w:bCs/>
                      <w:color w:val="000000"/>
                      <w:sz w:val="22"/>
                      <w:szCs w:val="24"/>
                    </w:rPr>
                  </w:pPr>
                  <w:sdt>
                    <w:sdtPr>
                      <w:alias w:val="Numeris"/>
                      <w:tag w:val="nr_dd18997c82cb483f9803c845fc90769c"/>
                      <w:lock w:val="sdtLocked"/>
                      <w:richText/>
                    </w:sdtPr>
                    <w:sdtContent>
                      <w:r>
                        <w:rPr>
                          <w:bCs/>
                          <w:color w:val="000000"/>
                          <w:szCs w:val="24"/>
                        </w:rPr>
                        <w:t>12</w:t>
                      </w:r>
                    </w:sdtContent>
                  </w:sdt>
                  <w:r>
                    <w:rPr>
                      <w:bCs/>
                      <w:color w:val="000000"/>
                      <w:szCs w:val="24"/>
                    </w:rPr>
                    <w:t>.</w:t>
                    <w:tab/>
                  </w:r>
                  <w:r>
                    <w:rPr>
                      <w:bCs/>
                      <w:color w:val="000000"/>
                      <w:sz w:val="22"/>
                      <w:szCs w:val="24"/>
                    </w:rPr>
                    <w:t xml:space="preserve">Deklaracijoje PVM101 nurodomi šie duomenys: </w:t>
                  </w:r>
                </w:p>
                <w:p>
                  <w:pPr>
                    <w:rPr>
                      <w:sz w:val="14"/>
                      <w:szCs w:val="14"/>
                    </w:rPr>
                  </w:pPr>
                </w:p>
                <w:sdt>
                  <w:sdtPr>
                    <w:alias w:val="12.1 pp."/>
                    <w:tag w:val="part_74e80626eb6540eebf58829dba5df59a"/>
                    <w:lock w:val="sdtLocked"/>
                    <w:richText/>
                  </w:sdtPr>
                  <w:sdtContent>
                    <w:p>
                      <w:pPr>
                        <w:tabs>
                          <w:tab w:val="left" w:pos="1134"/>
                          <w:tab w:val="left" w:pos="1276"/>
                        </w:tabs>
                        <w:spacing w:line="259" w:lineRule="auto"/>
                        <w:ind w:firstLine="709"/>
                        <w:jc w:val="both"/>
                        <w:rPr>
                          <w:bCs/>
                          <w:color w:val="000000"/>
                          <w:sz w:val="22"/>
                          <w:szCs w:val="24"/>
                        </w:rPr>
                      </w:pPr>
                      <w:sdt>
                        <w:sdtPr>
                          <w:alias w:val="Numeris"/>
                          <w:tag w:val="nr_74e80626eb6540eebf58829dba5df59a"/>
                          <w:lock w:val="sdtLocked"/>
                          <w:richText/>
                        </w:sdtPr>
                        <w:sdtContent>
                          <w:r>
                            <w:rPr>
                              <w:bCs/>
                              <w:color w:val="000000"/>
                              <w:szCs w:val="24"/>
                            </w:rPr>
                            <w:t>12.1</w:t>
                          </w:r>
                        </w:sdtContent>
                      </w:sdt>
                      <w:r>
                        <w:rPr>
                          <w:bCs/>
                          <w:color w:val="000000"/>
                          <w:szCs w:val="24"/>
                        </w:rPr>
                        <w:t>.</w:t>
                        <w:tab/>
                      </w:r>
                      <w:r>
                        <w:rPr>
                          <w:bCs/>
                          <w:color w:val="000000"/>
                          <w:sz w:val="22"/>
                          <w:szCs w:val="24"/>
                        </w:rPr>
                        <w:t>mokesčių mokėtojo identifikacinis numeris (kodas);</w:t>
                      </w:r>
                    </w:p>
                    <w:p>
                      <w:pPr>
                        <w:rPr>
                          <w:sz w:val="14"/>
                          <w:szCs w:val="14"/>
                        </w:rPr>
                      </w:pPr>
                    </w:p>
                  </w:sdtContent>
                </w:sdt>
                <w:sdt>
                  <w:sdtPr>
                    <w:alias w:val="12.2 pp."/>
                    <w:tag w:val="part_fd84a37c21f84532b37b89b6c19c8e37"/>
                    <w:lock w:val="sdtLocked"/>
                    <w:richText/>
                  </w:sdtPr>
                  <w:sdtContent>
                    <w:p>
                      <w:pPr>
                        <w:tabs>
                          <w:tab w:val="left" w:pos="993"/>
                          <w:tab w:val="left" w:pos="1276"/>
                        </w:tabs>
                        <w:spacing w:line="259" w:lineRule="auto"/>
                        <w:ind w:firstLine="709"/>
                        <w:jc w:val="both"/>
                        <w:rPr>
                          <w:bCs/>
                          <w:color w:val="000000"/>
                          <w:sz w:val="22"/>
                          <w:szCs w:val="24"/>
                        </w:rPr>
                      </w:pPr>
                      <w:sdt>
                        <w:sdtPr>
                          <w:alias w:val="Numeris"/>
                          <w:tag w:val="nr_fd84a37c21f84532b37b89b6c19c8e37"/>
                          <w:lock w:val="sdtLocked"/>
                          <w:richText/>
                        </w:sdtPr>
                        <w:sdtContent>
                          <w:r>
                            <w:rPr>
                              <w:bCs/>
                              <w:color w:val="000000"/>
                              <w:szCs w:val="24"/>
                            </w:rPr>
                            <w:t>12.2</w:t>
                          </w:r>
                        </w:sdtContent>
                      </w:sdt>
                      <w:r>
                        <w:rPr>
                          <w:bCs/>
                          <w:color w:val="000000"/>
                          <w:szCs w:val="24"/>
                        </w:rPr>
                        <w:t>.</w:t>
                        <w:tab/>
                      </w:r>
                      <w:r>
                        <w:rPr>
                          <w:bCs/>
                          <w:color w:val="000000"/>
                          <w:sz w:val="22"/>
                          <w:szCs w:val="24"/>
                        </w:rPr>
                        <w:t>PVM mokėtojo, taikančio SVS Lietuvoje, pavadinimas</w:t>
                      </w:r>
                      <w:r>
                        <w:rPr>
                          <w:color w:val="000000"/>
                          <w:sz w:val="22"/>
                          <w:szCs w:val="24"/>
                          <w:lang w:eastAsia="lt-LT"/>
                        </w:rPr>
                        <w:t xml:space="preserve"> </w:t>
                      </w:r>
                      <w:r>
                        <w:rPr>
                          <w:bCs/>
                          <w:color w:val="000000"/>
                          <w:sz w:val="22"/>
                          <w:szCs w:val="24"/>
                        </w:rPr>
                        <w:t>(jeigu fizinis asmuo – vardas, pavardė);</w:t>
                      </w:r>
                    </w:p>
                    <w:p>
                      <w:pPr>
                        <w:rPr>
                          <w:sz w:val="14"/>
                          <w:szCs w:val="14"/>
                        </w:rPr>
                      </w:pPr>
                    </w:p>
                  </w:sdtContent>
                </w:sdt>
                <w:sdt>
                  <w:sdtPr>
                    <w:alias w:val="12.3 pp."/>
                    <w:tag w:val="part_729e0dffc07c4d7ca61257440c5b1c77"/>
                    <w:lock w:val="sdtLocked"/>
                    <w:richText/>
                  </w:sdtPr>
                  <w:sdtContent>
                    <w:p>
                      <w:pPr>
                        <w:tabs>
                          <w:tab w:val="left" w:pos="993"/>
                          <w:tab w:val="left" w:pos="1276"/>
                        </w:tabs>
                        <w:spacing w:line="259" w:lineRule="auto"/>
                        <w:ind w:firstLine="709"/>
                        <w:jc w:val="both"/>
                        <w:rPr>
                          <w:bCs/>
                          <w:color w:val="000000"/>
                          <w:sz w:val="22"/>
                          <w:szCs w:val="24"/>
                        </w:rPr>
                      </w:pPr>
                      <w:sdt>
                        <w:sdtPr>
                          <w:alias w:val="Numeris"/>
                          <w:tag w:val="nr_729e0dffc07c4d7ca61257440c5b1c77"/>
                          <w:lock w:val="sdtLocked"/>
                          <w:richText/>
                        </w:sdtPr>
                        <w:sdtContent>
                          <w:r>
                            <w:rPr>
                              <w:bCs/>
                              <w:color w:val="000000"/>
                              <w:szCs w:val="24"/>
                            </w:rPr>
                            <w:t>12.3</w:t>
                          </w:r>
                        </w:sdtContent>
                      </w:sdt>
                      <w:r>
                        <w:rPr>
                          <w:bCs/>
                          <w:color w:val="000000"/>
                          <w:szCs w:val="24"/>
                        </w:rPr>
                        <w:t>.</w:t>
                        <w:tab/>
                      </w:r>
                      <w:r>
                        <w:rPr>
                          <w:bCs/>
                          <w:color w:val="000000"/>
                          <w:sz w:val="22"/>
                          <w:szCs w:val="24"/>
                        </w:rPr>
                        <w:t>PVM mokėtojo kodas;</w:t>
                      </w:r>
                    </w:p>
                    <w:p>
                      <w:pPr>
                        <w:rPr>
                          <w:sz w:val="14"/>
                          <w:szCs w:val="14"/>
                        </w:rPr>
                      </w:pPr>
                    </w:p>
                  </w:sdtContent>
                </w:sdt>
                <w:sdt>
                  <w:sdtPr>
                    <w:alias w:val="12.4 pp."/>
                    <w:tag w:val="part_837417c25977491da976d02d66659684"/>
                    <w:lock w:val="sdtLocked"/>
                    <w:richText/>
                  </w:sdtPr>
                  <w:sdtContent>
                    <w:p>
                      <w:pPr>
                        <w:tabs>
                          <w:tab w:val="left" w:pos="993"/>
                          <w:tab w:val="left" w:pos="1276"/>
                        </w:tabs>
                        <w:spacing w:line="259" w:lineRule="auto"/>
                        <w:ind w:firstLine="709"/>
                        <w:jc w:val="both"/>
                        <w:rPr>
                          <w:bCs/>
                          <w:color w:val="000000"/>
                          <w:sz w:val="22"/>
                          <w:szCs w:val="24"/>
                        </w:rPr>
                      </w:pPr>
                      <w:sdt>
                        <w:sdtPr>
                          <w:alias w:val="Numeris"/>
                          <w:tag w:val="nr_837417c25977491da976d02d66659684"/>
                          <w:lock w:val="sdtLocked"/>
                          <w:richText/>
                        </w:sdtPr>
                        <w:sdtContent>
                          <w:r>
                            <w:rPr>
                              <w:bCs/>
                              <w:color w:val="000000"/>
                              <w:szCs w:val="24"/>
                            </w:rPr>
                            <w:t>12.4</w:t>
                          </w:r>
                        </w:sdtContent>
                      </w:sdt>
                      <w:r>
                        <w:rPr>
                          <w:bCs/>
                          <w:color w:val="000000"/>
                          <w:szCs w:val="24"/>
                        </w:rPr>
                        <w:t>.</w:t>
                        <w:tab/>
                      </w:r>
                      <w:r>
                        <w:rPr>
                          <w:bCs/>
                          <w:color w:val="000000"/>
                          <w:sz w:val="22"/>
                          <w:szCs w:val="24"/>
                        </w:rPr>
                        <w:t>mokestinis laikotarpis, kurio Deklaracija PVM101 teikiama, kuris nustatomas taip:</w:t>
                      </w:r>
                    </w:p>
                    <w:p>
                      <w:pPr>
                        <w:rPr>
                          <w:sz w:val="14"/>
                          <w:szCs w:val="14"/>
                        </w:rPr>
                      </w:pPr>
                    </w:p>
                    <w:sdt>
                      <w:sdtPr>
                        <w:alias w:val="12.4.1 pp."/>
                        <w:tag w:val="part_27f4ccf05d4d4f36af8ee469c7455de8"/>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27f4ccf05d4d4f36af8ee469c7455de8"/>
                              <w:lock w:val="sdtLocked"/>
                              <w:richText/>
                            </w:sdtPr>
                            <w:sdtContent>
                              <w:r>
                                <w:rPr>
                                  <w:bCs/>
                                  <w:color w:val="000000"/>
                                  <w:szCs w:val="24"/>
                                </w:rPr>
                                <w:t>12.4.1</w:t>
                              </w:r>
                            </w:sdtContent>
                          </w:sdt>
                          <w:r>
                            <w:rPr>
                              <w:bCs/>
                              <w:color w:val="000000"/>
                              <w:szCs w:val="24"/>
                            </w:rPr>
                            <w:t>.</w:t>
                            <w:tab/>
                          </w:r>
                          <w:r>
                            <w:rPr>
                              <w:bCs/>
                              <w:color w:val="000000"/>
                              <w:sz w:val="22"/>
                              <w:szCs w:val="24"/>
                            </w:rPr>
                            <w:t xml:space="preserve">jei Deklaraciją PVM101 teikia asmuo už mokestinį laikotarpį, kurį įregistruotas PVM mokėtoju, taikančiu SVS Lietuvoje, ne nuo kalendorinio mėnesio pradžios, tai šio asmens Deklaracijos PVM101 mokestinio laikotarpio pradžia turi sutapti su įregistravimo PVM mokėtoju, taikančiu SVS Lietuvoje, diena; </w:t>
                          </w:r>
                        </w:p>
                        <w:p>
                          <w:pPr>
                            <w:rPr>
                              <w:sz w:val="14"/>
                              <w:szCs w:val="14"/>
                            </w:rPr>
                          </w:pPr>
                        </w:p>
                      </w:sdtContent>
                    </w:sdt>
                    <w:sdt>
                      <w:sdtPr>
                        <w:alias w:val="12.4.2 pp."/>
                        <w:tag w:val="part_895722c8426a403696e5af71109cd576"/>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895722c8426a403696e5af71109cd576"/>
                              <w:lock w:val="sdtLocked"/>
                              <w:richText/>
                            </w:sdtPr>
                            <w:sdtContent>
                              <w:r>
                                <w:rPr>
                                  <w:bCs/>
                                  <w:color w:val="000000"/>
                                  <w:szCs w:val="24"/>
                                </w:rPr>
                                <w:t>12.4.2</w:t>
                              </w:r>
                            </w:sdtContent>
                          </w:sdt>
                          <w:r>
                            <w:rPr>
                              <w:bCs/>
                              <w:color w:val="000000"/>
                              <w:szCs w:val="24"/>
                            </w:rPr>
                            <w:t>.</w:t>
                            <w:tab/>
                          </w:r>
                          <w:r>
                            <w:rPr>
                              <w:bCs/>
                              <w:color w:val="000000"/>
                              <w:sz w:val="22"/>
                              <w:szCs w:val="24"/>
                            </w:rPr>
                            <w:t>jei Deklaraciją PVM101 teikia asmuo už mokestinį laikotarpį, kurį išregistruotas iš PVM mokėtojų, taikančių SVS Lietuvoje, tai šio asmens Deklaracijos PVM101 laikotarpio pabaigos data yra paskutinė diena, kurią asmuo buvo PVM mokėtoju, taikančiu SVS Lietuvoje;</w:t>
                          </w:r>
                        </w:p>
                        <w:p>
                          <w:pPr>
                            <w:rPr>
                              <w:sz w:val="14"/>
                              <w:szCs w:val="14"/>
                            </w:rPr>
                          </w:pPr>
                        </w:p>
                      </w:sdtContent>
                    </w:sdt>
                    <w:sdt>
                      <w:sdtPr>
                        <w:alias w:val="12.4.3 pp."/>
                        <w:tag w:val="part_57bbafccdc9e496fb2de8ee81c8f38ff"/>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57bbafccdc9e496fb2de8ee81c8f38ff"/>
                              <w:lock w:val="sdtLocked"/>
                              <w:richText/>
                            </w:sdtPr>
                            <w:sdtContent>
                              <w:r>
                                <w:rPr>
                                  <w:bCs/>
                                  <w:color w:val="000000"/>
                                  <w:szCs w:val="24"/>
                                </w:rPr>
                                <w:t>12.4.3</w:t>
                              </w:r>
                            </w:sdtContent>
                          </w:sdt>
                          <w:r>
                            <w:rPr>
                              <w:bCs/>
                              <w:color w:val="000000"/>
                              <w:szCs w:val="24"/>
                            </w:rPr>
                            <w:t>.</w:t>
                            <w:tab/>
                          </w:r>
                          <w:r>
                            <w:rPr>
                              <w:bCs/>
                              <w:color w:val="000000"/>
                              <w:sz w:val="22"/>
                              <w:szCs w:val="24"/>
                            </w:rPr>
                            <w:t>jei asmuo tą patį mėnesį po išregistravimo iš PVM mokėtojų, taikančių SVS Lietuvoje, pakartotinai iš naujo įregistruojamas PVM mokėtoju, taikančiu SVS Lietuvoje, tai už atitinkamas atskiras mėnesio dalis – nepertraukiamus laikotarpius, kai PVM mokėtojas taikė SVS Lietuvoje, teikia atskiras deklaracijas;</w:t>
                          </w:r>
                        </w:p>
                        <w:p>
                          <w:pPr>
                            <w:rPr>
                              <w:sz w:val="14"/>
                              <w:szCs w:val="14"/>
                            </w:rPr>
                          </w:pPr>
                        </w:p>
                      </w:sdtContent>
                    </w:sdt>
                    <w:sdt>
                      <w:sdtPr>
                        <w:alias w:val="12.4.4 pp."/>
                        <w:tag w:val="part_6b1dc846f1f44753abd36361178aadfc"/>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6b1dc846f1f44753abd36361178aadfc"/>
                              <w:lock w:val="sdtLocked"/>
                              <w:richText/>
                            </w:sdtPr>
                            <w:sdtContent>
                              <w:r>
                                <w:rPr>
                                  <w:bCs/>
                                  <w:color w:val="000000"/>
                                  <w:szCs w:val="24"/>
                                </w:rPr>
                                <w:t>12.4.4</w:t>
                              </w:r>
                            </w:sdtContent>
                          </w:sdt>
                          <w:r>
                            <w:rPr>
                              <w:bCs/>
                              <w:color w:val="000000"/>
                              <w:szCs w:val="24"/>
                            </w:rPr>
                            <w:t>.</w:t>
                            <w:tab/>
                          </w:r>
                          <w:r>
                            <w:rPr>
                              <w:bCs/>
                              <w:color w:val="000000"/>
                              <w:sz w:val="22"/>
                              <w:szCs w:val="24"/>
                            </w:rPr>
                            <w:t>jei Deklaraciją PVM101 teikia asmuo, kuris visą kalendorinį mėnesį įregistruotas PVM mokėtoju, taikančiu SVS Lietuvoje, tai šio asmens Deklaracijos PVM101 mokestinio laikotarpio pradžia yra pirmoji tokio mėnesio diena, o mokestinio laikotarpio pabaiga yra paskutinė to paties mėnesio diena;</w:t>
                          </w:r>
                        </w:p>
                        <w:p>
                          <w:pPr>
                            <w:rPr>
                              <w:sz w:val="14"/>
                              <w:szCs w:val="14"/>
                            </w:rPr>
                          </w:pPr>
                        </w:p>
                      </w:sdtContent>
                    </w:sdt>
                  </w:sdtContent>
                </w:sdt>
                <w:sdt>
                  <w:sdtPr>
                    <w:alias w:val="12.5 pp."/>
                    <w:tag w:val="part_66928c8ec82a419cb22432c27d1603ff"/>
                    <w:lock w:val="sdtLocked"/>
                    <w:richText/>
                  </w:sdtPr>
                  <w:sdtContent>
                    <w:p>
                      <w:pPr>
                        <w:tabs>
                          <w:tab w:val="left" w:pos="993"/>
                          <w:tab w:val="left" w:pos="1276"/>
                        </w:tabs>
                        <w:spacing w:line="259" w:lineRule="auto"/>
                        <w:ind w:firstLine="709"/>
                        <w:jc w:val="both"/>
                        <w:rPr>
                          <w:bCs/>
                          <w:color w:val="000000"/>
                          <w:sz w:val="22"/>
                          <w:szCs w:val="24"/>
                        </w:rPr>
                      </w:pPr>
                      <w:sdt>
                        <w:sdtPr>
                          <w:alias w:val="Numeris"/>
                          <w:tag w:val="nr_66928c8ec82a419cb22432c27d1603ff"/>
                          <w:lock w:val="sdtLocked"/>
                          <w:richText/>
                        </w:sdtPr>
                        <w:sdtContent>
                          <w:r>
                            <w:rPr>
                              <w:bCs/>
                              <w:color w:val="000000"/>
                              <w:szCs w:val="24"/>
                            </w:rPr>
                            <w:t>12.5</w:t>
                          </w:r>
                        </w:sdtContent>
                      </w:sdt>
                      <w:r>
                        <w:rPr>
                          <w:bCs/>
                          <w:color w:val="000000"/>
                          <w:szCs w:val="24"/>
                        </w:rPr>
                        <w:t>.</w:t>
                        <w:tab/>
                      </w:r>
                      <w:r>
                        <w:rPr>
                          <w:bCs/>
                          <w:color w:val="000000"/>
                          <w:sz w:val="22"/>
                          <w:szCs w:val="24"/>
                        </w:rPr>
                        <w:t>pasirenkama deklaruojamų duomenų rūšis:</w:t>
                      </w:r>
                    </w:p>
                    <w:p>
                      <w:pPr>
                        <w:rPr>
                          <w:sz w:val="14"/>
                          <w:szCs w:val="14"/>
                        </w:rPr>
                      </w:pPr>
                    </w:p>
                    <w:sdt>
                      <w:sdtPr>
                        <w:alias w:val="12.5.1 pp."/>
                        <w:tag w:val="part_1d18bc3170b5462ba8b980762740a861"/>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1d18bc3170b5462ba8b980762740a861"/>
                              <w:lock w:val="sdtLocked"/>
                              <w:richText/>
                            </w:sdtPr>
                            <w:sdtContent>
                              <w:r>
                                <w:rPr>
                                  <w:bCs/>
                                  <w:color w:val="000000"/>
                                  <w:szCs w:val="24"/>
                                </w:rPr>
                                <w:t>12.5.1</w:t>
                              </w:r>
                            </w:sdtContent>
                          </w:sdt>
                          <w:r>
                            <w:rPr>
                              <w:bCs/>
                              <w:color w:val="000000"/>
                              <w:szCs w:val="24"/>
                            </w:rPr>
                            <w:t>.</w:t>
                            <w:tab/>
                          </w:r>
                          <w:r>
                            <w:rPr>
                              <w:bCs/>
                              <w:color w:val="000000"/>
                              <w:sz w:val="22"/>
                              <w:szCs w:val="24"/>
                            </w:rPr>
                            <w:t>iš kitų ES valstybių narių įsigytų prekių apmokestinamoji vertė;</w:t>
                          </w:r>
                        </w:p>
                        <w:p>
                          <w:pPr>
                            <w:rPr>
                              <w:sz w:val="14"/>
                              <w:szCs w:val="14"/>
                            </w:rPr>
                          </w:pPr>
                        </w:p>
                      </w:sdtContent>
                    </w:sdt>
                    <w:sdt>
                      <w:sdtPr>
                        <w:alias w:val="12.5.2 pp."/>
                        <w:tag w:val="part_6b6a18a92af54d32af5bca819d8bc3e9"/>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6b6a18a92af54d32af5bca819d8bc3e9"/>
                              <w:lock w:val="sdtLocked"/>
                              <w:richText/>
                            </w:sdtPr>
                            <w:sdtContent>
                              <w:r>
                                <w:rPr>
                                  <w:bCs/>
                                  <w:color w:val="000000"/>
                                  <w:szCs w:val="24"/>
                                </w:rPr>
                                <w:t>12.5.2</w:t>
                              </w:r>
                            </w:sdtContent>
                          </w:sdt>
                          <w:r>
                            <w:rPr>
                              <w:bCs/>
                              <w:color w:val="000000"/>
                              <w:szCs w:val="24"/>
                            </w:rPr>
                            <w:t>.</w:t>
                            <w:tab/>
                          </w:r>
                          <w:r>
                            <w:rPr>
                              <w:bCs/>
                              <w:color w:val="000000"/>
                              <w:sz w:val="22"/>
                              <w:szCs w:val="24"/>
                            </w:rPr>
                            <w:t>iš kitų ES valstybių narių įsigytų paslaugų apmokestinamoji vertė;</w:t>
                          </w:r>
                        </w:p>
                        <w:p>
                          <w:pPr>
                            <w:rPr>
                              <w:sz w:val="14"/>
                              <w:szCs w:val="14"/>
                            </w:rPr>
                          </w:pPr>
                        </w:p>
                      </w:sdtContent>
                    </w:sdt>
                    <w:sdt>
                      <w:sdtPr>
                        <w:alias w:val="12.5.3 pp."/>
                        <w:tag w:val="part_2b4c04529a484745a46bf00055a14a9c"/>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2b4c04529a484745a46bf00055a14a9c"/>
                              <w:lock w:val="sdtLocked"/>
                              <w:richText/>
                            </w:sdtPr>
                            <w:sdtContent>
                              <w:r>
                                <w:rPr>
                                  <w:bCs/>
                                  <w:color w:val="000000"/>
                                  <w:szCs w:val="24"/>
                                </w:rPr>
                                <w:t>12.5.3</w:t>
                              </w:r>
                            </w:sdtContent>
                          </w:sdt>
                          <w:r>
                            <w:rPr>
                              <w:bCs/>
                              <w:color w:val="000000"/>
                              <w:szCs w:val="24"/>
                            </w:rPr>
                            <w:t>.</w:t>
                            <w:tab/>
                          </w:r>
                          <w:r>
                            <w:rPr>
                              <w:bCs/>
                              <w:color w:val="000000"/>
                              <w:sz w:val="22"/>
                              <w:szCs w:val="24"/>
                            </w:rPr>
                            <w:t>iš ne ES valstybių narių įsigytų paslaugų apmokestinamoji vertė;</w:t>
                          </w:r>
                        </w:p>
                        <w:p>
                          <w:pPr>
                            <w:rPr>
                              <w:sz w:val="14"/>
                              <w:szCs w:val="14"/>
                            </w:rPr>
                          </w:pPr>
                        </w:p>
                      </w:sdtContent>
                    </w:sdt>
                    <w:sdt>
                      <w:sdtPr>
                        <w:alias w:val="12.5.4 pp."/>
                        <w:tag w:val="part_45ab05da605649d2b002a55ff1027b61"/>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45ab05da605649d2b002a55ff1027b61"/>
                              <w:lock w:val="sdtLocked"/>
                              <w:richText/>
                            </w:sdtPr>
                            <w:sdtContent>
                              <w:r>
                                <w:rPr>
                                  <w:bCs/>
                                  <w:color w:val="000000"/>
                                  <w:szCs w:val="24"/>
                                </w:rPr>
                                <w:t>12.5.4</w:t>
                              </w:r>
                            </w:sdtContent>
                          </w:sdt>
                          <w:r>
                            <w:rPr>
                              <w:bCs/>
                              <w:color w:val="000000"/>
                              <w:szCs w:val="24"/>
                            </w:rPr>
                            <w:t>.</w:t>
                            <w:tab/>
                          </w:r>
                          <w:r>
                            <w:rPr>
                              <w:bCs/>
                              <w:color w:val="000000"/>
                              <w:sz w:val="22"/>
                              <w:szCs w:val="24"/>
                            </w:rPr>
                            <w:t>PVM įstatymo 95 straipsnio 3, 4 ir 5 dalyse nurodytais atvejais įsigytų prekių ir (arba) paslaugų apmokestinamoji vertė;</w:t>
                          </w:r>
                        </w:p>
                        <w:p>
                          <w:pPr>
                            <w:rPr>
                              <w:sz w:val="14"/>
                              <w:szCs w:val="14"/>
                            </w:rPr>
                          </w:pPr>
                        </w:p>
                      </w:sdtContent>
                    </w:sdt>
                    <w:sdt>
                      <w:sdtPr>
                        <w:alias w:val="12.5.5 pp."/>
                        <w:tag w:val="part_0e4ec818b89a4e66a9b0e9f3e19d397c"/>
                        <w:lock w:val="sdtLocked"/>
                        <w:richText/>
                      </w:sdtPr>
                      <w:sdtContent>
                        <w:p>
                          <w:pPr>
                            <w:tabs>
                              <w:tab w:val="left" w:pos="993"/>
                              <w:tab w:val="left" w:pos="1276"/>
                              <w:tab w:val="left" w:pos="1418"/>
                            </w:tabs>
                            <w:spacing w:line="259" w:lineRule="auto"/>
                            <w:ind w:firstLine="709"/>
                            <w:jc w:val="both"/>
                            <w:rPr>
                              <w:bCs/>
                              <w:color w:val="000000"/>
                              <w:sz w:val="22"/>
                              <w:szCs w:val="24"/>
                            </w:rPr>
                          </w:pPr>
                          <w:sdt>
                            <w:sdtPr>
                              <w:alias w:val="Numeris"/>
                              <w:tag w:val="nr_0e4ec818b89a4e66a9b0e9f3e19d397c"/>
                              <w:lock w:val="sdtLocked"/>
                              <w:richText/>
                            </w:sdtPr>
                            <w:sdtContent>
                              <w:r>
                                <w:rPr>
                                  <w:bCs/>
                                  <w:color w:val="000000"/>
                                  <w:szCs w:val="24"/>
                                </w:rPr>
                                <w:t>12.5.5</w:t>
                              </w:r>
                            </w:sdtContent>
                          </w:sdt>
                          <w:r>
                            <w:rPr>
                              <w:bCs/>
                              <w:color w:val="000000"/>
                              <w:szCs w:val="24"/>
                            </w:rPr>
                            <w:t>.</w:t>
                            <w:tab/>
                          </w:r>
                          <w:r>
                            <w:rPr>
                              <w:bCs/>
                              <w:color w:val="000000"/>
                              <w:sz w:val="22"/>
                              <w:szCs w:val="24"/>
                            </w:rPr>
                            <w:t>paslaugų, kurios laikomos suteiktomis kitose ES valstybėse narėse, apmokestinamoji vertė;</w:t>
                          </w:r>
                        </w:p>
                        <w:p>
                          <w:pPr>
                            <w:rPr>
                              <w:sz w:val="14"/>
                              <w:szCs w:val="14"/>
                            </w:rPr>
                          </w:pPr>
                        </w:p>
                      </w:sdtContent>
                    </w:sdt>
                  </w:sdtContent>
                </w:sdt>
                <w:sdt>
                  <w:sdtPr>
                    <w:alias w:val="12.6 pp."/>
                    <w:tag w:val="part_2e3d1e6f839645de9939b2d89f010c14"/>
                    <w:lock w:val="sdtLocked"/>
                    <w:richText/>
                  </w:sdtPr>
                  <w:sdtContent>
                    <w:p>
                      <w:pPr>
                        <w:tabs>
                          <w:tab w:val="left" w:pos="993"/>
                          <w:tab w:val="left" w:pos="1276"/>
                        </w:tabs>
                        <w:spacing w:line="259" w:lineRule="auto"/>
                        <w:ind w:firstLine="709"/>
                        <w:jc w:val="both"/>
                        <w:rPr>
                          <w:bCs/>
                          <w:color w:val="000000"/>
                          <w:sz w:val="22"/>
                          <w:szCs w:val="24"/>
                        </w:rPr>
                      </w:pPr>
                      <w:sdt>
                        <w:sdtPr>
                          <w:alias w:val="Numeris"/>
                          <w:tag w:val="nr_2e3d1e6f839645de9939b2d89f010c14"/>
                          <w:lock w:val="sdtLocked"/>
                          <w:richText/>
                        </w:sdtPr>
                        <w:sdtContent>
                          <w:r>
                            <w:rPr>
                              <w:bCs/>
                              <w:color w:val="000000"/>
                              <w:szCs w:val="24"/>
                            </w:rPr>
                            <w:t>12.6</w:t>
                          </w:r>
                        </w:sdtContent>
                      </w:sdt>
                      <w:r>
                        <w:rPr>
                          <w:bCs/>
                          <w:color w:val="000000"/>
                          <w:szCs w:val="24"/>
                        </w:rPr>
                        <w:t>.</w:t>
                        <w:tab/>
                      </w:r>
                      <w:r>
                        <w:rPr>
                          <w:bCs/>
                          <w:color w:val="000000"/>
                          <w:sz w:val="22"/>
                          <w:szCs w:val="24"/>
                        </w:rPr>
                        <w:t>prie pasirinktos duomenų rūšies nurodomas PVM tarifas, tik Taisyklių 12.5.1–12.5.4 papunkčiuose nurodytas atvejais;</w:t>
                      </w:r>
                    </w:p>
                    <w:p>
                      <w:pPr>
                        <w:rPr>
                          <w:sz w:val="14"/>
                          <w:szCs w:val="14"/>
                        </w:rPr>
                      </w:pPr>
                    </w:p>
                  </w:sdtContent>
                </w:sdt>
                <w:sdt>
                  <w:sdtPr>
                    <w:alias w:val="12.7 pp."/>
                    <w:tag w:val="part_4003b673a2eb46ba92ae27fe56f7245c"/>
                    <w:lock w:val="sdtLocked"/>
                    <w:richText/>
                  </w:sdtPr>
                  <w:sdtContent>
                    <w:p>
                      <w:pPr>
                        <w:tabs>
                          <w:tab w:val="left" w:pos="993"/>
                          <w:tab w:val="left" w:pos="1276"/>
                        </w:tabs>
                        <w:spacing w:line="259" w:lineRule="auto"/>
                        <w:ind w:firstLine="709"/>
                        <w:jc w:val="both"/>
                        <w:rPr>
                          <w:bCs/>
                          <w:color w:val="000000"/>
                          <w:sz w:val="22"/>
                          <w:szCs w:val="24"/>
                        </w:rPr>
                      </w:pPr>
                      <w:sdt>
                        <w:sdtPr>
                          <w:alias w:val="Numeris"/>
                          <w:tag w:val="nr_4003b673a2eb46ba92ae27fe56f7245c"/>
                          <w:lock w:val="sdtLocked"/>
                          <w:richText/>
                        </w:sdtPr>
                        <w:sdtContent>
                          <w:r>
                            <w:rPr>
                              <w:bCs/>
                              <w:color w:val="000000"/>
                              <w:szCs w:val="24"/>
                            </w:rPr>
                            <w:t>12.7</w:t>
                          </w:r>
                        </w:sdtContent>
                      </w:sdt>
                      <w:r>
                        <w:rPr>
                          <w:bCs/>
                          <w:color w:val="000000"/>
                          <w:szCs w:val="24"/>
                        </w:rPr>
                        <w:t>.</w:t>
                        <w:tab/>
                      </w:r>
                      <w:r>
                        <w:rPr>
                          <w:bCs/>
                          <w:color w:val="000000"/>
                          <w:sz w:val="22"/>
                          <w:szCs w:val="24"/>
                        </w:rPr>
                        <w:t>Taisyklių 12.5.1–12.5.4 papunkčiuose deklaruojamos duomenų rūšies apmokestinamoji vertė;</w:t>
                      </w:r>
                    </w:p>
                    <w:p>
                      <w:pPr>
                        <w:rPr>
                          <w:sz w:val="14"/>
                          <w:szCs w:val="14"/>
                        </w:rPr>
                      </w:pPr>
                    </w:p>
                  </w:sdtContent>
                </w:sdt>
                <w:sdt>
                  <w:sdtPr>
                    <w:alias w:val="12.8 pp."/>
                    <w:tag w:val="part_90706a8a6c804d9198ae56c04f582a2d"/>
                    <w:lock w:val="sdtLocked"/>
                    <w:richText/>
                  </w:sdtPr>
                  <w:sdtContent>
                    <w:p>
                      <w:pPr>
                        <w:tabs>
                          <w:tab w:val="left" w:pos="993"/>
                          <w:tab w:val="left" w:pos="1276"/>
                        </w:tabs>
                        <w:spacing w:line="259" w:lineRule="auto"/>
                        <w:ind w:firstLine="709"/>
                        <w:jc w:val="both"/>
                        <w:rPr>
                          <w:bCs/>
                          <w:color w:val="000000"/>
                          <w:sz w:val="22"/>
                          <w:szCs w:val="24"/>
                        </w:rPr>
                      </w:pPr>
                      <w:sdt>
                        <w:sdtPr>
                          <w:alias w:val="Numeris"/>
                          <w:tag w:val="nr_90706a8a6c804d9198ae56c04f582a2d"/>
                          <w:lock w:val="sdtLocked"/>
                          <w:richText/>
                        </w:sdtPr>
                        <w:sdtContent>
                          <w:r>
                            <w:rPr>
                              <w:bCs/>
                              <w:color w:val="000000"/>
                              <w:szCs w:val="24"/>
                            </w:rPr>
                            <w:t>12.8</w:t>
                          </w:r>
                        </w:sdtContent>
                      </w:sdt>
                      <w:r>
                        <w:rPr>
                          <w:bCs/>
                          <w:color w:val="000000"/>
                          <w:szCs w:val="24"/>
                        </w:rPr>
                        <w:t>.</w:t>
                        <w:tab/>
                      </w:r>
                      <w:r>
                        <w:rPr>
                          <w:bCs/>
                          <w:color w:val="000000"/>
                          <w:sz w:val="22"/>
                          <w:szCs w:val="24"/>
                        </w:rPr>
                        <w:t>apskaičiuojama PVM prievolės suma.</w:t>
                      </w:r>
                    </w:p>
                    <w:p>
                      <w:pPr>
                        <w:rPr>
                          <w:sz w:val="14"/>
                          <w:szCs w:val="14"/>
                        </w:rPr>
                      </w:pPr>
                    </w:p>
                  </w:sdtContent>
                </w:sdt>
              </w:sdtContent>
            </w:sdt>
            <w:sdt>
              <w:sdtPr>
                <w:alias w:val="13 p."/>
                <w:tag w:val="part_55cebec161364795be0817bad152c9ce"/>
                <w:lock w:val="sdtLocked"/>
                <w:richText/>
              </w:sdtPr>
              <w:sdtContent>
                <w:p>
                  <w:pPr>
                    <w:tabs>
                      <w:tab w:val="left" w:pos="1134"/>
                    </w:tabs>
                    <w:spacing w:line="259" w:lineRule="auto"/>
                    <w:ind w:firstLine="709"/>
                    <w:jc w:val="both"/>
                    <w:rPr>
                      <w:bCs/>
                      <w:color w:val="000000"/>
                      <w:sz w:val="22"/>
                      <w:szCs w:val="24"/>
                    </w:rPr>
                  </w:pPr>
                  <w:sdt>
                    <w:sdtPr>
                      <w:alias w:val="Numeris"/>
                      <w:tag w:val="nr_55cebec161364795be0817bad152c9ce"/>
                      <w:lock w:val="sdtLocked"/>
                      <w:richText/>
                    </w:sdtPr>
                    <w:sdtContent>
                      <w:r>
                        <w:rPr>
                          <w:bCs/>
                          <w:color w:val="000000"/>
                          <w:szCs w:val="24"/>
                        </w:rPr>
                        <w:t>13</w:t>
                      </w:r>
                    </w:sdtContent>
                  </w:sdt>
                  <w:r>
                    <w:rPr>
                      <w:bCs/>
                      <w:color w:val="000000"/>
                      <w:szCs w:val="24"/>
                    </w:rPr>
                    <w:t>.</w:t>
                    <w:tab/>
                  </w:r>
                  <w:r>
                    <w:rPr>
                      <w:bCs/>
                      <w:color w:val="000000"/>
                      <w:sz w:val="22"/>
                      <w:szCs w:val="24"/>
                    </w:rPr>
                    <w:t>Taisyklių 12.5.1–12.5.4 papunkčiuose nurodytos duomenų rūšys, kurios apmokestinamos, taikant skirtingą PVM tarifą, privalo būti deklaruojamos atskirose eilutėse.</w:t>
                  </w:r>
                </w:p>
                <w:p>
                  <w:pPr>
                    <w:rPr>
                      <w:sz w:val="14"/>
                      <w:szCs w:val="14"/>
                    </w:rPr>
                  </w:pPr>
                </w:p>
              </w:sdtContent>
            </w:sdt>
            <w:sdt>
              <w:sdtPr>
                <w:alias w:val="14 p."/>
                <w:tag w:val="part_4da25c0850254ec2af18448e91df3c16"/>
                <w:lock w:val="sdtLocked"/>
                <w:richText/>
              </w:sdtPr>
              <w:sdtContent>
                <w:p>
                  <w:pPr>
                    <w:tabs>
                      <w:tab w:val="left" w:pos="1134"/>
                    </w:tabs>
                    <w:spacing w:line="259" w:lineRule="auto"/>
                    <w:ind w:firstLine="709"/>
                    <w:jc w:val="both"/>
                    <w:rPr>
                      <w:bCs/>
                      <w:color w:val="000000"/>
                      <w:sz w:val="22"/>
                      <w:szCs w:val="24"/>
                    </w:rPr>
                  </w:pPr>
                  <w:sdt>
                    <w:sdtPr>
                      <w:alias w:val="Numeris"/>
                      <w:tag w:val="nr_4da25c0850254ec2af18448e91df3c16"/>
                      <w:lock w:val="sdtLocked"/>
                      <w:richText/>
                    </w:sdtPr>
                    <w:sdtContent>
                      <w:r>
                        <w:rPr>
                          <w:bCs/>
                          <w:color w:val="000000"/>
                          <w:szCs w:val="24"/>
                        </w:rPr>
                        <w:t>14</w:t>
                      </w:r>
                    </w:sdtContent>
                  </w:sdt>
                  <w:r>
                    <w:rPr>
                      <w:bCs/>
                      <w:color w:val="000000"/>
                      <w:szCs w:val="24"/>
                    </w:rPr>
                    <w:t>.</w:t>
                    <w:tab/>
                  </w:r>
                  <w:r>
                    <w:rPr>
                      <w:bCs/>
                      <w:color w:val="000000"/>
                      <w:sz w:val="22"/>
                      <w:szCs w:val="24"/>
                    </w:rPr>
                    <w:t xml:space="preserve"> Mokesčių mokėtojas, gavęs VMI pranešimą (priminimą) apie nepateiktą Deklaraciją PVM101, privalo per pranešime nustatytą terminą Taisyklėse nustatyta tvarka užpildyti ir pateikti atitinkamo mokestinio laikotarpio Deklaraciją PVM101.</w:t>
                  </w:r>
                </w:p>
                <w:p>
                  <w:pPr>
                    <w:rPr>
                      <w:sz w:val="14"/>
                      <w:szCs w:val="14"/>
                    </w:rPr>
                  </w:pPr>
                </w:p>
                <w:p>
                  <w:pPr>
                    <w:tabs>
                      <w:tab w:val="left" w:pos="1134"/>
                      <w:tab w:val="left" w:pos="1560"/>
                    </w:tabs>
                    <w:ind w:left="709"/>
                    <w:jc w:val="both"/>
                    <w:rPr>
                      <w:bCs/>
                      <w:color w:val="000000"/>
                      <w:szCs w:val="24"/>
                    </w:rPr>
                  </w:pPr>
                </w:p>
              </w:sdtContent>
            </w:sdt>
          </w:sdtContent>
        </w:sdt>
        <w:sdt>
          <w:sdtPr>
            <w:alias w:val="skyrius"/>
            <w:tag w:val="part_078f462b9c4a4c559936288c6b526c5a"/>
            <w:lock w:val="sdtLocked"/>
            <w:richText/>
          </w:sdtPr>
          <w:sdtContent>
            <w:p>
              <w:pPr>
                <w:jc w:val="center"/>
                <w:rPr>
                  <w:b/>
                  <w:color w:val="000000"/>
                  <w:szCs w:val="24"/>
                </w:rPr>
              </w:pPr>
              <w:sdt>
                <w:sdtPr>
                  <w:alias w:val="Numeris"/>
                  <w:tag w:val="nr_078f462b9c4a4c559936288c6b526c5a"/>
                  <w:lock w:val="sdtLocked"/>
                  <w:richText/>
                </w:sdtPr>
                <w:sdtContent>
                  <w:r>
                    <w:rPr>
                      <w:b/>
                      <w:color w:val="000000"/>
                      <w:szCs w:val="24"/>
                    </w:rPr>
                    <w:t>IV</w:t>
                  </w:r>
                </w:sdtContent>
              </w:sdt>
              <w:r>
                <w:rPr>
                  <w:b/>
                  <w:color w:val="000000"/>
                  <w:szCs w:val="24"/>
                </w:rPr>
                <w:t xml:space="preserve"> SKYRIUS</w:t>
              </w:r>
            </w:p>
            <w:p>
              <w:pPr>
                <w:widowControl w:val="0"/>
                <w:suppressAutoHyphens/>
                <w:jc w:val="center"/>
                <w:rPr>
                  <w:b/>
                  <w:bCs/>
                  <w:caps/>
                  <w:color w:val="000000"/>
                  <w:szCs w:val="24"/>
                </w:rPr>
              </w:pPr>
              <w:sdt>
                <w:sdtPr>
                  <w:alias w:val="Pavadinimas"/>
                  <w:tag w:val="title_078f462b9c4a4c559936288c6b526c5a"/>
                  <w:lock w:val="sdtLocked"/>
                  <w:richText/>
                </w:sdtPr>
                <w:sdtContent>
                  <w:r>
                    <w:rPr>
                      <w:b/>
                      <w:bCs/>
                      <w:caps/>
                      <w:color w:val="000000"/>
                      <w:szCs w:val="24"/>
                    </w:rPr>
                    <w:t>DEKLARACIJOS PVM101 TIKSLINIMAS</w:t>
                  </w:r>
                </w:sdtContent>
              </w:sdt>
            </w:p>
            <w:p>
              <w:pPr>
                <w:widowControl w:val="0"/>
                <w:suppressAutoHyphens/>
                <w:jc w:val="both"/>
                <w:rPr>
                  <w:b/>
                  <w:bCs/>
                  <w:caps/>
                  <w:color w:val="000000"/>
                  <w:szCs w:val="24"/>
                </w:rPr>
              </w:pPr>
            </w:p>
            <w:sdt>
              <w:sdtPr>
                <w:alias w:val="15 p."/>
                <w:tag w:val="part_eb2b571e491b46a799ee0590c0568db9"/>
                <w:lock w:val="sdtLocked"/>
                <w:richText/>
              </w:sdtPr>
              <w:sdtContent>
                <w:p>
                  <w:pPr>
                    <w:tabs>
                      <w:tab w:val="left" w:pos="1134"/>
                    </w:tabs>
                    <w:spacing w:line="259" w:lineRule="auto"/>
                    <w:ind w:firstLine="709"/>
                    <w:jc w:val="both"/>
                    <w:rPr>
                      <w:sz w:val="22"/>
                      <w:szCs w:val="22"/>
                    </w:rPr>
                  </w:pPr>
                  <w:sdt>
                    <w:sdtPr>
                      <w:alias w:val="Numeris"/>
                      <w:tag w:val="nr_eb2b571e491b46a799ee0590c0568db9"/>
                      <w:lock w:val="sdtLocked"/>
                      <w:richText/>
                    </w:sdtPr>
                    <w:sdtContent>
                      <w:r>
                        <w:t>15</w:t>
                      </w:r>
                    </w:sdtContent>
                  </w:sdt>
                  <w:r>
                    <w:t>.</w:t>
                    <w:tab/>
                  </w:r>
                  <w:r>
                    <w:rPr>
                      <w:sz w:val="22"/>
                      <w:szCs w:val="22"/>
                    </w:rPr>
                    <w:t xml:space="preserve">Mokesčių mokėtojas savo iniciatyva Deklaraciją PVM101 gali tikslinti, laikydamasis MA įstatymo 68 straipsnyje nustatytų terminų ir Taisyklėse nurodytais atvejais. </w:t>
                  </w:r>
                </w:p>
                <w:p>
                  <w:pPr>
                    <w:rPr>
                      <w:sz w:val="14"/>
                      <w:szCs w:val="14"/>
                    </w:rPr>
                  </w:pPr>
                </w:p>
              </w:sdtContent>
            </w:sdt>
            <w:sdt>
              <w:sdtPr>
                <w:alias w:val="16 p."/>
                <w:tag w:val="part_bec2849687a2476ea270ef44311f2cb8"/>
                <w:lock w:val="sdtLocked"/>
                <w:richText/>
              </w:sdtPr>
              <w:sdtContent>
                <w:p>
                  <w:pPr>
                    <w:tabs>
                      <w:tab w:val="left" w:pos="1134"/>
                    </w:tabs>
                    <w:spacing w:line="259" w:lineRule="auto"/>
                    <w:ind w:firstLine="709"/>
                    <w:jc w:val="both"/>
                    <w:rPr>
                      <w:sz w:val="22"/>
                      <w:szCs w:val="22"/>
                    </w:rPr>
                  </w:pPr>
                  <w:sdt>
                    <w:sdtPr>
                      <w:alias w:val="Numeris"/>
                      <w:tag w:val="nr_bec2849687a2476ea270ef44311f2cb8"/>
                      <w:lock w:val="sdtLocked"/>
                      <w:richText/>
                    </w:sdtPr>
                    <w:sdtContent>
                      <w:r>
                        <w:t>16</w:t>
                      </w:r>
                    </w:sdtContent>
                  </w:sdt>
                  <w:r>
                    <w:t>.</w:t>
                    <w:tab/>
                  </w:r>
                  <w:r>
                    <w:rPr>
                      <w:sz w:val="22"/>
                      <w:szCs w:val="22"/>
                    </w:rPr>
                    <w:t xml:space="preserve">Jeigu po Deklaracijos PVM101 pateikimo PVM mokėtojas pastebėjo pateiktoje Deklaracijoje PVM101 duomenų klaidų (įskaitant nedeklaruotus duomenis), tai jis turi pateikti patikslintą to paties mokestinio laikotarpio, kurį klaidos buvo padarytos, Deklaraciją PVM101. </w:t>
                  </w:r>
                </w:p>
                <w:p>
                  <w:pPr>
                    <w:rPr>
                      <w:sz w:val="14"/>
                      <w:szCs w:val="14"/>
                    </w:rPr>
                  </w:pPr>
                </w:p>
              </w:sdtContent>
            </w:sdt>
            <w:sdt>
              <w:sdtPr>
                <w:alias w:val="17 p."/>
                <w:tag w:val="part_265ee54286f4430f90985543dffebd08"/>
                <w:lock w:val="sdtLocked"/>
                <w:richText/>
              </w:sdtPr>
              <w:sdtContent>
                <w:p>
                  <w:pPr>
                    <w:tabs>
                      <w:tab w:val="left" w:pos="1134"/>
                    </w:tabs>
                    <w:spacing w:line="259" w:lineRule="auto"/>
                    <w:ind w:firstLine="709"/>
                    <w:jc w:val="both"/>
                    <w:rPr>
                      <w:sz w:val="22"/>
                      <w:szCs w:val="22"/>
                    </w:rPr>
                  </w:pPr>
                  <w:sdt>
                    <w:sdtPr>
                      <w:alias w:val="Numeris"/>
                      <w:tag w:val="nr_265ee54286f4430f90985543dffebd08"/>
                      <w:lock w:val="sdtLocked"/>
                      <w:richText/>
                    </w:sdtPr>
                    <w:sdtContent>
                      <w:r>
                        <w:t>17</w:t>
                      </w:r>
                    </w:sdtContent>
                  </w:sdt>
                  <w:r>
                    <w:t>.</w:t>
                    <w:tab/>
                  </w:r>
                  <w:r>
                    <w:rPr>
                      <w:sz w:val="22"/>
                      <w:szCs w:val="22"/>
                    </w:rPr>
                    <w:t>Tais atvejais, kai Deklaracija PVM101 pateikta už mokestinį laikotarpį, už kurį prievolės jos pateikti nebuvo, turi būti pateikta patikslinta Deklaracija PVM101, kurioje pažymima, jog deklaruojamų duomenų nėra ir joje pašalinami Taisyklių 12.5–12.8 papunkčiuose nurodyti duomenys.</w:t>
                  </w:r>
                </w:p>
                <w:p>
                  <w:pPr>
                    <w:rPr>
                      <w:sz w:val="14"/>
                      <w:szCs w:val="14"/>
                    </w:rPr>
                  </w:pPr>
                </w:p>
              </w:sdtContent>
            </w:sdt>
            <w:sdt>
              <w:sdtPr>
                <w:alias w:val="18 p."/>
                <w:tag w:val="part_9f6939c10f484aa2bd087000f8419253"/>
                <w:lock w:val="sdtLocked"/>
                <w:richText/>
              </w:sdtPr>
              <w:sdtContent>
                <w:p>
                  <w:pPr>
                    <w:tabs>
                      <w:tab w:val="left" w:pos="1134"/>
                    </w:tabs>
                    <w:spacing w:line="259" w:lineRule="auto"/>
                    <w:ind w:firstLine="709"/>
                    <w:jc w:val="both"/>
                    <w:rPr>
                      <w:sz w:val="22"/>
                      <w:szCs w:val="22"/>
                    </w:rPr>
                  </w:pPr>
                  <w:sdt>
                    <w:sdtPr>
                      <w:alias w:val="Numeris"/>
                      <w:tag w:val="nr_9f6939c10f484aa2bd087000f8419253"/>
                      <w:lock w:val="sdtLocked"/>
                      <w:richText/>
                    </w:sdtPr>
                    <w:sdtContent>
                      <w:r>
                        <w:t>18</w:t>
                      </w:r>
                    </w:sdtContent>
                  </w:sdt>
                  <w:r>
                    <w:t>.</w:t>
                    <w:tab/>
                  </w:r>
                  <w:r>
                    <w:rPr>
                      <w:sz w:val="22"/>
                      <w:szCs w:val="22"/>
                    </w:rPr>
                    <w:t>Pateikta patikslinta Deklaracija PVM101 turi būti užpildyta Taisyklėse nustatyta tvarka. Patikslintoje Deklaracijoje PVM101 turi būti pateikiami visi (t. y. ne vien tikslinamieji) Deklaracijoje PVM101 nurodytini duomenys.</w:t>
                  </w:r>
                </w:p>
                <w:p>
                  <w:pPr>
                    <w:rPr>
                      <w:sz w:val="14"/>
                      <w:szCs w:val="14"/>
                    </w:rPr>
                  </w:pPr>
                </w:p>
              </w:sdtContent>
            </w:sdt>
            <w:sdt>
              <w:sdtPr>
                <w:alias w:val="19 p."/>
                <w:tag w:val="part_30cc8650c1214fbcaad3e1d05cd94e88"/>
                <w:lock w:val="sdtLocked"/>
                <w:richText/>
              </w:sdtPr>
              <w:sdtContent>
                <w:p>
                  <w:pPr>
                    <w:tabs>
                      <w:tab w:val="left" w:pos="1134"/>
                    </w:tabs>
                    <w:spacing w:line="259" w:lineRule="auto"/>
                    <w:ind w:firstLine="709"/>
                    <w:jc w:val="both"/>
                    <w:rPr>
                      <w:sz w:val="22"/>
                      <w:szCs w:val="22"/>
                    </w:rPr>
                  </w:pPr>
                  <w:sdt>
                    <w:sdtPr>
                      <w:alias w:val="Numeris"/>
                      <w:tag w:val="nr_30cc8650c1214fbcaad3e1d05cd94e88"/>
                      <w:lock w:val="sdtLocked"/>
                      <w:richText/>
                    </w:sdtPr>
                    <w:sdtContent>
                      <w:r>
                        <w:t>19</w:t>
                      </w:r>
                    </w:sdtContent>
                  </w:sdt>
                  <w:r>
                    <w:t>.</w:t>
                    <w:tab/>
                  </w:r>
                  <w:r>
                    <w:rPr>
                      <w:sz w:val="22"/>
                      <w:szCs w:val="22"/>
                    </w:rPr>
                    <w:t>Mokesčių mokėtojas, gavęs VMI pranešimą apie pateiktoje Deklaracijoje PVM101 esančius trūkumus ir (ar) neatitikimus, privalo duomenis ištaisyti ir Taisyklėse nustatyta tvarka užpildytą patikslintą Deklaraciją PVM101 pateikti per pranešime nustatytą terminą Taisyklių 5 punkte nurodytu būdu.</w:t>
                  </w:r>
                </w:p>
                <w:p>
                  <w:pPr>
                    <w:rPr>
                      <w:sz w:val="14"/>
                      <w:szCs w:val="14"/>
                    </w:rPr>
                  </w:pPr>
                </w:p>
                <w:p>
                  <w:pPr>
                    <w:rPr>
                      <w:b/>
                      <w:color w:val="000000"/>
                      <w:szCs w:val="24"/>
                    </w:rPr>
                  </w:pPr>
                </w:p>
              </w:sdtContent>
            </w:sdt>
          </w:sdtContent>
        </w:sdt>
        <w:sdt>
          <w:sdtPr>
            <w:alias w:val="skyrius"/>
            <w:tag w:val="part_7d46186e35754443a628374f94d4d82f"/>
            <w:lock w:val="sdtLocked"/>
            <w:richText/>
          </w:sdtPr>
          <w:sdtContent>
            <w:p>
              <w:pPr>
                <w:jc w:val="center"/>
                <w:rPr>
                  <w:color w:val="000000"/>
                  <w:szCs w:val="24"/>
                </w:rPr>
              </w:pPr>
              <w:sdt>
                <w:sdtPr>
                  <w:alias w:val="Numeris"/>
                  <w:tag w:val="nr_7d46186e35754443a628374f94d4d82f"/>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7d46186e35754443a628374f94d4d82f"/>
                  <w:lock w:val="sdtLocked"/>
                  <w:richText/>
                </w:sdtPr>
                <w:sdtContent>
                  <w:r>
                    <w:rPr>
                      <w:b/>
                      <w:color w:val="000000"/>
                      <w:szCs w:val="24"/>
                    </w:rPr>
                    <w:t>BAIGIAMOSIOS NUOSTATOS</w:t>
                  </w:r>
                </w:sdtContent>
              </w:sdt>
            </w:p>
            <w:p>
              <w:pPr>
                <w:jc w:val="center"/>
                <w:rPr>
                  <w:b/>
                  <w:color w:val="000000"/>
                  <w:szCs w:val="24"/>
                </w:rPr>
              </w:pPr>
            </w:p>
            <w:sdt>
              <w:sdtPr>
                <w:alias w:val="20 p."/>
                <w:tag w:val="part_036d891ce3a64e44a239d40c56a427b7"/>
                <w:lock w:val="sdtLocked"/>
                <w:richText/>
              </w:sdtPr>
              <w:sdtContent>
                <w:p>
                  <w:pPr>
                    <w:tabs>
                      <w:tab w:val="left" w:pos="1134"/>
                    </w:tabs>
                    <w:spacing w:line="259" w:lineRule="auto"/>
                    <w:ind w:firstLine="709"/>
                    <w:jc w:val="both"/>
                    <w:rPr>
                      <w:sz w:val="22"/>
                      <w:szCs w:val="22"/>
                    </w:rPr>
                  </w:pPr>
                  <w:sdt>
                    <w:sdtPr>
                      <w:alias w:val="Numeris"/>
                      <w:tag w:val="nr_036d891ce3a64e44a239d40c56a427b7"/>
                      <w:lock w:val="sdtLocked"/>
                      <w:richText/>
                    </w:sdtPr>
                    <w:sdtContent>
                      <w:r>
                        <w:t>20</w:t>
                      </w:r>
                    </w:sdtContent>
                  </w:sdt>
                  <w:r>
                    <w:t>.</w:t>
                    <w:tab/>
                  </w:r>
                  <w:r>
                    <w:rPr>
                      <w:sz w:val="22"/>
                      <w:szCs w:val="22"/>
                    </w:rPr>
                    <w:t>Už Taisyklėse nustatytų reikalavimų nevykdymą ar netinkamą jų vykdymą taikoma atsakomybė Lietuvos Respublikos administracinių nusižengimų kodekse nustatyta tvarka.</w:t>
                  </w:r>
                </w:p>
                <w:p>
                  <w:pPr>
                    <w:rPr>
                      <w:sz w:val="14"/>
                      <w:szCs w:val="14"/>
                    </w:rPr>
                  </w:pPr>
                </w:p>
                <w:p>
                  <w:pPr>
                    <w:tabs>
                      <w:tab w:val="left" w:pos="1134"/>
                    </w:tabs>
                    <w:spacing w:line="259" w:lineRule="auto"/>
                    <w:jc w:val="center"/>
                    <w:rPr>
                      <w:sz w:val="22"/>
                      <w:szCs w:val="22"/>
                    </w:rPr>
                    <w:sectPr>
                      <w:pgSz w:w="11906" w:h="16838"/>
                      <w:pgMar w:top="1701" w:right="567" w:bottom="1134" w:left="1701" w:header="397" w:footer="567" w:gutter="0"/>
                      <w:pgNumType w:start="1"/>
                      <w:cols w:space="1296"/>
                      <w:titlePg/>
                      <w:docGrid w:linePitch="360"/>
                    </w:sectPr>
                  </w:pPr>
                  <w:r>
                    <w:rPr>
                      <w:sz w:val="22"/>
                      <w:szCs w:val="22"/>
                    </w:rPr>
                    <w:t>_________________________</w:t>
                  </w:r>
                </w:p>
                <w:p>
                  <w:pPr>
                    <w:tabs>
                      <w:tab w:val="center" w:pos="4819"/>
                      <w:tab w:val="right" w:pos="9638"/>
                    </w:tabs>
                  </w:pPr>
                </w:p>
              </w:sdtContent>
            </w:sdt>
          </w:sdtContent>
        </w:sdt>
      </w:sdtContent>
    </w:sdt>
    <w:sdt>
      <w:sdtPr>
        <w:alias w:val="1 pr."/>
        <w:tag w:val="part_15f53252cd8d43c58d6f635c12aac8e4"/>
        <w:lock w:val="sdtLocked"/>
        <w:richText/>
      </w:sdtPr>
      <w:sdtContent>
        <w:p>
          <w:pPr>
            <w:ind w:left="7230" w:right="-739"/>
            <w:rPr>
              <w:bCs/>
              <w:color w:val="000000"/>
              <w:szCs w:val="24"/>
            </w:rPr>
          </w:pPr>
          <w:r>
            <w:rPr>
              <w:color w:val="000000"/>
              <w:szCs w:val="24"/>
              <w:lang w:eastAsia="lt-LT"/>
            </w:rPr>
            <w:t>Pridėtinės vertės mokesčio mokėtojų, taikančių smulkiojo verslo schemą Lietuvoje, Pridėtinės vertės mokesčio deklaracijos PVM101 užpildymo ir pateikimo taisyklių</w:t>
          </w:r>
          <w:r>
            <w:rPr>
              <w:color w:val="000000"/>
              <w:szCs w:val="24"/>
            </w:rPr>
            <w:t xml:space="preserve"> </w:t>
          </w:r>
        </w:p>
        <w:p>
          <w:pPr>
            <w:ind w:left="7230" w:right="-739"/>
            <w:rPr>
              <w:color w:val="000000"/>
              <w:szCs w:val="24"/>
            </w:rPr>
          </w:pPr>
          <w:sdt>
            <w:sdtPr>
              <w:alias w:val="Numeris"/>
              <w:tag w:val="nr_15f53252cd8d43c58d6f635c12aac8e4"/>
              <w:lock w:val="sdtLocked"/>
              <w:richText/>
            </w:sdtPr>
            <w:sdtContent>
              <w:r>
                <w:rPr>
                  <w:color w:val="000000"/>
                  <w:szCs w:val="24"/>
                </w:rPr>
                <w:t>1</w:t>
              </w:r>
            </w:sdtContent>
          </w:sdt>
          <w:r>
            <w:rPr>
              <w:color w:val="000000"/>
              <w:szCs w:val="24"/>
            </w:rPr>
            <w:t xml:space="preserve"> priedas</w:t>
          </w:r>
        </w:p>
        <w:p>
          <w:pPr>
            <w:ind w:right="-739" w:firstLine="425"/>
            <w:rPr>
              <w:color w:val="000000"/>
              <w:szCs w:val="24"/>
            </w:rPr>
          </w:pPr>
        </w:p>
        <w:p>
          <w:pPr>
            <w:jc w:val="center"/>
            <w:rPr>
              <w:b/>
              <w:color w:val="000000"/>
              <w:szCs w:val="24"/>
            </w:rPr>
          </w:pPr>
          <w:sdt>
            <w:sdtPr>
              <w:alias w:val="Pavadinimas"/>
              <w:tag w:val="title_15f53252cd8d43c58d6f635c12aac8e4"/>
              <w:lock w:val="sdtLocked"/>
              <w:richText/>
            </w:sdtPr>
            <w:sdtContent>
              <w:r>
                <w:rPr>
                  <w:b/>
                  <w:color w:val="000000"/>
                  <w:szCs w:val="24"/>
                </w:rPr>
                <w:t>PRIDĖTINĖS VERTĖS MOKESČIO MOKĖTOJŲ, TAIKANČIŲ SMULKIOJO VERSLO SCHEMĄ LIETUVOJE, PRIDĖTINĖS VERTĖS MOKESČIO DEKLARACIJOS PVM101 DUOMENYS</w:t>
              </w:r>
            </w:sdtContent>
          </w:sdt>
        </w:p>
        <w:p>
          <w:pPr>
            <w:ind w:right="-881"/>
            <w:rPr>
              <w:color w:val="000000"/>
              <w:szCs w:val="24"/>
            </w:rPr>
          </w:pPr>
        </w:p>
        <w:sdt>
          <w:sdtPr>
            <w:alias w:val="1 pr. 1 p."/>
            <w:tag w:val="part_92db8eea738d48b0b958544194bed4cb"/>
            <w:lock w:val="sdtLocked"/>
            <w:richText/>
          </w:sdtPr>
          <w:sdtContent>
            <w:p>
              <w:pPr>
                <w:ind w:left="567" w:right="-881" w:firstLine="567"/>
                <w:jc w:val="both"/>
                <w:rPr>
                  <w:color w:val="000000"/>
                  <w:szCs w:val="24"/>
                </w:rPr>
              </w:pPr>
              <w:sdt>
                <w:sdtPr>
                  <w:alias w:val="Numeris"/>
                  <w:tag w:val="nr_92db8eea738d48b0b958544194bed4cb"/>
                  <w:lock w:val="sdtLocked"/>
                  <w:richText/>
                </w:sdtPr>
                <w:sdtContent>
                  <w:r>
                    <w:rPr>
                      <w:color w:val="000000"/>
                      <w:szCs w:val="24"/>
                    </w:rPr>
                    <w:t>1</w:t>
                  </w:r>
                </w:sdtContent>
              </w:sdt>
              <w:r>
                <w:rPr>
                  <w:color w:val="000000"/>
                  <w:szCs w:val="24"/>
                </w:rPr>
                <w:t>. Pridėtinės vertės mokesčio</w:t>
              </w:r>
              <w:r>
                <w:rPr>
                  <w:bCs/>
                  <w:color w:val="000000"/>
                  <w:szCs w:val="24"/>
                </w:rPr>
                <w:t xml:space="preserve"> mokėtojų, taikančių smulkiojo verslo schemą Lietuvoje, Pridėtinės vertės mokesčio deklaracija PVM101</w:t>
              </w:r>
              <w:r>
                <w:rPr>
                  <w:color w:val="000000"/>
                  <w:szCs w:val="24"/>
                </w:rPr>
                <w:t xml:space="preserve"> (toliau – Deklaracija PVM101) yra</w:t>
              </w:r>
              <w:r>
                <w:rPr>
                  <w:color w:val="000000"/>
                  <w:sz w:val="22"/>
                  <w:szCs w:val="24"/>
                </w:rPr>
                <w:t xml:space="preserve"> </w:t>
              </w:r>
              <w:r>
                <w:rPr>
                  <w:color w:val="000000"/>
                  <w:szCs w:val="24"/>
                </w:rPr>
                <w:t>Valstybinės mokesčių inspekcijos Elektroninio deklaravimo informacinė sistemos (toliau – EDS) XML failas, kuriame turi būti šio priedo 2 punkte esančioje lentelėje nurodyti duomenys.</w:t>
              </w:r>
            </w:p>
          </w:sdtContent>
        </w:sdt>
        <w:sdt>
          <w:sdtPr>
            <w:alias w:val="1 pr. 2 p."/>
            <w:tag w:val="part_c3dde980c5bd4b8bb4fbe69e02b3e3ea"/>
            <w:lock w:val="sdtLocked"/>
            <w:richText/>
          </w:sdtPr>
          <w:sdtContent>
            <w:p>
              <w:pPr>
                <w:ind w:left="567" w:right="-1477" w:firstLine="567"/>
                <w:jc w:val="both"/>
                <w:rPr>
                  <w:color w:val="000000"/>
                  <w:szCs w:val="24"/>
                </w:rPr>
              </w:pPr>
              <w:sdt>
                <w:sdtPr>
                  <w:alias w:val="Numeris"/>
                  <w:tag w:val="nr_c3dde980c5bd4b8bb4fbe69e02b3e3ea"/>
                  <w:lock w:val="sdtLocked"/>
                  <w:richText/>
                </w:sdtPr>
                <w:sdtContent>
                  <w:r>
                    <w:rPr>
                      <w:color w:val="000000"/>
                      <w:szCs w:val="24"/>
                    </w:rPr>
                    <w:t>2</w:t>
                  </w:r>
                </w:sdtContent>
              </w:sdt>
              <w:r>
                <w:rPr>
                  <w:color w:val="000000"/>
                  <w:szCs w:val="24"/>
                </w:rPr>
                <w:t>. XML failo duomenys:</w:t>
              </w:r>
            </w:p>
            <w:p>
              <w:pPr>
                <w:rPr>
                  <w:sz w:val="14"/>
                  <w:szCs w:val="14"/>
                </w:rPr>
              </w:pPr>
            </w:p>
            <w:tbl>
              <w:tblPr>
                <w:tblW w:w="14317"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597"/>
                <w:gridCol w:w="2601"/>
                <w:gridCol w:w="1967"/>
                <w:gridCol w:w="1659"/>
                <w:gridCol w:w="1982"/>
                <w:gridCol w:w="5511"/>
              </w:tblGrid>
              <w:tr>
                <w:tc>
                  <w:tcPr>
                    <w:tcW w:w="597" w:type="dxa"/>
                  </w:tcPr>
                  <w:p>
                    <w:pPr>
                      <w:jc w:val="center"/>
                      <w:rPr>
                        <w:color w:val="000000"/>
                        <w:szCs w:val="24"/>
                        <w:lang w:eastAsia="lt-LT"/>
                      </w:rPr>
                    </w:pPr>
                    <w:r>
                      <w:rPr>
                        <w:color w:val="000000"/>
                        <w:szCs w:val="24"/>
                        <w:lang w:eastAsia="lt-LT"/>
                      </w:rPr>
                      <w:t>Eil. Nr.</w:t>
                    </w:r>
                  </w:p>
                </w:tc>
                <w:tc>
                  <w:tcPr>
                    <w:tcW w:w="2601" w:type="dxa"/>
                    <w:shd w:val="clear" w:color="auto" w:fill="auto"/>
                    <w:hideMark/>
                  </w:tcPr>
                  <w:p>
                    <w:pPr>
                      <w:jc w:val="center"/>
                      <w:rPr>
                        <w:b/>
                        <w:bCs/>
                        <w:color w:val="000000"/>
                        <w:szCs w:val="24"/>
                        <w:lang w:eastAsia="lt-LT"/>
                      </w:rPr>
                    </w:pPr>
                    <w:r>
                      <w:rPr>
                        <w:color w:val="000000"/>
                        <w:szCs w:val="24"/>
                        <w:lang w:eastAsia="lt-LT"/>
                      </w:rPr>
                      <w:t>XML struktūra</w:t>
                      <w:br/>
                      <w:t>(kelias iki duomenų elemento)</w:t>
                    </w:r>
                  </w:p>
                </w:tc>
                <w:tc>
                  <w:tcPr>
                    <w:tcW w:w="1967" w:type="dxa"/>
                    <w:shd w:val="clear" w:color="auto" w:fill="auto"/>
                    <w:hideMark/>
                  </w:tcPr>
                  <w:p>
                    <w:pPr>
                      <w:jc w:val="center"/>
                      <w:rPr>
                        <w:b/>
                        <w:bCs/>
                        <w:color w:val="000000"/>
                        <w:szCs w:val="24"/>
                        <w:lang w:eastAsia="lt-LT"/>
                      </w:rPr>
                    </w:pPr>
                    <w:r>
                      <w:rPr>
                        <w:color w:val="000000"/>
                        <w:szCs w:val="24"/>
                        <w:lang w:eastAsia="lt-LT"/>
                      </w:rPr>
                      <w:t>Duomenų elemento pavadinimas</w:t>
                    </w:r>
                  </w:p>
                </w:tc>
                <w:tc>
                  <w:tcPr>
                    <w:tcW w:w="1659" w:type="dxa"/>
                    <w:shd w:val="clear" w:color="auto" w:fill="auto"/>
                    <w:hideMark/>
                  </w:tcPr>
                  <w:p>
                    <w:pPr>
                      <w:jc w:val="center"/>
                      <w:rPr>
                        <w:b/>
                        <w:bCs/>
                        <w:color w:val="000000"/>
                        <w:szCs w:val="24"/>
                        <w:lang w:eastAsia="lt-LT"/>
                      </w:rPr>
                    </w:pPr>
                    <w:r>
                      <w:rPr>
                        <w:color w:val="000000"/>
                        <w:szCs w:val="24"/>
                        <w:lang w:eastAsia="lt-LT"/>
                      </w:rPr>
                      <w:t>Duomenų tipas, formatas, privalomumo požymis</w:t>
                    </w:r>
                  </w:p>
                </w:tc>
                <w:tc>
                  <w:tcPr>
                    <w:tcW w:w="1982" w:type="dxa"/>
                    <w:shd w:val="clear" w:color="auto" w:fill="auto"/>
                    <w:hideMark/>
                  </w:tcPr>
                  <w:p>
                    <w:pPr>
                      <w:jc w:val="center"/>
                      <w:rPr>
                        <w:bCs/>
                        <w:color w:val="000000"/>
                        <w:szCs w:val="24"/>
                        <w:lang w:eastAsia="lt-LT"/>
                      </w:rPr>
                    </w:pPr>
                    <w:r>
                      <w:rPr>
                        <w:bCs/>
                        <w:color w:val="000000"/>
                        <w:szCs w:val="24"/>
                        <w:lang w:eastAsia="lt-LT"/>
                      </w:rPr>
                      <w:t>Duomenų esmė</w:t>
                    </w:r>
                  </w:p>
                </w:tc>
                <w:tc>
                  <w:tcPr>
                    <w:tcW w:w="5511" w:type="dxa"/>
                    <w:shd w:val="clear" w:color="auto" w:fill="auto"/>
                    <w:hideMark/>
                  </w:tcPr>
                  <w:p>
                    <w:pPr>
                      <w:jc w:val="center"/>
                      <w:rPr>
                        <w:bCs/>
                        <w:color w:val="000000"/>
                        <w:szCs w:val="24"/>
                        <w:lang w:eastAsia="lt-LT"/>
                      </w:rPr>
                    </w:pPr>
                    <w:r>
                      <w:rPr>
                        <w:bCs/>
                        <w:color w:val="000000"/>
                        <w:szCs w:val="24"/>
                        <w:lang w:eastAsia="lt-LT"/>
                      </w:rPr>
                      <w:t>Užpildymo paaiškinimas</w:t>
                    </w:r>
                  </w:p>
                  <w:p>
                    <w:pPr>
                      <w:jc w:val="center"/>
                      <w:rPr>
                        <w:bCs/>
                        <w:color w:val="000000"/>
                        <w:szCs w:val="24"/>
                        <w:lang w:eastAsia="lt-LT"/>
                      </w:rPr>
                    </w:pPr>
                    <w:r>
                      <w:rPr>
                        <w:bCs/>
                        <w:color w:val="000000"/>
                        <w:szCs w:val="24"/>
                        <w:lang w:eastAsia="lt-LT"/>
                      </w:rPr>
                      <w:t>(aprašytas automatinis duomenų užpildymas užtikrinamas, tik Deklaraciją PVM101 užpildant EDS portale)</w:t>
                    </w:r>
                  </w:p>
                </w:tc>
              </w:tr>
              <w:tr>
                <w:tc>
                  <w:tcPr>
                    <w:tcW w:w="597" w:type="dxa"/>
                  </w:tcPr>
                  <w:p>
                    <w:pPr>
                      <w:jc w:val="center"/>
                      <w:rPr>
                        <w:szCs w:val="24"/>
                        <w:lang w:eastAsia="lt-LT"/>
                      </w:rPr>
                    </w:pPr>
                    <w:r>
                      <w:rPr>
                        <w:szCs w:val="24"/>
                        <w:lang w:eastAsia="lt-LT"/>
                      </w:rPr>
                      <w:t>1.</w:t>
                    </w:r>
                  </w:p>
                </w:tc>
                <w:tc>
                  <w:tcPr>
                    <w:tcW w:w="2601" w:type="dxa"/>
                    <w:shd w:val="clear" w:color="auto" w:fill="auto"/>
                    <w:hideMark/>
                  </w:tcPr>
                  <w:p>
                    <w:pPr>
                      <w:jc w:val="both"/>
                      <w:rPr>
                        <w:i/>
                        <w:szCs w:val="24"/>
                        <w:lang w:eastAsia="lt-LT"/>
                      </w:rPr>
                    </w:pPr>
                    <w:r>
                      <w:rPr>
                        <w:i/>
                        <w:szCs w:val="24"/>
                        <w:lang w:eastAsia="lt-LT"/>
                      </w:rPr>
                      <w:t>XMLDocument / FormHeader</w:t>
                    </w:r>
                  </w:p>
                </w:tc>
                <w:tc>
                  <w:tcPr>
                    <w:tcW w:w="1967" w:type="dxa"/>
                    <w:shd w:val="clear" w:color="auto" w:fill="auto"/>
                    <w:hideMark/>
                  </w:tcPr>
                  <w:p>
                    <w:pPr>
                      <w:jc w:val="both"/>
                      <w:rPr>
                        <w:i/>
                        <w:szCs w:val="24"/>
                        <w:lang w:eastAsia="lt-LT"/>
                      </w:rPr>
                    </w:pPr>
                    <w:r>
                      <w:rPr>
                        <w:i/>
                        <w:szCs w:val="24"/>
                        <w:lang w:eastAsia="lt-LT"/>
                      </w:rPr>
                      <w:t>FormCode</w:t>
                    </w:r>
                  </w:p>
                </w:tc>
                <w:tc>
                  <w:tcPr>
                    <w:tcW w:w="1659" w:type="dxa"/>
                    <w:shd w:val="clear" w:color="auto" w:fill="auto"/>
                    <w:hideMark/>
                  </w:tcPr>
                  <w:p>
                    <w:pPr>
                      <w:jc w:val="both"/>
                      <w:rPr>
                        <w:szCs w:val="24"/>
                        <w:lang w:eastAsia="lt-LT"/>
                      </w:rPr>
                    </w:pPr>
                    <w:r>
                      <w:rPr>
                        <w:szCs w:val="24"/>
                        <w:lang w:eastAsia="lt-LT"/>
                      </w:rPr>
                      <w:t>tekstas</w:t>
                    </w:r>
                  </w:p>
                </w:tc>
                <w:tc>
                  <w:tcPr>
                    <w:tcW w:w="1982" w:type="dxa"/>
                    <w:shd w:val="clear" w:color="auto" w:fill="auto"/>
                    <w:hideMark/>
                  </w:tcPr>
                  <w:p>
                    <w:pPr>
                      <w:jc w:val="both"/>
                      <w:rPr>
                        <w:szCs w:val="24"/>
                        <w:lang w:eastAsia="lt-LT"/>
                      </w:rPr>
                    </w:pPr>
                    <w:r>
                      <w:rPr>
                        <w:szCs w:val="24"/>
                        <w:lang w:eastAsia="lt-LT"/>
                      </w:rPr>
                      <w:t xml:space="preserve">formos kodas </w:t>
                    </w:r>
                  </w:p>
                </w:tc>
                <w:tc>
                  <w:tcPr>
                    <w:tcW w:w="5511" w:type="dxa"/>
                    <w:shd w:val="clear" w:color="auto" w:fill="auto"/>
                    <w:hideMark/>
                  </w:tcPr>
                  <w:p>
                    <w:pPr>
                      <w:rPr>
                        <w:szCs w:val="24"/>
                        <w:lang w:eastAsia="lt-LT"/>
                      </w:rPr>
                    </w:pPr>
                    <w:r>
                      <w:rPr>
                        <w:szCs w:val="24"/>
                        <w:lang w:eastAsia="lt-LT"/>
                      </w:rPr>
                      <w:t>Valstybinės mokesčių inspekcijos (toliau – VMI) nustatyta reikšmė „PVM101“</w:t>
                    </w:r>
                  </w:p>
                </w:tc>
              </w:tr>
              <w:tr>
                <w:tc>
                  <w:tcPr>
                    <w:tcW w:w="597" w:type="dxa"/>
                  </w:tcPr>
                  <w:p>
                    <w:pPr>
                      <w:jc w:val="center"/>
                      <w:rPr>
                        <w:szCs w:val="24"/>
                        <w:lang w:eastAsia="lt-LT"/>
                      </w:rPr>
                    </w:pPr>
                    <w:r>
                      <w:rPr>
                        <w:szCs w:val="24"/>
                        <w:lang w:eastAsia="lt-LT"/>
                      </w:rPr>
                      <w:t>2.</w:t>
                    </w:r>
                  </w:p>
                </w:tc>
                <w:tc>
                  <w:tcPr>
                    <w:tcW w:w="2601" w:type="dxa"/>
                    <w:shd w:val="clear" w:color="auto" w:fill="auto"/>
                    <w:hideMark/>
                  </w:tcPr>
                  <w:p>
                    <w:pPr>
                      <w:jc w:val="both"/>
                      <w:rPr>
                        <w:i/>
                        <w:szCs w:val="24"/>
                        <w:lang w:eastAsia="lt-LT"/>
                      </w:rPr>
                    </w:pPr>
                    <w:r>
                      <w:rPr>
                        <w:i/>
                        <w:szCs w:val="24"/>
                        <w:lang w:eastAsia="lt-LT"/>
                      </w:rPr>
                      <w:t>XMLDocument / FormHeader</w:t>
                    </w:r>
                  </w:p>
                </w:tc>
                <w:tc>
                  <w:tcPr>
                    <w:tcW w:w="1967" w:type="dxa"/>
                    <w:shd w:val="clear" w:color="auto" w:fill="auto"/>
                    <w:hideMark/>
                  </w:tcPr>
                  <w:p>
                    <w:pPr>
                      <w:jc w:val="both"/>
                      <w:rPr>
                        <w:i/>
                        <w:szCs w:val="24"/>
                        <w:lang w:eastAsia="lt-LT"/>
                      </w:rPr>
                    </w:pPr>
                    <w:r>
                      <w:rPr>
                        <w:i/>
                        <w:szCs w:val="24"/>
                        <w:lang w:eastAsia="lt-LT"/>
                      </w:rPr>
                      <w:t>FormVersionNo</w:t>
                    </w:r>
                  </w:p>
                </w:tc>
                <w:tc>
                  <w:tcPr>
                    <w:tcW w:w="1659" w:type="dxa"/>
                    <w:shd w:val="clear" w:color="auto" w:fill="auto"/>
                    <w:hideMark/>
                  </w:tcPr>
                  <w:p>
                    <w:pPr>
                      <w:jc w:val="both"/>
                      <w:rPr>
                        <w:szCs w:val="24"/>
                        <w:lang w:eastAsia="lt-LT"/>
                      </w:rPr>
                    </w:pPr>
                    <w:r>
                      <w:rPr>
                        <w:szCs w:val="24"/>
                        <w:lang w:eastAsia="lt-LT"/>
                      </w:rPr>
                      <w:t>skaičius</w:t>
                    </w:r>
                  </w:p>
                </w:tc>
                <w:tc>
                  <w:tcPr>
                    <w:tcW w:w="1982" w:type="dxa"/>
                    <w:shd w:val="clear" w:color="auto" w:fill="auto"/>
                    <w:hideMark/>
                  </w:tcPr>
                  <w:p>
                    <w:pPr>
                      <w:jc w:val="both"/>
                      <w:rPr>
                        <w:szCs w:val="24"/>
                        <w:lang w:eastAsia="lt-LT"/>
                      </w:rPr>
                    </w:pPr>
                    <w:r>
                      <w:rPr>
                        <w:szCs w:val="24"/>
                        <w:lang w:eastAsia="lt-LT"/>
                      </w:rPr>
                      <w:t>formos versijos numeris</w:t>
                    </w:r>
                  </w:p>
                </w:tc>
                <w:tc>
                  <w:tcPr>
                    <w:tcW w:w="5511" w:type="dxa"/>
                    <w:shd w:val="clear" w:color="auto" w:fill="auto"/>
                    <w:hideMark/>
                  </w:tcPr>
                  <w:p>
                    <w:pPr>
                      <w:rPr>
                        <w:szCs w:val="24"/>
                        <w:lang w:eastAsia="lt-LT"/>
                      </w:rPr>
                    </w:pPr>
                    <w:r>
                      <w:rPr>
                        <w:szCs w:val="24"/>
                        <w:lang w:eastAsia="lt-LT"/>
                      </w:rPr>
                      <w:t>VMI nustatyta reikšmė „1“</w:t>
                    </w:r>
                  </w:p>
                </w:tc>
              </w:tr>
              <w:tr>
                <w:tc>
                  <w:tcPr>
                    <w:tcW w:w="597" w:type="dxa"/>
                  </w:tcPr>
                  <w:p>
                    <w:pPr>
                      <w:spacing w:line="259" w:lineRule="auto"/>
                      <w:jc w:val="center"/>
                      <w:rPr>
                        <w:i/>
                        <w:szCs w:val="24"/>
                        <w:lang w:eastAsia="lt-LT"/>
                      </w:rPr>
                    </w:pPr>
                    <w:r>
                      <w:rPr>
                        <w:szCs w:val="24"/>
                        <w:lang w:eastAsia="lt-LT"/>
                      </w:rPr>
                      <w:t>3.</w:t>
                    </w:r>
                  </w:p>
                </w:tc>
                <w:tc>
                  <w:tcPr>
                    <w:tcW w:w="2601" w:type="dxa"/>
                    <w:shd w:val="clear" w:color="auto" w:fill="auto"/>
                    <w:hideMark/>
                  </w:tcPr>
                  <w:p>
                    <w:pPr>
                      <w:jc w:val="both"/>
                      <w:rPr>
                        <w:i/>
                        <w:szCs w:val="24"/>
                        <w:lang w:eastAsia="lt-LT"/>
                      </w:rPr>
                    </w:pPr>
                    <w:r>
                      <w:rPr>
                        <w:i/>
                        <w:szCs w:val="24"/>
                        <w:lang w:eastAsia="lt-LT"/>
                      </w:rPr>
                      <w:t>XMLDocument / FormHeader</w:t>
                    </w:r>
                  </w:p>
                </w:tc>
                <w:tc>
                  <w:tcPr>
                    <w:tcW w:w="1967" w:type="dxa"/>
                    <w:shd w:val="clear" w:color="auto" w:fill="auto"/>
                    <w:hideMark/>
                  </w:tcPr>
                  <w:p>
                    <w:pPr>
                      <w:jc w:val="both"/>
                      <w:rPr>
                        <w:i/>
                        <w:szCs w:val="24"/>
                        <w:lang w:eastAsia="lt-LT"/>
                      </w:rPr>
                    </w:pPr>
                    <w:r>
                      <w:rPr>
                        <w:i/>
                        <w:szCs w:val="24"/>
                        <w:lang w:eastAsia="lt-LT"/>
                      </w:rPr>
                      <w:t>FormVersionId</w:t>
                    </w:r>
                  </w:p>
                </w:tc>
                <w:tc>
                  <w:tcPr>
                    <w:tcW w:w="1659" w:type="dxa"/>
                    <w:shd w:val="clear" w:color="auto" w:fill="auto"/>
                    <w:hideMark/>
                  </w:tcPr>
                  <w:p>
                    <w:pPr>
                      <w:jc w:val="both"/>
                      <w:rPr>
                        <w:szCs w:val="24"/>
                        <w:lang w:eastAsia="lt-LT"/>
                      </w:rPr>
                    </w:pPr>
                    <w:r>
                      <w:rPr>
                        <w:szCs w:val="24"/>
                        <w:lang w:eastAsia="lt-LT"/>
                      </w:rPr>
                      <w:t>tekstas</w:t>
                    </w:r>
                  </w:p>
                </w:tc>
                <w:tc>
                  <w:tcPr>
                    <w:tcW w:w="1982" w:type="dxa"/>
                    <w:shd w:val="clear" w:color="auto" w:fill="auto"/>
                    <w:hideMark/>
                  </w:tcPr>
                  <w:p>
                    <w:pPr>
                      <w:jc w:val="both"/>
                      <w:rPr>
                        <w:szCs w:val="24"/>
                        <w:lang w:eastAsia="lt-LT"/>
                      </w:rPr>
                    </w:pPr>
                    <w:r>
                      <w:rPr>
                        <w:szCs w:val="24"/>
                        <w:lang w:eastAsia="lt-LT"/>
                      </w:rPr>
                      <w:t>formos versijos identifikatorius</w:t>
                    </w:r>
                  </w:p>
                </w:tc>
                <w:tc>
                  <w:tcPr>
                    <w:tcW w:w="5511" w:type="dxa"/>
                    <w:shd w:val="clear" w:color="auto" w:fill="auto"/>
                    <w:hideMark/>
                  </w:tcPr>
                  <w:p>
                    <w:pPr>
                      <w:rPr>
                        <w:szCs w:val="24"/>
                        <w:lang w:eastAsia="lt-LT"/>
                      </w:rPr>
                    </w:pPr>
                    <w:r>
                      <w:rPr>
                        <w:szCs w:val="24"/>
                        <w:lang w:eastAsia="lt-LT"/>
                      </w:rPr>
                      <w:t>VMI nustatyta reikšmė „D3C6BB09-3D75-E702-1280-7385D3AB945D“</w:t>
                    </w:r>
                  </w:p>
                </w:tc>
              </w:tr>
              <w:tr>
                <w:tc>
                  <w:tcPr>
                    <w:tcW w:w="597" w:type="dxa"/>
                  </w:tcPr>
                  <w:p>
                    <w:pPr>
                      <w:jc w:val="center"/>
                      <w:rPr>
                        <w:szCs w:val="24"/>
                        <w:lang w:eastAsia="lt-LT"/>
                      </w:rPr>
                    </w:pPr>
                    <w:r>
                      <w:rPr>
                        <w:szCs w:val="24"/>
                        <w:lang w:eastAsia="lt-LT"/>
                      </w:rPr>
                      <w:t>4.</w:t>
                    </w:r>
                  </w:p>
                </w:tc>
                <w:tc>
                  <w:tcPr>
                    <w:tcW w:w="2601" w:type="dxa"/>
                    <w:shd w:val="clear" w:color="auto" w:fill="auto"/>
                    <w:hideMark/>
                  </w:tcPr>
                  <w:p>
                    <w:pPr>
                      <w:jc w:val="both"/>
                      <w:rPr>
                        <w:i/>
                        <w:szCs w:val="24"/>
                        <w:lang w:eastAsia="lt-LT"/>
                      </w:rPr>
                    </w:pPr>
                    <w:r>
                      <w:rPr>
                        <w:i/>
                        <w:szCs w:val="24"/>
                        <w:lang w:eastAsia="lt-LT"/>
                      </w:rPr>
                      <w:t>XMLDocument / FormHeader</w:t>
                    </w:r>
                  </w:p>
                </w:tc>
                <w:tc>
                  <w:tcPr>
                    <w:tcW w:w="1967" w:type="dxa"/>
                    <w:shd w:val="clear" w:color="auto" w:fill="auto"/>
                    <w:hideMark/>
                  </w:tcPr>
                  <w:p>
                    <w:pPr>
                      <w:jc w:val="both"/>
                      <w:rPr>
                        <w:i/>
                        <w:szCs w:val="24"/>
                        <w:lang w:eastAsia="lt-LT"/>
                      </w:rPr>
                    </w:pPr>
                    <w:r>
                      <w:rPr>
                        <w:i/>
                        <w:szCs w:val="24"/>
                        <w:lang w:eastAsia="lt-LT"/>
                      </w:rPr>
                      <w:t>CreatedUsingApp</w:t>
                    </w:r>
                  </w:p>
                </w:tc>
                <w:tc>
                  <w:tcPr>
                    <w:tcW w:w="1659" w:type="dxa"/>
                    <w:shd w:val="clear" w:color="auto" w:fill="auto"/>
                    <w:hideMark/>
                  </w:tcPr>
                  <w:p>
                    <w:pPr>
                      <w:jc w:val="both"/>
                      <w:rPr>
                        <w:szCs w:val="24"/>
                        <w:lang w:eastAsia="lt-LT"/>
                      </w:rPr>
                    </w:pPr>
                    <w:r>
                      <w:rPr>
                        <w:szCs w:val="24"/>
                        <w:lang w:eastAsia="lt-LT"/>
                      </w:rPr>
                      <w:t>tekstas, neprivalomas</w:t>
                    </w:r>
                  </w:p>
                </w:tc>
                <w:tc>
                  <w:tcPr>
                    <w:tcW w:w="1982" w:type="dxa"/>
                    <w:shd w:val="clear" w:color="auto" w:fill="auto"/>
                    <w:hideMark/>
                  </w:tcPr>
                  <w:p>
                    <w:pPr>
                      <w:jc w:val="both"/>
                      <w:rPr>
                        <w:szCs w:val="24"/>
                        <w:lang w:eastAsia="lt-LT"/>
                      </w:rPr>
                    </w:pPr>
                    <w:r>
                      <w:rPr>
                        <w:szCs w:val="24"/>
                        <w:lang w:eastAsia="lt-LT"/>
                      </w:rPr>
                      <w:t>deklaraciją užpildžiusios programinės priemonės pavadinimas</w:t>
                    </w:r>
                  </w:p>
                </w:tc>
                <w:tc>
                  <w:tcPr>
                    <w:tcW w:w="5511" w:type="dxa"/>
                    <w:shd w:val="clear" w:color="auto" w:fill="auto"/>
                    <w:hideMark/>
                  </w:tcPr>
                  <w:p>
                    <w:pPr>
                      <w:rPr>
                        <w:szCs w:val="24"/>
                        <w:lang w:eastAsia="lt-LT"/>
                      </w:rPr>
                    </w:pPr>
                    <w:r>
                      <w:rPr>
                        <w:szCs w:val="24"/>
                        <w:lang w:eastAsia="lt-LT"/>
                      </w:rPr>
                      <w:t>Užpildžius deklaraciją EDS portale – reikšmė „VMI F-</w:t>
                    </w:r>
                    <w:r>
                      <w:rPr>
                        <w:i/>
                        <w:szCs w:val="24"/>
                        <w:lang w:eastAsia="lt-LT"/>
                      </w:rPr>
                      <w:t>Renderer</w:t>
                    </w:r>
                    <w:r>
                      <w:rPr>
                        <w:szCs w:val="24"/>
                        <w:lang w:eastAsia="lt-LT"/>
                      </w:rPr>
                      <w:t xml:space="preserve">“. </w:t>
                    </w:r>
                  </w:p>
                </w:tc>
              </w:tr>
              <w:tr>
                <w:tc>
                  <w:tcPr>
                    <w:tcW w:w="597" w:type="dxa"/>
                  </w:tcPr>
                  <w:p>
                    <w:pPr>
                      <w:jc w:val="center"/>
                      <w:rPr>
                        <w:szCs w:val="24"/>
                        <w:lang w:eastAsia="lt-LT"/>
                      </w:rPr>
                    </w:pPr>
                    <w:r>
                      <w:rPr>
                        <w:szCs w:val="24"/>
                        <w:lang w:eastAsia="lt-LT"/>
                      </w:rPr>
                      <w:t>5.</w:t>
                    </w:r>
                  </w:p>
                </w:tc>
                <w:tc>
                  <w:tcPr>
                    <w:tcW w:w="2601" w:type="dxa"/>
                    <w:shd w:val="clear" w:color="auto" w:fill="auto"/>
                    <w:hideMark/>
                  </w:tcPr>
                  <w:p>
                    <w:pPr>
                      <w:jc w:val="both"/>
                      <w:rPr>
                        <w:i/>
                        <w:szCs w:val="24"/>
                        <w:lang w:eastAsia="lt-LT"/>
                      </w:rPr>
                    </w:pPr>
                    <w:r>
                      <w:rPr>
                        <w:i/>
                        <w:szCs w:val="24"/>
                        <w:lang w:eastAsia="lt-LT"/>
                      </w:rPr>
                      <w:t>XMLDocument / DocumentData / DocHeader</w:t>
                    </w:r>
                  </w:p>
                </w:tc>
                <w:tc>
                  <w:tcPr>
                    <w:tcW w:w="1967" w:type="dxa"/>
                    <w:shd w:val="clear" w:color="auto" w:fill="auto"/>
                    <w:hideMark/>
                  </w:tcPr>
                  <w:p>
                    <w:pPr>
                      <w:jc w:val="both"/>
                      <w:rPr>
                        <w:i/>
                        <w:szCs w:val="24"/>
                        <w:lang w:eastAsia="lt-LT"/>
                      </w:rPr>
                    </w:pPr>
                    <w:r>
                      <w:rPr>
                        <w:i/>
                        <w:szCs w:val="24"/>
                        <w:lang w:eastAsia="lt-LT"/>
                      </w:rPr>
                      <w:t>PersonName</w:t>
                    </w:r>
                  </w:p>
                </w:tc>
                <w:tc>
                  <w:tcPr>
                    <w:tcW w:w="1659" w:type="dxa"/>
                    <w:shd w:val="clear" w:color="auto" w:fill="auto"/>
                    <w:hideMark/>
                  </w:tcPr>
                  <w:p>
                    <w:pPr>
                      <w:jc w:val="both"/>
                      <w:rPr>
                        <w:szCs w:val="24"/>
                        <w:lang w:eastAsia="lt-LT"/>
                      </w:rPr>
                    </w:pPr>
                    <w:r>
                      <w:rPr>
                        <w:szCs w:val="24"/>
                        <w:lang w:eastAsia="lt-LT"/>
                      </w:rPr>
                      <w:t>tekstas</w:t>
                    </w:r>
                  </w:p>
                </w:tc>
                <w:tc>
                  <w:tcPr>
                    <w:tcW w:w="1982" w:type="dxa"/>
                    <w:shd w:val="clear" w:color="auto" w:fill="auto"/>
                    <w:hideMark/>
                  </w:tcPr>
                  <w:p>
                    <w:pPr>
                      <w:jc w:val="both"/>
                      <w:rPr>
                        <w:szCs w:val="24"/>
                        <w:lang w:eastAsia="lt-LT"/>
                      </w:rPr>
                    </w:pPr>
                    <w:r>
                      <w:rPr>
                        <w:szCs w:val="24"/>
                        <w:lang w:eastAsia="lt-LT"/>
                      </w:rPr>
                      <w:t>mokesčių mokėtojo pavadinimas</w:t>
                    </w:r>
                  </w:p>
                </w:tc>
                <w:tc>
                  <w:tcPr>
                    <w:tcW w:w="5511" w:type="dxa"/>
                    <w:shd w:val="clear" w:color="auto" w:fill="auto"/>
                    <w:hideMark/>
                  </w:tcPr>
                  <w:p>
                    <w:pPr>
                      <w:jc w:val="both"/>
                      <w:rPr>
                        <w:szCs w:val="24"/>
                        <w:lang w:eastAsia="lt-LT"/>
                      </w:rPr>
                    </w:pPr>
                    <w:r>
                      <w:rPr>
                        <w:szCs w:val="24"/>
                        <w:lang w:eastAsia="lt-LT"/>
                      </w:rPr>
                      <w:t>Juridinio asmens pavadinimas arba gyventojo vardas ir pavardė. Automatiškai užpildomas duomuo pagal EDS atstovaujamą mokesčių mokėtoją</w:t>
                    </w:r>
                    <w:r>
                      <w:rPr>
                        <w:i/>
                        <w:color w:val="008080"/>
                        <w:szCs w:val="24"/>
                        <w:lang w:eastAsia="lt-LT"/>
                      </w:rPr>
                      <w:t>.</w:t>
                    </w:r>
                  </w:p>
                </w:tc>
              </w:tr>
              <w:tr>
                <w:tc>
                  <w:tcPr>
                    <w:tcW w:w="597" w:type="dxa"/>
                  </w:tcPr>
                  <w:p>
                    <w:pPr>
                      <w:jc w:val="center"/>
                      <w:rPr>
                        <w:szCs w:val="24"/>
                        <w:lang w:eastAsia="lt-LT"/>
                      </w:rPr>
                    </w:pPr>
                    <w:r>
                      <w:rPr>
                        <w:szCs w:val="24"/>
                        <w:lang w:eastAsia="lt-LT"/>
                      </w:rPr>
                      <w:t>6.</w:t>
                    </w:r>
                  </w:p>
                </w:tc>
                <w:tc>
                  <w:tcPr>
                    <w:tcW w:w="2601" w:type="dxa"/>
                    <w:shd w:val="clear" w:color="auto" w:fill="auto"/>
                    <w:hideMark/>
                  </w:tcPr>
                  <w:p>
                    <w:pPr>
                      <w:jc w:val="both"/>
                      <w:rPr>
                        <w:i/>
                        <w:szCs w:val="24"/>
                        <w:lang w:eastAsia="lt-LT"/>
                      </w:rPr>
                    </w:pPr>
                    <w:r>
                      <w:rPr>
                        <w:i/>
                        <w:szCs w:val="24"/>
                        <w:lang w:eastAsia="lt-LT"/>
                      </w:rPr>
                      <w:t>XMLDocument / DocumentData / DocHeader</w:t>
                    </w:r>
                  </w:p>
                </w:tc>
                <w:tc>
                  <w:tcPr>
                    <w:tcW w:w="1967" w:type="dxa"/>
                    <w:shd w:val="clear" w:color="auto" w:fill="auto"/>
                    <w:hideMark/>
                  </w:tcPr>
                  <w:p>
                    <w:pPr>
                      <w:jc w:val="both"/>
                      <w:rPr>
                        <w:i/>
                        <w:szCs w:val="24"/>
                        <w:lang w:eastAsia="lt-LT"/>
                      </w:rPr>
                    </w:pPr>
                    <w:r>
                      <w:rPr>
                        <w:i/>
                        <w:szCs w:val="24"/>
                        <w:lang w:eastAsia="lt-LT"/>
                      </w:rPr>
                      <w:t>Taxpayer Identification Number</w:t>
                    </w:r>
                  </w:p>
                </w:tc>
                <w:tc>
                  <w:tcPr>
                    <w:tcW w:w="1659" w:type="dxa"/>
                    <w:shd w:val="clear" w:color="auto" w:fill="auto"/>
                    <w:hideMark/>
                  </w:tcPr>
                  <w:p>
                    <w:pPr>
                      <w:jc w:val="both"/>
                      <w:rPr>
                        <w:szCs w:val="24"/>
                        <w:lang w:eastAsia="lt-LT"/>
                      </w:rPr>
                    </w:pPr>
                    <w:r>
                      <w:rPr>
                        <w:szCs w:val="24"/>
                        <w:lang w:eastAsia="lt-LT"/>
                      </w:rPr>
                      <w:t>skaičius (natūralus)</w:t>
                    </w:r>
                  </w:p>
                </w:tc>
                <w:tc>
                  <w:tcPr>
                    <w:tcW w:w="1982" w:type="dxa"/>
                    <w:shd w:val="clear" w:color="auto" w:fill="auto"/>
                    <w:hideMark/>
                  </w:tcPr>
                  <w:p>
                    <w:pPr>
                      <w:jc w:val="both"/>
                      <w:rPr>
                        <w:szCs w:val="24"/>
                        <w:lang w:eastAsia="lt-LT"/>
                      </w:rPr>
                    </w:pPr>
                    <w:r>
                      <w:rPr>
                        <w:szCs w:val="24"/>
                        <w:lang w:eastAsia="lt-LT"/>
                      </w:rPr>
                      <w:t>mokesčių mokėtojo identifikacinis numeris (kodas)</w:t>
                    </w:r>
                  </w:p>
                </w:tc>
                <w:tc>
                  <w:tcPr>
                    <w:tcW w:w="5511" w:type="dxa"/>
                    <w:shd w:val="clear" w:color="auto" w:fill="auto"/>
                    <w:hideMark/>
                  </w:tcPr>
                  <w:p>
                    <w:pPr>
                      <w:jc w:val="both"/>
                      <w:rPr>
                        <w:i/>
                        <w:szCs w:val="24"/>
                        <w:lang w:eastAsia="lt-LT"/>
                      </w:rPr>
                    </w:pPr>
                    <w:r>
                      <w:rPr>
                        <w:szCs w:val="24"/>
                        <w:lang w:eastAsia="lt-LT"/>
                      </w:rPr>
                      <w:t>Juridinio asmens kodas iš Juridinių asmenų registro, gyventojo asmens kodas iš Gyventojų registro, VMI suteiktas identifikatorius TIN (</w:t>
                    </w:r>
                    <w:r>
                      <w:rPr>
                        <w:bCs/>
                        <w:color w:val="000000"/>
                        <w:szCs w:val="22"/>
                      </w:rPr>
                      <w:t xml:space="preserve">angl. </w:t>
                    </w:r>
                    <w:r>
                      <w:rPr>
                        <w:i/>
                        <w:iCs/>
                        <w:szCs w:val="24"/>
                        <w:lang w:eastAsia="lt-LT"/>
                      </w:rPr>
                      <w:t>Tax Identification Number)</w:t>
                    </w:r>
                    <w:r>
                      <w:rPr>
                        <w:szCs w:val="24"/>
                        <w:lang w:eastAsia="lt-LT"/>
                      </w:rPr>
                      <w:t xml:space="preserve"> arba Migracijos departamento prie Lietuvos Respublikos vidaus reikalų ministerijos suteiktas ILTU kodas. Automatiškai užpildomas duomuo pagal EDS atstovaujamą mokesčių mokėtoją.</w:t>
                    </w:r>
                  </w:p>
                </w:tc>
              </w:tr>
              <w:tr>
                <w:tc>
                  <w:tcPr>
                    <w:tcW w:w="597" w:type="dxa"/>
                  </w:tcPr>
                  <w:p>
                    <w:pPr>
                      <w:jc w:val="center"/>
                      <w:rPr>
                        <w:szCs w:val="24"/>
                        <w:lang w:eastAsia="lt-LT"/>
                      </w:rPr>
                    </w:pPr>
                    <w:r>
                      <w:rPr>
                        <w:szCs w:val="24"/>
                        <w:lang w:eastAsia="lt-LT"/>
                      </w:rPr>
                      <w:t>7.</w:t>
                    </w:r>
                  </w:p>
                </w:tc>
                <w:tc>
                  <w:tcPr>
                    <w:tcW w:w="2601" w:type="dxa"/>
                    <w:shd w:val="clear" w:color="auto" w:fill="auto"/>
                    <w:hideMark/>
                  </w:tcPr>
                  <w:p>
                    <w:pPr>
                      <w:jc w:val="both"/>
                      <w:rPr>
                        <w:i/>
                        <w:szCs w:val="24"/>
                        <w:lang w:eastAsia="lt-LT"/>
                      </w:rPr>
                    </w:pPr>
                    <w:r>
                      <w:rPr>
                        <w:i/>
                        <w:szCs w:val="24"/>
                        <w:lang w:eastAsia="lt-LT"/>
                      </w:rPr>
                      <w:t>XMLDocument / DocumentData / DocHeader</w:t>
                    </w:r>
                  </w:p>
                </w:tc>
                <w:tc>
                  <w:tcPr>
                    <w:tcW w:w="1967" w:type="dxa"/>
                    <w:shd w:val="clear" w:color="auto" w:fill="auto"/>
                    <w:hideMark/>
                  </w:tcPr>
                  <w:p>
                    <w:pPr>
                      <w:jc w:val="both"/>
                      <w:rPr>
                        <w:i/>
                        <w:color w:val="000000"/>
                        <w:szCs w:val="24"/>
                        <w:lang w:eastAsia="lt-LT"/>
                      </w:rPr>
                    </w:pPr>
                    <w:r>
                      <w:rPr>
                        <w:i/>
                        <w:color w:val="000000"/>
                        <w:szCs w:val="24"/>
                        <w:lang w:eastAsia="lt-LT"/>
                      </w:rPr>
                      <w:t>TaxPeriodStart</w:t>
                    </w:r>
                  </w:p>
                </w:tc>
                <w:tc>
                  <w:tcPr>
                    <w:tcW w:w="1659" w:type="dxa"/>
                    <w:shd w:val="clear" w:color="auto" w:fill="auto"/>
                    <w:hideMark/>
                  </w:tcPr>
                  <w:p>
                    <w:pPr>
                      <w:jc w:val="both"/>
                      <w:rPr>
                        <w:color w:val="000000"/>
                        <w:szCs w:val="24"/>
                        <w:lang w:eastAsia="lt-LT"/>
                      </w:rPr>
                    </w:pPr>
                    <w:r>
                      <w:rPr>
                        <w:color w:val="000000"/>
                        <w:szCs w:val="24"/>
                        <w:lang w:eastAsia="lt-LT"/>
                      </w:rPr>
                      <w:t>data (yyyy-mm-dd)</w:t>
                    </w:r>
                  </w:p>
                </w:tc>
                <w:tc>
                  <w:tcPr>
                    <w:tcW w:w="1982" w:type="dxa"/>
                    <w:shd w:val="clear" w:color="auto" w:fill="auto"/>
                    <w:hideMark/>
                  </w:tcPr>
                  <w:p>
                    <w:pPr>
                      <w:jc w:val="both"/>
                      <w:rPr>
                        <w:color w:val="000000"/>
                        <w:szCs w:val="24"/>
                        <w:lang w:eastAsia="lt-LT"/>
                      </w:rPr>
                    </w:pPr>
                    <w:r>
                      <w:rPr>
                        <w:color w:val="000000"/>
                        <w:szCs w:val="24"/>
                        <w:lang w:eastAsia="lt-LT"/>
                      </w:rPr>
                      <w:t>mokestinio laikotarpio pradžia</w:t>
                    </w:r>
                  </w:p>
                </w:tc>
                <w:tc>
                  <w:tcPr>
                    <w:tcW w:w="5511" w:type="dxa"/>
                    <w:shd w:val="clear" w:color="auto" w:fill="auto"/>
                    <w:hideMark/>
                  </w:tcPr>
                  <w:p>
                    <w:pPr>
                      <w:jc w:val="both"/>
                      <w:rPr>
                        <w:i/>
                        <w:color w:val="000000"/>
                        <w:szCs w:val="24"/>
                        <w:lang w:eastAsia="lt-LT"/>
                      </w:rPr>
                    </w:pPr>
                    <w:r>
                      <w:rPr>
                        <w:color w:val="000000"/>
                        <w:szCs w:val="24"/>
                        <w:lang w:eastAsia="lt-LT"/>
                      </w:rPr>
                      <w:t>Mokestinio laikotarpio (mėnesio) pirmoji diena arba pridėtinės vertės mokesčio (toliau – PVM) mokėtojo, taikančio smulkiojo verslo schemą (toliau – SVS) Lietuvoje, įregistravimo diena.</w:t>
                    </w:r>
                  </w:p>
                </w:tc>
              </w:tr>
              <w:tr>
                <w:tc>
                  <w:tcPr>
                    <w:tcW w:w="597" w:type="dxa"/>
                  </w:tcPr>
                  <w:p>
                    <w:pPr>
                      <w:jc w:val="center"/>
                      <w:rPr>
                        <w:szCs w:val="24"/>
                        <w:lang w:eastAsia="lt-LT"/>
                      </w:rPr>
                    </w:pPr>
                    <w:r>
                      <w:rPr>
                        <w:szCs w:val="24"/>
                        <w:lang w:eastAsia="lt-LT"/>
                      </w:rPr>
                      <w:t>8.</w:t>
                    </w:r>
                  </w:p>
                </w:tc>
                <w:tc>
                  <w:tcPr>
                    <w:tcW w:w="2601" w:type="dxa"/>
                    <w:shd w:val="clear" w:color="auto" w:fill="auto"/>
                    <w:hideMark/>
                  </w:tcPr>
                  <w:p>
                    <w:pPr>
                      <w:jc w:val="both"/>
                      <w:rPr>
                        <w:i/>
                        <w:szCs w:val="24"/>
                        <w:lang w:eastAsia="lt-LT"/>
                      </w:rPr>
                    </w:pPr>
                    <w:r>
                      <w:rPr>
                        <w:i/>
                        <w:szCs w:val="24"/>
                        <w:lang w:eastAsia="lt-LT"/>
                      </w:rPr>
                      <w:t>XMLDocument / DocumentData / DocHeader</w:t>
                    </w:r>
                  </w:p>
                </w:tc>
                <w:tc>
                  <w:tcPr>
                    <w:tcW w:w="1967" w:type="dxa"/>
                    <w:shd w:val="clear" w:color="auto" w:fill="auto"/>
                    <w:hideMark/>
                  </w:tcPr>
                  <w:p>
                    <w:pPr>
                      <w:jc w:val="both"/>
                      <w:rPr>
                        <w:i/>
                        <w:color w:val="000000"/>
                        <w:szCs w:val="24"/>
                        <w:lang w:eastAsia="lt-LT"/>
                      </w:rPr>
                    </w:pPr>
                    <w:r>
                      <w:rPr>
                        <w:i/>
                        <w:color w:val="000000"/>
                        <w:szCs w:val="24"/>
                        <w:lang w:eastAsia="lt-LT"/>
                      </w:rPr>
                      <w:t>TaxPeriodEnd</w:t>
                    </w:r>
                  </w:p>
                </w:tc>
                <w:tc>
                  <w:tcPr>
                    <w:tcW w:w="1659" w:type="dxa"/>
                    <w:shd w:val="clear" w:color="auto" w:fill="auto"/>
                    <w:hideMark/>
                  </w:tcPr>
                  <w:p>
                    <w:pPr>
                      <w:jc w:val="both"/>
                      <w:rPr>
                        <w:color w:val="000000"/>
                        <w:szCs w:val="24"/>
                        <w:lang w:eastAsia="lt-LT"/>
                      </w:rPr>
                    </w:pPr>
                    <w:r>
                      <w:rPr>
                        <w:color w:val="000000"/>
                        <w:szCs w:val="24"/>
                        <w:lang w:eastAsia="lt-LT"/>
                      </w:rPr>
                      <w:t>data (yyyy-mm-dd)</w:t>
                    </w:r>
                  </w:p>
                </w:tc>
                <w:tc>
                  <w:tcPr>
                    <w:tcW w:w="1982" w:type="dxa"/>
                    <w:shd w:val="clear" w:color="auto" w:fill="auto"/>
                    <w:hideMark/>
                  </w:tcPr>
                  <w:p>
                    <w:pPr>
                      <w:jc w:val="both"/>
                      <w:rPr>
                        <w:color w:val="000000"/>
                        <w:szCs w:val="24"/>
                        <w:lang w:eastAsia="lt-LT"/>
                      </w:rPr>
                    </w:pPr>
                    <w:r>
                      <w:rPr>
                        <w:color w:val="000000"/>
                        <w:szCs w:val="24"/>
                        <w:lang w:eastAsia="lt-LT"/>
                      </w:rPr>
                      <w:t>mokestinio laikotarpio pabaiga</w:t>
                    </w:r>
                  </w:p>
                </w:tc>
                <w:tc>
                  <w:tcPr>
                    <w:tcW w:w="5511" w:type="dxa"/>
                    <w:shd w:val="clear" w:color="auto" w:fill="auto"/>
                    <w:hideMark/>
                  </w:tcPr>
                  <w:p>
                    <w:pPr>
                      <w:jc w:val="both"/>
                      <w:rPr>
                        <w:color w:val="000000"/>
                        <w:szCs w:val="24"/>
                        <w:lang w:eastAsia="lt-LT"/>
                      </w:rPr>
                    </w:pPr>
                    <w:r>
                      <w:rPr>
                        <w:color w:val="000000"/>
                        <w:szCs w:val="24"/>
                        <w:lang w:eastAsia="lt-LT"/>
                      </w:rPr>
                      <w:t>Mokestinio laikotarpio (mėnesio) paskutinė diena arba PVM mokėtojo, taikančio SVS Lietuvoje, išregistravimo diena.</w:t>
                    </w:r>
                  </w:p>
                  <w:p>
                    <w:pPr>
                      <w:jc w:val="both"/>
                      <w:rPr>
                        <w:i/>
                        <w:color w:val="8496B0"/>
                        <w:szCs w:val="24"/>
                        <w:lang w:eastAsia="lt-LT"/>
                      </w:rPr>
                    </w:pPr>
                    <w:r>
                      <w:rPr>
                        <w:color w:val="000000"/>
                        <w:szCs w:val="24"/>
                        <w:lang w:eastAsia="lt-LT"/>
                      </w:rPr>
                      <w:t xml:space="preserve">Laikotarpis nuo </w:t>
                    </w:r>
                    <w:r>
                      <w:rPr>
                        <w:i/>
                        <w:color w:val="000000"/>
                        <w:szCs w:val="24"/>
                        <w:lang w:eastAsia="lt-LT"/>
                      </w:rPr>
                      <w:t>TaxPeriodStart</w:t>
                    </w:r>
                    <w:r>
                      <w:rPr>
                        <w:color w:val="000000"/>
                        <w:szCs w:val="24"/>
                        <w:lang w:eastAsia="lt-LT"/>
                      </w:rPr>
                      <w:t xml:space="preserve"> iki </w:t>
                    </w:r>
                    <w:r>
                      <w:rPr>
                        <w:i/>
                        <w:color w:val="000000"/>
                        <w:szCs w:val="24"/>
                        <w:lang w:eastAsia="lt-LT"/>
                      </w:rPr>
                      <w:t>TaxPeriodEnd</w:t>
                    </w:r>
                    <w:r>
                      <w:rPr>
                        <w:color w:val="000000"/>
                        <w:szCs w:val="24"/>
                        <w:lang w:eastAsia="lt-LT"/>
                      </w:rPr>
                      <w:t xml:space="preserve"> turi būti PVM mokėtojo, taikančio SVS Lietuvoje, įregistravimo laikotarpis be pertraukų. Jei tą mėnesį yra PVM mokėtojo, taikančio SVS Lietuvoje, įregistravimo pertraukų – už kiekvieną tokio įregistravimo tarpsnį teikiamos atskiros tų mokestinių laikotarpių Deklaracijos PVM101.</w:t>
                    </w:r>
                  </w:p>
                </w:tc>
              </w:tr>
              <w:tr>
                <w:tc>
                  <w:tcPr>
                    <w:tcW w:w="597" w:type="dxa"/>
                  </w:tcPr>
                  <w:p>
                    <w:pPr>
                      <w:jc w:val="center"/>
                      <w:rPr>
                        <w:szCs w:val="24"/>
                        <w:lang w:eastAsia="lt-LT"/>
                      </w:rPr>
                    </w:pPr>
                    <w:r>
                      <w:rPr>
                        <w:szCs w:val="24"/>
                        <w:lang w:eastAsia="lt-LT"/>
                      </w:rPr>
                      <w:t>9.</w:t>
                    </w:r>
                  </w:p>
                </w:tc>
                <w:tc>
                  <w:tcPr>
                    <w:tcW w:w="2601" w:type="dxa"/>
                    <w:shd w:val="clear" w:color="auto" w:fill="auto"/>
                    <w:hideMark/>
                  </w:tcPr>
                  <w:p>
                    <w:pPr>
                      <w:jc w:val="both"/>
                      <w:rPr>
                        <w:i/>
                        <w:szCs w:val="24"/>
                        <w:lang w:eastAsia="lt-LT"/>
                      </w:rPr>
                    </w:pPr>
                    <w:r>
                      <w:rPr>
                        <w:i/>
                        <w:szCs w:val="24"/>
                        <w:lang w:eastAsia="lt-LT"/>
                      </w:rPr>
                      <w:t>XMLDocument / DocumentData / DocHeader / ExtraData</w:t>
                    </w:r>
                  </w:p>
                </w:tc>
                <w:tc>
                  <w:tcPr>
                    <w:tcW w:w="1967" w:type="dxa"/>
                    <w:shd w:val="clear" w:color="auto" w:fill="auto"/>
                    <w:hideMark/>
                  </w:tcPr>
                  <w:p>
                    <w:pPr>
                      <w:jc w:val="both"/>
                      <w:rPr>
                        <w:i/>
                        <w:color w:val="000000"/>
                        <w:szCs w:val="24"/>
                        <w:lang w:eastAsia="lt-LT"/>
                      </w:rPr>
                    </w:pPr>
                    <w:r>
                      <w:rPr>
                        <w:i/>
                        <w:color w:val="000000"/>
                        <w:szCs w:val="24"/>
                        <w:lang w:eastAsia="lt-LT"/>
                      </w:rPr>
                      <w:t>VATPayerType</w:t>
                    </w:r>
                  </w:p>
                </w:tc>
                <w:tc>
                  <w:tcPr>
                    <w:tcW w:w="1659" w:type="dxa"/>
                    <w:shd w:val="clear" w:color="auto" w:fill="auto"/>
                    <w:hideMark/>
                  </w:tcPr>
                  <w:p>
                    <w:pPr>
                      <w:jc w:val="both"/>
                      <w:rPr>
                        <w:color w:val="000000"/>
                        <w:szCs w:val="24"/>
                        <w:lang w:eastAsia="lt-LT"/>
                      </w:rPr>
                    </w:pPr>
                    <w:r>
                      <w:rPr>
                        <w:color w:val="000000"/>
                        <w:szCs w:val="24"/>
                        <w:lang w:eastAsia="lt-LT"/>
                      </w:rPr>
                      <w:t>tekstas</w:t>
                    </w:r>
                  </w:p>
                </w:tc>
                <w:tc>
                  <w:tcPr>
                    <w:tcW w:w="1982" w:type="dxa"/>
                    <w:shd w:val="clear" w:color="auto" w:fill="auto"/>
                    <w:hideMark/>
                  </w:tcPr>
                  <w:p>
                    <w:pPr>
                      <w:jc w:val="both"/>
                      <w:rPr>
                        <w:color w:val="000000"/>
                        <w:szCs w:val="24"/>
                        <w:lang w:eastAsia="lt-LT"/>
                      </w:rPr>
                    </w:pPr>
                    <w:r>
                      <w:rPr>
                        <w:color w:val="000000"/>
                        <w:szCs w:val="24"/>
                        <w:lang w:eastAsia="lt-LT"/>
                      </w:rPr>
                      <w:t>PVM mokėtojo tipas</w:t>
                    </w:r>
                  </w:p>
                </w:tc>
                <w:tc>
                  <w:tcPr>
                    <w:tcW w:w="5511" w:type="dxa"/>
                    <w:shd w:val="clear" w:color="auto" w:fill="auto"/>
                    <w:hideMark/>
                  </w:tcPr>
                  <w:p>
                    <w:pPr>
                      <w:jc w:val="both"/>
                      <w:rPr>
                        <w:bCs/>
                        <w:color w:val="000000"/>
                        <w:szCs w:val="24"/>
                      </w:rPr>
                    </w:pPr>
                    <w:r>
                      <w:rPr>
                        <w:bCs/>
                        <w:color w:val="000000"/>
                        <w:szCs w:val="24"/>
                      </w:rPr>
                      <w:t xml:space="preserve">PVM mokėtojo tipų klasifikatoriaus, pateikto </w:t>
                    </w:r>
                    <w:r>
                      <w:rPr>
                        <w:color w:val="000000"/>
                        <w:szCs w:val="24"/>
                        <w:lang w:eastAsia="lt-LT"/>
                      </w:rPr>
                      <w:t>Pridėtinės vertės mokesčio mokėtojų, taikančių smulkiojo verslo schemą Lietuvoje, Pridėtinės vertės mokesčio deklaracijos PVM101 užpildymo ir pateikimo taisyklių</w:t>
                    </w:r>
                    <w:r>
                      <w:rPr>
                        <w:color w:val="000000"/>
                        <w:szCs w:val="24"/>
                      </w:rPr>
                      <w:t xml:space="preserve"> (toliau – </w:t>
                    </w:r>
                    <w:r>
                      <w:rPr>
                        <w:bCs/>
                        <w:color w:val="000000"/>
                        <w:szCs w:val="24"/>
                      </w:rPr>
                      <w:t xml:space="preserve">Taisyklių) 2 priede, kodas. </w:t>
                    </w:r>
                  </w:p>
                  <w:p>
                    <w:pPr>
                      <w:jc w:val="both"/>
                      <w:rPr>
                        <w:i/>
                        <w:color w:val="000000"/>
                        <w:szCs w:val="24"/>
                        <w:lang w:eastAsia="lt-LT"/>
                      </w:rPr>
                    </w:pPr>
                    <w:r>
                      <w:rPr>
                        <w:color w:val="000000"/>
                        <w:szCs w:val="24"/>
                        <w:lang w:eastAsia="lt-LT"/>
                      </w:rPr>
                      <w:t>Reikšmė „S“ – PVM mokėtojas, taikantis SVS Lietuvoje.</w:t>
                    </w:r>
                  </w:p>
                </w:tc>
              </w:tr>
              <w:tr>
                <w:tc>
                  <w:tcPr>
                    <w:tcW w:w="597" w:type="dxa"/>
                  </w:tcPr>
                  <w:p>
                    <w:pPr>
                      <w:jc w:val="center"/>
                      <w:rPr>
                        <w:szCs w:val="24"/>
                        <w:lang w:eastAsia="lt-LT"/>
                      </w:rPr>
                    </w:pPr>
                    <w:r>
                      <w:rPr>
                        <w:szCs w:val="24"/>
                        <w:lang w:eastAsia="lt-LT"/>
                      </w:rPr>
                      <w:t>10.</w:t>
                    </w:r>
                  </w:p>
                </w:tc>
                <w:tc>
                  <w:tcPr>
                    <w:tcW w:w="2601" w:type="dxa"/>
                    <w:shd w:val="clear" w:color="auto" w:fill="auto"/>
                  </w:tcPr>
                  <w:p>
                    <w:pPr>
                      <w:jc w:val="both"/>
                      <w:rPr>
                        <w:i/>
                        <w:szCs w:val="24"/>
                        <w:lang w:eastAsia="lt-LT"/>
                      </w:rPr>
                    </w:pPr>
                    <w:r>
                      <w:rPr>
                        <w:i/>
                        <w:szCs w:val="24"/>
                        <w:lang w:eastAsia="lt-LT"/>
                      </w:rPr>
                      <w:t>XMLDocument / DocumentData / DocHeader / ExtraData</w:t>
                    </w:r>
                  </w:p>
                </w:tc>
                <w:tc>
                  <w:tcPr>
                    <w:tcW w:w="1967" w:type="dxa"/>
                    <w:shd w:val="clear" w:color="auto" w:fill="auto"/>
                  </w:tcPr>
                  <w:p>
                    <w:pPr>
                      <w:jc w:val="both"/>
                      <w:rPr>
                        <w:i/>
                        <w:color w:val="000000"/>
                        <w:szCs w:val="24"/>
                        <w:lang w:eastAsia="lt-LT"/>
                      </w:rPr>
                    </w:pPr>
                    <w:r>
                      <w:rPr>
                        <w:i/>
                        <w:color w:val="000000"/>
                        <w:szCs w:val="24"/>
                        <w:lang w:eastAsia="lt-LT"/>
                      </w:rPr>
                      <w:t>TaxPeriodType</w:t>
                    </w:r>
                  </w:p>
                </w:tc>
                <w:tc>
                  <w:tcPr>
                    <w:tcW w:w="1659" w:type="dxa"/>
                    <w:shd w:val="clear" w:color="auto" w:fill="auto"/>
                  </w:tcPr>
                  <w:p>
                    <w:pPr>
                      <w:jc w:val="both"/>
                      <w:rPr>
                        <w:color w:val="000000"/>
                        <w:szCs w:val="24"/>
                        <w:lang w:eastAsia="lt-LT"/>
                      </w:rPr>
                    </w:pPr>
                    <w:r>
                      <w:rPr>
                        <w:color w:val="000000"/>
                        <w:szCs w:val="24"/>
                        <w:lang w:eastAsia="lt-LT"/>
                      </w:rPr>
                      <w:t>tekstas</w:t>
                    </w:r>
                  </w:p>
                </w:tc>
                <w:tc>
                  <w:tcPr>
                    <w:tcW w:w="1982" w:type="dxa"/>
                    <w:shd w:val="clear" w:color="auto" w:fill="auto"/>
                  </w:tcPr>
                  <w:p>
                    <w:pPr>
                      <w:jc w:val="both"/>
                      <w:rPr>
                        <w:color w:val="000000"/>
                        <w:szCs w:val="24"/>
                        <w:lang w:eastAsia="lt-LT"/>
                      </w:rPr>
                    </w:pPr>
                    <w:r>
                      <w:rPr>
                        <w:color w:val="000000"/>
                        <w:szCs w:val="24"/>
                        <w:lang w:eastAsia="lt-LT"/>
                      </w:rPr>
                      <w:t>Deklaruojamo laikotarpio tipas</w:t>
                    </w:r>
                  </w:p>
                </w:tc>
                <w:tc>
                  <w:tcPr>
                    <w:tcW w:w="5511" w:type="dxa"/>
                    <w:shd w:val="clear" w:color="auto" w:fill="auto"/>
                  </w:tcPr>
                  <w:p>
                    <w:pPr>
                      <w:jc w:val="both"/>
                      <w:rPr>
                        <w:bCs/>
                        <w:color w:val="000000"/>
                        <w:szCs w:val="24"/>
                      </w:rPr>
                    </w:pPr>
                    <w:r>
                      <w:rPr>
                        <w:bCs/>
                        <w:color w:val="000000"/>
                        <w:szCs w:val="24"/>
                      </w:rPr>
                      <w:t xml:space="preserve">Deklaruojamo laikotarpio tipų klasifikatoriaus, pateikto </w:t>
                    </w:r>
                    <w:r>
                      <w:rPr>
                        <w:color w:val="000000"/>
                        <w:szCs w:val="24"/>
                        <w:lang w:eastAsia="lt-LT"/>
                      </w:rPr>
                      <w:t>Pridėtinės vertės mokesčio mokėtojų, taikančių smulkiojo verslo schemą Lietuvoje, Pridėtinės vertės mokesčio deklaracijos PVM101 užpildymo ir pateikimo taisyklių</w:t>
                    </w:r>
                    <w:r>
                      <w:rPr>
                        <w:color w:val="000000"/>
                        <w:szCs w:val="24"/>
                      </w:rPr>
                      <w:t xml:space="preserve"> (toliau – </w:t>
                    </w:r>
                    <w:r>
                      <w:rPr>
                        <w:bCs/>
                        <w:color w:val="000000"/>
                        <w:szCs w:val="24"/>
                      </w:rPr>
                      <w:t>Taisyklių) 2 priede, kodas.</w:t>
                    </w:r>
                  </w:p>
                  <w:p>
                    <w:pPr>
                      <w:jc w:val="both"/>
                      <w:rPr>
                        <w:bCs/>
                        <w:color w:val="000000"/>
                        <w:szCs w:val="24"/>
                      </w:rPr>
                    </w:pPr>
                    <w:r>
                      <w:rPr>
                        <w:bCs/>
                        <w:color w:val="000000"/>
                        <w:szCs w:val="24"/>
                      </w:rPr>
                      <w:t xml:space="preserve">Reikšmė „V“ – </w:t>
                    </w:r>
                    <w:r>
                      <w:rPr>
                        <w:szCs w:val="24"/>
                        <w:lang w:eastAsia="lt-LT"/>
                      </w:rPr>
                      <w:t xml:space="preserve">Deklaravimo metu </w:t>
                    </w:r>
                    <w:r>
                      <w:rPr>
                        <w:bCs/>
                        <w:color w:val="000000"/>
                        <w:szCs w:val="24"/>
                      </w:rPr>
                      <w:t>VMI žinomas laikotarpis.</w:t>
                    </w:r>
                  </w:p>
                </w:tc>
              </w:tr>
              <w:tr>
                <w:tc>
                  <w:tcPr>
                    <w:tcW w:w="597" w:type="dxa"/>
                  </w:tcPr>
                  <w:p>
                    <w:pPr>
                      <w:jc w:val="center"/>
                      <w:rPr>
                        <w:szCs w:val="24"/>
                        <w:lang w:eastAsia="lt-LT"/>
                      </w:rPr>
                    </w:pPr>
                    <w:r>
                      <w:rPr>
                        <w:szCs w:val="24"/>
                        <w:lang w:eastAsia="lt-LT"/>
                      </w:rPr>
                      <w:t>11.</w:t>
                    </w:r>
                  </w:p>
                </w:tc>
                <w:tc>
                  <w:tcPr>
                    <w:tcW w:w="2601" w:type="dxa"/>
                    <w:shd w:val="clear" w:color="auto" w:fill="auto"/>
                    <w:hideMark/>
                  </w:tcPr>
                  <w:p>
                    <w:pPr>
                      <w:jc w:val="both"/>
                      <w:rPr>
                        <w:i/>
                        <w:szCs w:val="24"/>
                        <w:lang w:eastAsia="lt-LT"/>
                      </w:rPr>
                    </w:pPr>
                    <w:r>
                      <w:rPr>
                        <w:i/>
                        <w:szCs w:val="24"/>
                        <w:lang w:eastAsia="lt-LT"/>
                      </w:rPr>
                      <w:t>XMLDocument / DocumentData / DocHeader / ExtraData</w:t>
                    </w:r>
                  </w:p>
                </w:tc>
                <w:tc>
                  <w:tcPr>
                    <w:tcW w:w="1967" w:type="dxa"/>
                    <w:shd w:val="clear" w:color="auto" w:fill="auto"/>
                    <w:hideMark/>
                  </w:tcPr>
                  <w:p>
                    <w:pPr>
                      <w:jc w:val="both"/>
                      <w:rPr>
                        <w:i/>
                        <w:color w:val="000000"/>
                        <w:szCs w:val="24"/>
                        <w:lang w:eastAsia="lt-LT"/>
                      </w:rPr>
                    </w:pPr>
                    <w:r>
                      <w:rPr>
                        <w:i/>
                        <w:color w:val="000000"/>
                        <w:szCs w:val="24"/>
                        <w:lang w:eastAsia="lt-LT"/>
                      </w:rPr>
                      <w:t>VATCode</w:t>
                    </w:r>
                  </w:p>
                </w:tc>
                <w:tc>
                  <w:tcPr>
                    <w:tcW w:w="1659" w:type="dxa"/>
                    <w:shd w:val="clear" w:color="auto" w:fill="auto"/>
                    <w:hideMark/>
                  </w:tcPr>
                  <w:p>
                    <w:pPr>
                      <w:jc w:val="both"/>
                      <w:rPr>
                        <w:color w:val="000000"/>
                        <w:szCs w:val="24"/>
                        <w:lang w:eastAsia="lt-LT"/>
                      </w:rPr>
                    </w:pPr>
                    <w:r>
                      <w:rPr>
                        <w:color w:val="000000"/>
                        <w:szCs w:val="24"/>
                        <w:lang w:eastAsia="lt-LT"/>
                      </w:rPr>
                      <w:t>tekstas, neprivalomas</w:t>
                    </w:r>
                  </w:p>
                </w:tc>
                <w:tc>
                  <w:tcPr>
                    <w:tcW w:w="1982" w:type="dxa"/>
                    <w:shd w:val="clear" w:color="auto" w:fill="auto"/>
                    <w:hideMark/>
                  </w:tcPr>
                  <w:p>
                    <w:pPr>
                      <w:jc w:val="both"/>
                      <w:rPr>
                        <w:color w:val="000000"/>
                        <w:szCs w:val="24"/>
                        <w:lang w:eastAsia="lt-LT"/>
                      </w:rPr>
                    </w:pPr>
                    <w:r>
                      <w:rPr>
                        <w:color w:val="000000"/>
                        <w:szCs w:val="24"/>
                        <w:lang w:eastAsia="lt-LT"/>
                      </w:rPr>
                      <w:t>PVM mokėtojo kodas</w:t>
                    </w:r>
                  </w:p>
                </w:tc>
                <w:tc>
                  <w:tcPr>
                    <w:tcW w:w="5511" w:type="dxa"/>
                    <w:shd w:val="clear" w:color="auto" w:fill="auto"/>
                    <w:hideMark/>
                  </w:tcPr>
                  <w:p>
                    <w:pPr>
                      <w:jc w:val="both"/>
                      <w:rPr>
                        <w:color w:val="000000"/>
                        <w:szCs w:val="24"/>
                        <w:lang w:eastAsia="lt-LT"/>
                      </w:rPr>
                    </w:pPr>
                    <w:r>
                      <w:rPr>
                        <w:color w:val="000000"/>
                        <w:szCs w:val="24"/>
                        <w:lang w:eastAsia="lt-LT"/>
                      </w:rPr>
                      <w:t>PVM mokėtojo kodas (Lietuvos Respublikoje).</w:t>
                    </w:r>
                  </w:p>
                  <w:p>
                    <w:pPr>
                      <w:jc w:val="both"/>
                      <w:rPr>
                        <w:color w:val="000000"/>
                        <w:szCs w:val="24"/>
                        <w:lang w:eastAsia="lt-LT"/>
                      </w:rPr>
                    </w:pPr>
                    <w:r>
                      <w:rPr>
                        <w:color w:val="000000"/>
                        <w:szCs w:val="24"/>
                        <w:lang w:eastAsia="lt-LT"/>
                      </w:rPr>
                      <w:t>Automatiškai užpildomas duomuo pagal EDS atstovaujamą mokesčių mokėtoją.</w:t>
                    </w:r>
                  </w:p>
                </w:tc>
              </w:tr>
              <w:tr>
                <w:tc>
                  <w:tcPr>
                    <w:tcW w:w="597" w:type="dxa"/>
                  </w:tcPr>
                  <w:p>
                    <w:pPr>
                      <w:jc w:val="center"/>
                      <w:rPr>
                        <w:szCs w:val="24"/>
                        <w:lang w:eastAsia="lt-LT"/>
                      </w:rPr>
                    </w:pPr>
                    <w:r>
                      <w:rPr>
                        <w:szCs w:val="24"/>
                        <w:lang w:eastAsia="lt-LT"/>
                      </w:rPr>
                      <w:t>12.</w:t>
                    </w:r>
                  </w:p>
                </w:tc>
                <w:tc>
                  <w:tcPr>
                    <w:tcW w:w="2601" w:type="dxa"/>
                    <w:shd w:val="clear" w:color="auto" w:fill="auto"/>
                    <w:hideMark/>
                  </w:tcPr>
                  <w:p>
                    <w:pPr>
                      <w:jc w:val="both"/>
                      <w:rPr>
                        <w:i/>
                        <w:szCs w:val="24"/>
                        <w:lang w:eastAsia="lt-LT"/>
                      </w:rPr>
                    </w:pPr>
                    <w:r>
                      <w:rPr>
                        <w:i/>
                        <w:szCs w:val="24"/>
                        <w:lang w:eastAsia="lt-LT"/>
                      </w:rPr>
                      <w:t>XMLDocument / DocumentData / DocHeader / ExtraData</w:t>
                    </w:r>
                  </w:p>
                </w:tc>
                <w:tc>
                  <w:tcPr>
                    <w:tcW w:w="1967" w:type="dxa"/>
                    <w:shd w:val="clear" w:color="auto" w:fill="auto"/>
                    <w:hideMark/>
                  </w:tcPr>
                  <w:p>
                    <w:pPr>
                      <w:jc w:val="both"/>
                      <w:rPr>
                        <w:i/>
                        <w:color w:val="000000"/>
                        <w:szCs w:val="24"/>
                        <w:lang w:eastAsia="lt-LT"/>
                      </w:rPr>
                    </w:pPr>
                    <w:r>
                      <w:rPr>
                        <w:i/>
                        <w:color w:val="000000"/>
                        <w:szCs w:val="24"/>
                        <w:lang w:eastAsia="lt-LT"/>
                      </w:rPr>
                      <w:t>ExistsData</w:t>
                    </w:r>
                  </w:p>
                </w:tc>
                <w:tc>
                  <w:tcPr>
                    <w:tcW w:w="1659" w:type="dxa"/>
                    <w:shd w:val="clear" w:color="auto" w:fill="auto"/>
                    <w:hideMark/>
                  </w:tcPr>
                  <w:p>
                    <w:pPr>
                      <w:jc w:val="both"/>
                      <w:rPr>
                        <w:color w:val="000000"/>
                        <w:szCs w:val="24"/>
                        <w:lang w:eastAsia="lt-LT"/>
                      </w:rPr>
                    </w:pPr>
                    <w:r>
                      <w:rPr>
                        <w:color w:val="000000"/>
                        <w:szCs w:val="24"/>
                        <w:lang w:eastAsia="lt-LT"/>
                      </w:rPr>
                      <w:t>tekstas (T / N)</w:t>
                    </w:r>
                  </w:p>
                </w:tc>
                <w:tc>
                  <w:tcPr>
                    <w:tcW w:w="1982" w:type="dxa"/>
                    <w:shd w:val="clear" w:color="auto" w:fill="auto"/>
                    <w:hideMark/>
                  </w:tcPr>
                  <w:p>
                    <w:pPr>
                      <w:jc w:val="both"/>
                      <w:rPr>
                        <w:color w:val="000000"/>
                        <w:szCs w:val="24"/>
                        <w:lang w:eastAsia="lt-LT"/>
                      </w:rPr>
                    </w:pPr>
                    <w:r>
                      <w:rPr>
                        <w:color w:val="000000"/>
                        <w:szCs w:val="24"/>
                        <w:lang w:eastAsia="lt-LT"/>
                      </w:rPr>
                      <w:t>požymis, ar yra deklaruojamų duomenų</w:t>
                    </w:r>
                  </w:p>
                </w:tc>
                <w:tc>
                  <w:tcPr>
                    <w:tcW w:w="5511" w:type="dxa"/>
                    <w:shd w:val="clear" w:color="auto" w:fill="auto"/>
                    <w:hideMark/>
                  </w:tcPr>
                  <w:p>
                    <w:pPr>
                      <w:jc w:val="both"/>
                      <w:rPr>
                        <w:color w:val="000000"/>
                        <w:szCs w:val="24"/>
                        <w:lang w:eastAsia="lt-LT"/>
                      </w:rPr>
                    </w:pPr>
                    <w:r>
                      <w:rPr>
                        <w:szCs w:val="24"/>
                        <w:lang w:eastAsia="lt-LT"/>
                      </w:rPr>
                      <w:t xml:space="preserve">Mokesčių </w:t>
                    </w:r>
                    <w:r>
                      <w:rPr>
                        <w:color w:val="000000"/>
                        <w:szCs w:val="24"/>
                        <w:lang w:eastAsia="lt-LT"/>
                      </w:rPr>
                      <w:t>mokėtojo pasirenkamas duomuo:</w:t>
                    </w:r>
                  </w:p>
                  <w:p>
                    <w:pPr>
                      <w:jc w:val="both"/>
                      <w:rPr>
                        <w:color w:val="000000"/>
                        <w:szCs w:val="24"/>
                        <w:lang w:eastAsia="lt-LT"/>
                      </w:rPr>
                    </w:pPr>
                    <w:r>
                      <w:rPr>
                        <w:color w:val="000000"/>
                        <w:szCs w:val="24"/>
                        <w:lang w:eastAsia="lt-LT"/>
                      </w:rPr>
                      <w:t>Požymis (T – taip) parodo, kad mokestiniu laikotarpiu mokesčio mokėtojo tipui buvo deklaruotinų duomenų, kurių rūšys išvardytos Taisyklių 2 priede. Automatiškai pasiūloma reikšmė.</w:t>
                    </w:r>
                  </w:p>
                  <w:p>
                    <w:pPr>
                      <w:jc w:val="both"/>
                      <w:rPr>
                        <w:color w:val="000000"/>
                        <w:szCs w:val="24"/>
                        <w:lang w:eastAsia="lt-LT"/>
                      </w:rPr>
                    </w:pPr>
                    <w:r>
                      <w:rPr>
                        <w:color w:val="000000"/>
                        <w:szCs w:val="24"/>
                        <w:lang w:eastAsia="lt-LT"/>
                      </w:rPr>
                      <w:t>Požymis (N – ne) parodo, kad nebuvo jokių deklaruotinų duomenų.</w:t>
                    </w:r>
                  </w:p>
                  <w:p>
                    <w:pPr>
                      <w:jc w:val="both"/>
                      <w:rPr>
                        <w:color w:val="000000"/>
                        <w:szCs w:val="24"/>
                        <w:lang w:eastAsia="lt-LT"/>
                      </w:rPr>
                    </w:pPr>
                    <w:r>
                      <w:rPr>
                        <w:color w:val="000000"/>
                        <w:szCs w:val="24"/>
                        <w:lang w:eastAsia="lt-LT"/>
                      </w:rPr>
                      <w:t>PVM mokėtojas, taikantis SVS Lietuvoje, gali iš viso neteikti deklaracijos, jei atitinkamą laikotarpį nebuvo jokių deklaruotinų verčių, PVM.</w:t>
                    </w:r>
                  </w:p>
                  <w:p>
                    <w:pPr>
                      <w:jc w:val="both"/>
                      <w:rPr>
                        <w:color w:val="000000"/>
                        <w:szCs w:val="24"/>
                        <w:lang w:eastAsia="lt-LT"/>
                      </w:rPr>
                    </w:pPr>
                    <w:r>
                      <w:rPr>
                        <w:color w:val="000000"/>
                        <w:szCs w:val="24"/>
                        <w:lang w:eastAsia="lt-LT"/>
                      </w:rPr>
                      <w:t>Jei mokesčio mokėtojas suklydo ir pateikė deklaraciją su duomenimis, kurių faktiškai nebuvo, tai jis duomenis patikslina, pateikdamas naują to paties laikotarpio deklaraciją su šio požymio reikšme N (ne).</w:t>
                    </w:r>
                  </w:p>
                </w:tc>
              </w:tr>
              <w:tr>
                <w:tc>
                  <w:tcPr>
                    <w:tcW w:w="597" w:type="dxa"/>
                  </w:tcPr>
                  <w:p>
                    <w:pPr>
                      <w:jc w:val="center"/>
                      <w:rPr>
                        <w:szCs w:val="24"/>
                        <w:lang w:eastAsia="lt-LT"/>
                      </w:rPr>
                    </w:pPr>
                    <w:r>
                      <w:rPr>
                        <w:szCs w:val="24"/>
                        <w:lang w:eastAsia="lt-LT"/>
                      </w:rPr>
                      <w:t>13.</w:t>
                    </w:r>
                  </w:p>
                </w:tc>
                <w:tc>
                  <w:tcPr>
                    <w:tcW w:w="2601" w:type="dxa"/>
                    <w:shd w:val="clear" w:color="auto" w:fill="auto"/>
                  </w:tcPr>
                  <w:p>
                    <w:pPr>
                      <w:jc w:val="both"/>
                      <w:rPr>
                        <w:i/>
                        <w:szCs w:val="24"/>
                        <w:lang w:eastAsia="lt-LT"/>
                      </w:rPr>
                    </w:pPr>
                    <w:r>
                      <w:rPr>
                        <w:i/>
                        <w:szCs w:val="24"/>
                        <w:lang w:eastAsia="lt-LT"/>
                      </w:rPr>
                      <w:t>XMLDocument / DocumentData / DocHeader / ExtraData</w:t>
                    </w:r>
                  </w:p>
                </w:tc>
                <w:tc>
                  <w:tcPr>
                    <w:tcW w:w="1967" w:type="dxa"/>
                    <w:shd w:val="clear" w:color="auto" w:fill="auto"/>
                  </w:tcPr>
                  <w:p>
                    <w:pPr>
                      <w:jc w:val="both"/>
                      <w:rPr>
                        <w:i/>
                        <w:color w:val="000000"/>
                        <w:szCs w:val="24"/>
                        <w:lang w:eastAsia="lt-LT"/>
                      </w:rPr>
                    </w:pPr>
                    <w:r>
                      <w:rPr>
                        <w:i/>
                        <w:color w:val="000000"/>
                        <w:szCs w:val="24"/>
                        <w:lang w:eastAsia="lt-LT"/>
                      </w:rPr>
                      <w:t>ReturnWillingness</w:t>
                    </w:r>
                  </w:p>
                </w:tc>
                <w:tc>
                  <w:tcPr>
                    <w:tcW w:w="1659" w:type="dxa"/>
                    <w:shd w:val="clear" w:color="auto" w:fill="auto"/>
                  </w:tcPr>
                  <w:p>
                    <w:pPr>
                      <w:jc w:val="both"/>
                      <w:rPr>
                        <w:color w:val="000000"/>
                        <w:szCs w:val="24"/>
                        <w:lang w:eastAsia="lt-LT"/>
                      </w:rPr>
                    </w:pPr>
                    <w:r>
                      <w:rPr>
                        <w:color w:val="000000"/>
                        <w:szCs w:val="24"/>
                        <w:lang w:eastAsia="lt-LT"/>
                      </w:rPr>
                      <w:t>tekstas (T / N)</w:t>
                    </w:r>
                  </w:p>
                  <w:p>
                    <w:pPr>
                      <w:jc w:val="both"/>
                      <w:rPr>
                        <w:color w:val="000000"/>
                        <w:szCs w:val="24"/>
                        <w:lang w:eastAsia="lt-LT"/>
                      </w:rPr>
                    </w:pPr>
                    <w:r>
                      <w:rPr>
                        <w:color w:val="000000"/>
                        <w:szCs w:val="24"/>
                        <w:lang w:eastAsia="lt-LT"/>
                      </w:rPr>
                      <w:t>neprivalomas</w:t>
                    </w:r>
                  </w:p>
                </w:tc>
                <w:tc>
                  <w:tcPr>
                    <w:tcW w:w="1982" w:type="dxa"/>
                    <w:shd w:val="clear" w:color="auto" w:fill="auto"/>
                  </w:tcPr>
                  <w:p>
                    <w:pPr>
                      <w:jc w:val="both"/>
                      <w:rPr>
                        <w:color w:val="000000"/>
                        <w:szCs w:val="24"/>
                        <w:lang w:eastAsia="lt-LT"/>
                      </w:rPr>
                    </w:pPr>
                    <w:r>
                      <w:rPr>
                        <w:color w:val="000000"/>
                        <w:szCs w:val="24"/>
                        <w:lang w:eastAsia="lt-LT"/>
                      </w:rPr>
                      <w:t>Požymis, ar pageidauja grąžintis PVM permoką</w:t>
                    </w:r>
                  </w:p>
                </w:tc>
                <w:tc>
                  <w:tcPr>
                    <w:tcW w:w="5511" w:type="dxa"/>
                    <w:shd w:val="clear" w:color="auto" w:fill="auto"/>
                  </w:tcPr>
                  <w:p>
                    <w:pPr>
                      <w:jc w:val="both"/>
                      <w:rPr>
                        <w:color w:val="000000"/>
                        <w:szCs w:val="24"/>
                        <w:lang w:eastAsia="lt-LT"/>
                      </w:rPr>
                    </w:pPr>
                    <w:r>
                      <w:rPr>
                        <w:szCs w:val="24"/>
                        <w:lang w:eastAsia="lt-LT"/>
                      </w:rPr>
                      <w:t>Mokesčio m</w:t>
                    </w:r>
                    <w:r>
                      <w:rPr>
                        <w:color w:val="000000"/>
                        <w:szCs w:val="24"/>
                        <w:lang w:eastAsia="lt-LT"/>
                      </w:rPr>
                      <w:t>okėtojo pasirenkamas duomuo:</w:t>
                    </w:r>
                  </w:p>
                  <w:p>
                    <w:pPr>
                      <w:jc w:val="both"/>
                      <w:rPr>
                        <w:color w:val="000000"/>
                        <w:szCs w:val="24"/>
                        <w:lang w:eastAsia="lt-LT"/>
                      </w:rPr>
                    </w:pPr>
                    <w:r>
                      <w:rPr>
                        <w:color w:val="000000"/>
                        <w:szCs w:val="24"/>
                        <w:lang w:eastAsia="lt-LT"/>
                      </w:rPr>
                      <w:t xml:space="preserve">Požymis (T– taip) parodo, kad mokesčio mokėtojas pageidauja automatiškai susigrąžinti apskaičiuotą PVM permoką (po kitų nepriemokų įskaitymo). </w:t>
                    </w:r>
                  </w:p>
                  <w:p>
                    <w:pPr>
                      <w:jc w:val="both"/>
                      <w:rPr>
                        <w:color w:val="000000"/>
                        <w:szCs w:val="24"/>
                        <w:lang w:eastAsia="lt-LT"/>
                      </w:rPr>
                    </w:pPr>
                    <w:r>
                      <w:rPr>
                        <w:color w:val="000000"/>
                        <w:szCs w:val="24"/>
                        <w:lang w:eastAsia="lt-LT"/>
                      </w:rPr>
                      <w:t xml:space="preserve">Požymis (N – ne) parodo, kad mokesčio mokėtojas nepageidauja automatiškai susigrąžinti permokos. </w:t>
                    </w:r>
                  </w:p>
                  <w:p>
                    <w:pPr>
                      <w:jc w:val="both"/>
                      <w:rPr>
                        <w:color w:val="000000"/>
                        <w:szCs w:val="24"/>
                        <w:lang w:eastAsia="lt-LT"/>
                      </w:rPr>
                    </w:pPr>
                    <w:r>
                      <w:rPr>
                        <w:color w:val="000000"/>
                        <w:szCs w:val="24"/>
                        <w:lang w:eastAsia="lt-LT"/>
                      </w:rPr>
                      <w:t>Nurodomas tik tada, kai deklaracijoje apskaičiuota permoka (</w:t>
                    </w:r>
                    <w:r>
                      <w:rPr>
                        <w:i/>
                        <w:color w:val="000000"/>
                        <w:szCs w:val="24"/>
                        <w:lang w:eastAsia="lt-LT"/>
                      </w:rPr>
                      <w:t>VATAmount</w:t>
                    </w:r>
                    <w:r>
                      <w:rPr>
                        <w:color w:val="000000"/>
                        <w:szCs w:val="24"/>
                        <w:lang w:eastAsia="lt-LT"/>
                      </w:rPr>
                      <w:t xml:space="preserve"> &lt; 0).</w:t>
                    </w:r>
                  </w:p>
                </w:tc>
              </w:tr>
              <w:tr>
                <w:tc>
                  <w:tcPr>
                    <w:tcW w:w="597" w:type="dxa"/>
                  </w:tcPr>
                  <w:p>
                    <w:pPr>
                      <w:jc w:val="center"/>
                      <w:rPr>
                        <w:szCs w:val="24"/>
                        <w:lang w:eastAsia="lt-LT"/>
                      </w:rPr>
                    </w:pPr>
                    <w:r>
                      <w:rPr>
                        <w:szCs w:val="24"/>
                        <w:lang w:eastAsia="lt-LT"/>
                      </w:rPr>
                      <w:t>14.</w:t>
                    </w:r>
                  </w:p>
                </w:tc>
                <w:tc>
                  <w:tcPr>
                    <w:tcW w:w="2601" w:type="dxa"/>
                    <w:shd w:val="clear" w:color="auto" w:fill="auto"/>
                  </w:tcPr>
                  <w:p>
                    <w:pPr>
                      <w:jc w:val="both"/>
                      <w:rPr>
                        <w:i/>
                        <w:szCs w:val="24"/>
                        <w:lang w:eastAsia="lt-LT"/>
                      </w:rPr>
                    </w:pPr>
                    <w:r>
                      <w:rPr>
                        <w:i/>
                        <w:szCs w:val="24"/>
                        <w:lang w:eastAsia="lt-LT"/>
                      </w:rPr>
                      <w:t>XMLDocument / DocumentData / Result</w:t>
                    </w:r>
                  </w:p>
                </w:tc>
                <w:tc>
                  <w:tcPr>
                    <w:tcW w:w="1967" w:type="dxa"/>
                    <w:shd w:val="clear" w:color="auto" w:fill="auto"/>
                  </w:tcPr>
                  <w:p>
                    <w:pPr>
                      <w:jc w:val="both"/>
                      <w:rPr>
                        <w:i/>
                        <w:color w:val="000000"/>
                        <w:szCs w:val="24"/>
                        <w:lang w:eastAsia="lt-LT"/>
                      </w:rPr>
                    </w:pPr>
                    <w:r>
                      <w:rPr>
                        <w:i/>
                        <w:color w:val="000000"/>
                        <w:szCs w:val="24"/>
                        <w:lang w:eastAsia="lt-LT"/>
                      </w:rPr>
                      <w:t>VATAmount</w:t>
                    </w:r>
                  </w:p>
                </w:tc>
                <w:tc>
                  <w:tcPr>
                    <w:tcW w:w="1659" w:type="dxa"/>
                    <w:shd w:val="clear" w:color="auto" w:fill="auto"/>
                  </w:tcPr>
                  <w:p>
                    <w:pPr>
                      <w:jc w:val="both"/>
                      <w:rPr>
                        <w:color w:val="000000"/>
                        <w:szCs w:val="24"/>
                        <w:lang w:eastAsia="lt-LT"/>
                      </w:rPr>
                    </w:pPr>
                    <w:r>
                      <w:rPr>
                        <w:color w:val="000000"/>
                        <w:szCs w:val="24"/>
                        <w:lang w:eastAsia="lt-LT"/>
                      </w:rPr>
                      <w:t>skaičius</w:t>
                    </w:r>
                  </w:p>
                </w:tc>
                <w:tc>
                  <w:tcPr>
                    <w:tcW w:w="1982" w:type="dxa"/>
                    <w:shd w:val="clear" w:color="auto" w:fill="auto"/>
                  </w:tcPr>
                  <w:p>
                    <w:pPr>
                      <w:jc w:val="both"/>
                      <w:rPr>
                        <w:szCs w:val="24"/>
                        <w:lang w:eastAsia="lt-LT"/>
                      </w:rPr>
                    </w:pPr>
                    <w:r>
                      <w:rPr>
                        <w:szCs w:val="24"/>
                        <w:lang w:eastAsia="lt-LT"/>
                      </w:rPr>
                      <w:t>Apskaičiuota PVM prievolės suma</w:t>
                    </w:r>
                  </w:p>
                </w:tc>
                <w:tc>
                  <w:tcPr>
                    <w:tcW w:w="5511" w:type="dxa"/>
                    <w:shd w:val="clear" w:color="auto" w:fill="auto"/>
                  </w:tcPr>
                  <w:p>
                    <w:pPr>
                      <w:jc w:val="both"/>
                      <w:rPr>
                        <w:szCs w:val="24"/>
                        <w:lang w:eastAsia="lt-LT"/>
                      </w:rPr>
                    </w:pPr>
                    <w:r>
                      <w:rPr>
                        <w:szCs w:val="24"/>
                        <w:lang w:eastAsia="lt-LT"/>
                      </w:rPr>
                      <w:t>Iš deklaruojamų duomenų apskaičiuota PVM prievolės suma.</w:t>
                    </w:r>
                  </w:p>
                  <w:p>
                    <w:pPr>
                      <w:jc w:val="both"/>
                      <w:rPr>
                        <w:szCs w:val="24"/>
                        <w:lang w:eastAsia="lt-LT"/>
                      </w:rPr>
                    </w:pPr>
                    <w:r>
                      <w:rPr>
                        <w:szCs w:val="24"/>
                        <w:lang w:eastAsia="lt-LT"/>
                      </w:rPr>
                      <w:t>Taikoma formulė:</w:t>
                    </w:r>
                  </w:p>
                  <w:p>
                    <w:pPr>
                      <w:jc w:val="both"/>
                      <w:rPr>
                        <w:szCs w:val="24"/>
                        <w:lang w:eastAsia="lt-LT"/>
                      </w:rPr>
                    </w:pPr>
                    <w:r>
                      <w:rPr>
                        <w:i/>
                        <w:szCs w:val="24"/>
                        <w:lang w:eastAsia="lt-LT"/>
                      </w:rPr>
                      <w:t>VATAmount</w:t>
                    </w:r>
                    <w:r>
                      <w:rPr>
                        <w:szCs w:val="24"/>
                        <w:lang w:eastAsia="lt-LT"/>
                      </w:rPr>
                      <w:t xml:space="preserve"> = suma (</w:t>
                    </w:r>
                    <w:r>
                      <w:rPr>
                        <w:i/>
                        <w:szCs w:val="24"/>
                        <w:lang w:eastAsia="lt-LT"/>
                      </w:rPr>
                      <w:t>RowVATAmount</w:t>
                    </w:r>
                    <w:r>
                      <w:rPr>
                        <w:szCs w:val="24"/>
                        <w:lang w:eastAsia="lt-LT"/>
                      </w:rPr>
                      <w:t>), suapvalinama iki sveiko skaičiaus pagal Taisyklių 10 punkto nuostatas.</w:t>
                    </w:r>
                  </w:p>
                </w:tc>
              </w:tr>
              <w:tr>
                <w:tc>
                  <w:tcPr>
                    <w:tcW w:w="597" w:type="dxa"/>
                  </w:tcPr>
                  <w:p>
                    <w:pPr>
                      <w:jc w:val="center"/>
                      <w:rPr>
                        <w:szCs w:val="24"/>
                        <w:lang w:eastAsia="lt-LT"/>
                      </w:rPr>
                    </w:pPr>
                    <w:r>
                      <w:rPr>
                        <w:szCs w:val="24"/>
                        <w:lang w:eastAsia="lt-LT"/>
                      </w:rPr>
                      <w:t>15.</w:t>
                    </w:r>
                  </w:p>
                </w:tc>
                <w:tc>
                  <w:tcPr>
                    <w:tcW w:w="2601" w:type="dxa"/>
                    <w:shd w:val="clear" w:color="auto" w:fill="auto"/>
                  </w:tcPr>
                  <w:p>
                    <w:pPr>
                      <w:jc w:val="both"/>
                      <w:rPr>
                        <w:i/>
                        <w:szCs w:val="24"/>
                        <w:lang w:eastAsia="lt-LT"/>
                      </w:rPr>
                    </w:pPr>
                    <w:r>
                      <w:rPr>
                        <w:i/>
                        <w:szCs w:val="24"/>
                        <w:lang w:eastAsia="lt-LT"/>
                      </w:rPr>
                      <w:t>XMLDocument / DocumentData / FormData / DataRow</w:t>
                    </w:r>
                  </w:p>
                </w:tc>
                <w:tc>
                  <w:tcPr>
                    <w:tcW w:w="1967" w:type="dxa"/>
                    <w:shd w:val="clear" w:color="auto" w:fill="auto"/>
                  </w:tcPr>
                  <w:p>
                    <w:pPr>
                      <w:jc w:val="both"/>
                      <w:rPr>
                        <w:i/>
                        <w:color w:val="000000"/>
                        <w:szCs w:val="24"/>
                        <w:lang w:eastAsia="lt-LT"/>
                      </w:rPr>
                    </w:pPr>
                    <w:r>
                      <w:rPr>
                        <w:i/>
                        <w:color w:val="000000"/>
                        <w:szCs w:val="24"/>
                        <w:lang w:eastAsia="lt-LT"/>
                      </w:rPr>
                      <w:t>RowNo</w:t>
                    </w:r>
                  </w:p>
                </w:tc>
                <w:tc>
                  <w:tcPr>
                    <w:tcW w:w="1659" w:type="dxa"/>
                    <w:shd w:val="clear" w:color="auto" w:fill="auto"/>
                  </w:tcPr>
                  <w:p>
                    <w:pPr>
                      <w:jc w:val="both"/>
                      <w:rPr>
                        <w:color w:val="000000"/>
                        <w:szCs w:val="24"/>
                        <w:lang w:eastAsia="lt-LT"/>
                      </w:rPr>
                    </w:pPr>
                    <w:r>
                      <w:rPr>
                        <w:color w:val="000000"/>
                        <w:szCs w:val="24"/>
                        <w:lang w:eastAsia="lt-LT"/>
                      </w:rPr>
                      <w:t>skaičius</w:t>
                    </w:r>
                  </w:p>
                </w:tc>
                <w:tc>
                  <w:tcPr>
                    <w:tcW w:w="1982" w:type="dxa"/>
                    <w:shd w:val="clear" w:color="auto" w:fill="auto"/>
                  </w:tcPr>
                  <w:p>
                    <w:pPr>
                      <w:jc w:val="both"/>
                      <w:rPr>
                        <w:szCs w:val="24"/>
                        <w:lang w:eastAsia="lt-LT"/>
                      </w:rPr>
                    </w:pPr>
                    <w:r>
                      <w:rPr>
                        <w:szCs w:val="24"/>
                        <w:lang w:eastAsia="lt-LT"/>
                      </w:rPr>
                      <w:t>Duomenų įrašo numeris sąraše</w:t>
                    </w:r>
                  </w:p>
                </w:tc>
                <w:tc>
                  <w:tcPr>
                    <w:tcW w:w="5511" w:type="dxa"/>
                    <w:shd w:val="clear" w:color="auto" w:fill="auto"/>
                  </w:tcPr>
                  <w:p>
                    <w:pPr>
                      <w:rPr>
                        <w:szCs w:val="24"/>
                        <w:lang w:eastAsia="lt-LT"/>
                      </w:rPr>
                    </w:pPr>
                    <w:r>
                      <w:rPr>
                        <w:szCs w:val="24"/>
                        <w:lang w:eastAsia="lt-LT"/>
                      </w:rPr>
                      <w:t xml:space="preserve">Apskaičiuojama automatiškai (pridedant eilutę) pagal sąrašą </w:t>
                    </w:r>
                    <w:r>
                      <w:rPr>
                        <w:bCs/>
                        <w:i/>
                        <w:szCs w:val="24"/>
                        <w:lang w:eastAsia="lt-LT"/>
                      </w:rPr>
                      <w:t>FormData</w:t>
                    </w:r>
                    <w:r>
                      <w:rPr>
                        <w:szCs w:val="24"/>
                        <w:lang w:eastAsia="lt-LT"/>
                      </w:rPr>
                      <w:t>. Taikoma formulė:</w:t>
                      <w:br/>
                    </w:r>
                    <w:r>
                      <w:rPr>
                        <w:bCs/>
                        <w:i/>
                        <w:szCs w:val="24"/>
                        <w:lang w:eastAsia="lt-LT"/>
                      </w:rPr>
                      <w:t>RowNo</w:t>
                    </w:r>
                    <w:r>
                      <w:rPr>
                        <w:bCs/>
                        <w:szCs w:val="24"/>
                        <w:lang w:eastAsia="lt-LT"/>
                      </w:rPr>
                      <w:t>(naujo įrašo) = max(</w:t>
                    </w:r>
                    <w:r>
                      <w:rPr>
                        <w:bCs/>
                        <w:i/>
                        <w:szCs w:val="24"/>
                        <w:lang w:eastAsia="lt-LT"/>
                      </w:rPr>
                      <w:t>RowNo</w:t>
                    </w:r>
                    <w:r>
                      <w:rPr>
                        <w:bCs/>
                        <w:szCs w:val="24"/>
                        <w:lang w:eastAsia="lt-LT"/>
                      </w:rPr>
                      <w:t>) + 1</w:t>
                    </w:r>
                  </w:p>
                </w:tc>
              </w:tr>
              <w:tr>
                <w:tc>
                  <w:tcPr>
                    <w:tcW w:w="597" w:type="dxa"/>
                  </w:tcPr>
                  <w:p>
                    <w:pPr>
                      <w:jc w:val="center"/>
                      <w:rPr>
                        <w:szCs w:val="24"/>
                        <w:lang w:eastAsia="lt-LT"/>
                      </w:rPr>
                    </w:pPr>
                    <w:r>
                      <w:rPr>
                        <w:szCs w:val="24"/>
                        <w:lang w:eastAsia="lt-LT"/>
                      </w:rPr>
                      <w:t>16.</w:t>
                    </w:r>
                  </w:p>
                </w:tc>
                <w:tc>
                  <w:tcPr>
                    <w:tcW w:w="2601" w:type="dxa"/>
                    <w:shd w:val="clear" w:color="auto" w:fill="auto"/>
                  </w:tcPr>
                  <w:p>
                    <w:pPr>
                      <w:jc w:val="both"/>
                      <w:rPr>
                        <w:i/>
                        <w:szCs w:val="24"/>
                        <w:lang w:eastAsia="lt-LT"/>
                      </w:rPr>
                    </w:pPr>
                    <w:r>
                      <w:rPr>
                        <w:i/>
                        <w:szCs w:val="24"/>
                        <w:lang w:eastAsia="lt-LT"/>
                      </w:rPr>
                      <w:t>XMLDocument / DocumentData / FormData / DataRow</w:t>
                    </w:r>
                  </w:p>
                </w:tc>
                <w:tc>
                  <w:tcPr>
                    <w:tcW w:w="1967" w:type="dxa"/>
                    <w:shd w:val="clear" w:color="auto" w:fill="auto"/>
                  </w:tcPr>
                  <w:p>
                    <w:pPr>
                      <w:jc w:val="both"/>
                      <w:rPr>
                        <w:i/>
                        <w:color w:val="000000"/>
                        <w:szCs w:val="24"/>
                        <w:lang w:eastAsia="lt-LT"/>
                      </w:rPr>
                    </w:pPr>
                    <w:r>
                      <w:rPr>
                        <w:i/>
                        <w:color w:val="000000"/>
                        <w:szCs w:val="24"/>
                        <w:lang w:eastAsia="lt-LT"/>
                      </w:rPr>
                      <w:t>RowType</w:t>
                    </w:r>
                  </w:p>
                </w:tc>
                <w:tc>
                  <w:tcPr>
                    <w:tcW w:w="1659" w:type="dxa"/>
                    <w:shd w:val="clear" w:color="auto" w:fill="auto"/>
                  </w:tcPr>
                  <w:p>
                    <w:pPr>
                      <w:jc w:val="both"/>
                      <w:rPr>
                        <w:color w:val="000000"/>
                        <w:szCs w:val="24"/>
                        <w:lang w:eastAsia="lt-LT"/>
                      </w:rPr>
                    </w:pPr>
                    <w:r>
                      <w:rPr>
                        <w:color w:val="000000"/>
                        <w:szCs w:val="24"/>
                        <w:lang w:eastAsia="lt-LT"/>
                      </w:rPr>
                      <w:t>tekstas</w:t>
                    </w:r>
                  </w:p>
                </w:tc>
                <w:tc>
                  <w:tcPr>
                    <w:tcW w:w="1982" w:type="dxa"/>
                    <w:shd w:val="clear" w:color="auto" w:fill="auto"/>
                  </w:tcPr>
                  <w:p>
                    <w:pPr>
                      <w:jc w:val="both"/>
                      <w:rPr>
                        <w:szCs w:val="24"/>
                        <w:lang w:eastAsia="lt-LT"/>
                      </w:rPr>
                    </w:pPr>
                    <w:r>
                      <w:rPr>
                        <w:szCs w:val="24"/>
                        <w:lang w:eastAsia="lt-LT"/>
                      </w:rPr>
                      <w:t>Duomenų įrašo rūšis (kodas)</w:t>
                    </w:r>
                  </w:p>
                </w:tc>
                <w:tc>
                  <w:tcPr>
                    <w:tcW w:w="5511" w:type="dxa"/>
                    <w:shd w:val="clear" w:color="auto" w:fill="auto"/>
                  </w:tcPr>
                  <w:p>
                    <w:pPr>
                      <w:jc w:val="both"/>
                      <w:rPr>
                        <w:szCs w:val="24"/>
                        <w:lang w:eastAsia="lt-LT"/>
                      </w:rPr>
                    </w:pPr>
                    <w:r>
                      <w:rPr>
                        <w:szCs w:val="24"/>
                        <w:lang w:eastAsia="lt-LT"/>
                      </w:rPr>
                      <w:t>Mokesčio mokėtojo pasirenkama iš klasifikatoriaus galimų reikšmių (Taisyklių 2 priedas), atitinkamą laikotarpį (</w:t>
                    </w:r>
                    <w:r>
                      <w:rPr>
                        <w:i/>
                        <w:szCs w:val="24"/>
                        <w:lang w:eastAsia="lt-LT"/>
                      </w:rPr>
                      <w:t>TaxPeriodStart</w:t>
                    </w:r>
                    <w:r>
                      <w:rPr>
                        <w:szCs w:val="24"/>
                        <w:lang w:eastAsia="lt-LT"/>
                      </w:rPr>
                      <w:t xml:space="preserve">, </w:t>
                    </w:r>
                    <w:r>
                      <w:rPr>
                        <w:i/>
                        <w:szCs w:val="24"/>
                        <w:lang w:eastAsia="lt-LT"/>
                      </w:rPr>
                      <w:t>TaxPeriodEnd</w:t>
                    </w:r>
                    <w:r>
                      <w:rPr>
                        <w:szCs w:val="24"/>
                        <w:lang w:eastAsia="lt-LT"/>
                      </w:rPr>
                      <w:t>) nurodytam PVM mokėtojo tipui (VATPayerType) pagal faktinius savo ekonominės veiklos rezultatus (sudarytus sandorius) atitinkamu mokestiniu laikotarpiu.</w:t>
                    </w:r>
                  </w:p>
                </w:tc>
              </w:tr>
              <w:tr>
                <w:tc>
                  <w:tcPr>
                    <w:tcW w:w="597" w:type="dxa"/>
                  </w:tcPr>
                  <w:p>
                    <w:pPr>
                      <w:jc w:val="center"/>
                      <w:rPr>
                        <w:szCs w:val="24"/>
                        <w:lang w:eastAsia="lt-LT"/>
                      </w:rPr>
                    </w:pPr>
                    <w:r>
                      <w:rPr>
                        <w:szCs w:val="24"/>
                        <w:lang w:eastAsia="lt-LT"/>
                      </w:rPr>
                      <w:t>17.</w:t>
                    </w:r>
                  </w:p>
                </w:tc>
                <w:tc>
                  <w:tcPr>
                    <w:tcW w:w="2601" w:type="dxa"/>
                    <w:shd w:val="clear" w:color="auto" w:fill="auto"/>
                  </w:tcPr>
                  <w:p>
                    <w:pPr>
                      <w:jc w:val="both"/>
                      <w:rPr>
                        <w:i/>
                        <w:szCs w:val="24"/>
                        <w:lang w:eastAsia="lt-LT"/>
                      </w:rPr>
                    </w:pPr>
                    <w:r>
                      <w:rPr>
                        <w:i/>
                        <w:szCs w:val="24"/>
                        <w:lang w:eastAsia="lt-LT"/>
                      </w:rPr>
                      <w:t>XMLDocument / DocumentData / FormData / DataRow</w:t>
                    </w:r>
                  </w:p>
                </w:tc>
                <w:tc>
                  <w:tcPr>
                    <w:tcW w:w="1967" w:type="dxa"/>
                    <w:shd w:val="clear" w:color="auto" w:fill="auto"/>
                  </w:tcPr>
                  <w:p>
                    <w:pPr>
                      <w:jc w:val="both"/>
                      <w:rPr>
                        <w:i/>
                        <w:color w:val="000000"/>
                        <w:szCs w:val="24"/>
                        <w:lang w:eastAsia="lt-LT"/>
                      </w:rPr>
                    </w:pPr>
                    <w:r>
                      <w:rPr>
                        <w:i/>
                        <w:color w:val="000000"/>
                        <w:szCs w:val="24"/>
                        <w:lang w:eastAsia="lt-LT"/>
                      </w:rPr>
                      <w:t>RowRate</w:t>
                    </w:r>
                  </w:p>
                </w:tc>
                <w:tc>
                  <w:tcPr>
                    <w:tcW w:w="1659" w:type="dxa"/>
                    <w:shd w:val="clear" w:color="auto" w:fill="auto"/>
                  </w:tcPr>
                  <w:p>
                    <w:pPr>
                      <w:jc w:val="both"/>
                      <w:rPr>
                        <w:color w:val="000000"/>
                        <w:szCs w:val="24"/>
                        <w:lang w:eastAsia="lt-LT"/>
                      </w:rPr>
                    </w:pPr>
                    <w:r>
                      <w:rPr>
                        <w:color w:val="000000"/>
                        <w:szCs w:val="24"/>
                        <w:lang w:eastAsia="lt-LT"/>
                      </w:rPr>
                      <w:t>skaičius</w:t>
                    </w:r>
                  </w:p>
                </w:tc>
                <w:tc>
                  <w:tcPr>
                    <w:tcW w:w="1982" w:type="dxa"/>
                    <w:shd w:val="clear" w:color="auto" w:fill="auto"/>
                  </w:tcPr>
                  <w:p>
                    <w:pPr>
                      <w:jc w:val="both"/>
                      <w:rPr>
                        <w:szCs w:val="24"/>
                        <w:lang w:eastAsia="lt-LT"/>
                      </w:rPr>
                    </w:pPr>
                    <w:r>
                      <w:rPr>
                        <w:szCs w:val="24"/>
                        <w:lang w:eastAsia="lt-LT"/>
                      </w:rPr>
                      <w:t>Duomenų įrašo PVM mokesčio tarifas</w:t>
                    </w:r>
                  </w:p>
                </w:tc>
                <w:tc>
                  <w:tcPr>
                    <w:tcW w:w="5511" w:type="dxa"/>
                    <w:shd w:val="clear" w:color="auto" w:fill="auto"/>
                  </w:tcPr>
                  <w:p>
                    <w:pPr>
                      <w:jc w:val="both"/>
                      <w:rPr>
                        <w:szCs w:val="24"/>
                        <w:lang w:eastAsia="lt-LT"/>
                      </w:rPr>
                    </w:pPr>
                    <w:r>
                      <w:rPr>
                        <w:szCs w:val="24"/>
                        <w:lang w:eastAsia="lt-LT"/>
                      </w:rPr>
                      <w:t>Mokesčio mokėtojo pasirenkama iš klasifikatoriaus galimų reikšmių (Taisyklių 2 priedas), atitinkamai duomenų rūšiai (</w:t>
                    </w:r>
                    <w:r>
                      <w:rPr>
                        <w:i/>
                        <w:szCs w:val="24"/>
                        <w:lang w:eastAsia="lt-LT"/>
                      </w:rPr>
                      <w:t>RowType</w:t>
                    </w:r>
                    <w:r>
                      <w:rPr>
                        <w:szCs w:val="24"/>
                        <w:lang w:eastAsia="lt-LT"/>
                      </w:rPr>
                      <w:t>) už atitinkamą laikotarpį (</w:t>
                    </w:r>
                    <w:r>
                      <w:rPr>
                        <w:i/>
                        <w:szCs w:val="24"/>
                        <w:lang w:eastAsia="lt-LT"/>
                      </w:rPr>
                      <w:t>TaxPeriodStart, TaxPeriodEnd</w:t>
                    </w:r>
                    <w:r>
                      <w:rPr>
                        <w:szCs w:val="24"/>
                        <w:lang w:eastAsia="lt-LT"/>
                      </w:rPr>
                      <w:t>) pagal faktinių savo ekonominės veiklos rezultatų apmokestinimo ypatumus atitinkamu laikotarpiu.</w:t>
                    </w:r>
                  </w:p>
                </w:tc>
              </w:tr>
              <w:tr>
                <w:tc>
                  <w:tcPr>
                    <w:tcW w:w="597" w:type="dxa"/>
                  </w:tcPr>
                  <w:p>
                    <w:pPr>
                      <w:jc w:val="center"/>
                      <w:rPr>
                        <w:szCs w:val="24"/>
                        <w:lang w:eastAsia="lt-LT"/>
                      </w:rPr>
                    </w:pPr>
                    <w:r>
                      <w:rPr>
                        <w:szCs w:val="24"/>
                        <w:lang w:eastAsia="lt-LT"/>
                      </w:rPr>
                      <w:t>18.</w:t>
                    </w:r>
                  </w:p>
                </w:tc>
                <w:tc>
                  <w:tcPr>
                    <w:tcW w:w="2601" w:type="dxa"/>
                    <w:shd w:val="clear" w:color="auto" w:fill="auto"/>
                  </w:tcPr>
                  <w:p>
                    <w:pPr>
                      <w:jc w:val="both"/>
                      <w:rPr>
                        <w:i/>
                        <w:szCs w:val="24"/>
                        <w:lang w:eastAsia="lt-LT"/>
                      </w:rPr>
                    </w:pPr>
                    <w:r>
                      <w:rPr>
                        <w:i/>
                        <w:szCs w:val="24"/>
                        <w:lang w:eastAsia="lt-LT"/>
                      </w:rPr>
                      <w:t>XMLDocument / DocumentData / FormData / DataRow</w:t>
                    </w:r>
                  </w:p>
                </w:tc>
                <w:tc>
                  <w:tcPr>
                    <w:tcW w:w="1967" w:type="dxa"/>
                    <w:shd w:val="clear" w:color="auto" w:fill="auto"/>
                  </w:tcPr>
                  <w:p>
                    <w:pPr>
                      <w:jc w:val="both"/>
                      <w:rPr>
                        <w:i/>
                        <w:color w:val="000000"/>
                        <w:szCs w:val="24"/>
                        <w:lang w:eastAsia="lt-LT"/>
                      </w:rPr>
                    </w:pPr>
                    <w:r>
                      <w:rPr>
                        <w:i/>
                        <w:color w:val="000000"/>
                        <w:szCs w:val="24"/>
                        <w:lang w:eastAsia="lt-LT"/>
                      </w:rPr>
                      <w:t>RowAmount</w:t>
                    </w:r>
                  </w:p>
                </w:tc>
                <w:tc>
                  <w:tcPr>
                    <w:tcW w:w="1659" w:type="dxa"/>
                    <w:shd w:val="clear" w:color="auto" w:fill="auto"/>
                  </w:tcPr>
                  <w:p>
                    <w:pPr>
                      <w:jc w:val="both"/>
                      <w:rPr>
                        <w:color w:val="000000"/>
                        <w:szCs w:val="24"/>
                        <w:lang w:eastAsia="lt-LT"/>
                      </w:rPr>
                    </w:pPr>
                    <w:r>
                      <w:rPr>
                        <w:color w:val="000000"/>
                        <w:szCs w:val="24"/>
                        <w:lang w:eastAsia="lt-LT"/>
                      </w:rPr>
                      <w:t>skaičius</w:t>
                    </w:r>
                  </w:p>
                </w:tc>
                <w:tc>
                  <w:tcPr>
                    <w:tcW w:w="1982" w:type="dxa"/>
                    <w:shd w:val="clear" w:color="auto" w:fill="auto"/>
                  </w:tcPr>
                  <w:p>
                    <w:pPr>
                      <w:jc w:val="both"/>
                      <w:rPr>
                        <w:color w:val="000000"/>
                        <w:szCs w:val="24"/>
                        <w:lang w:eastAsia="lt-LT"/>
                      </w:rPr>
                    </w:pPr>
                    <w:r>
                      <w:rPr>
                        <w:color w:val="000000"/>
                        <w:szCs w:val="24"/>
                        <w:lang w:eastAsia="lt-LT"/>
                      </w:rPr>
                      <w:t>Duomenų įrašo rūšies deklaruojama reikšmė</w:t>
                    </w:r>
                  </w:p>
                </w:tc>
                <w:tc>
                  <w:tcPr>
                    <w:tcW w:w="5511" w:type="dxa"/>
                    <w:shd w:val="clear" w:color="auto" w:fill="auto"/>
                  </w:tcPr>
                  <w:p>
                    <w:pPr>
                      <w:jc w:val="both"/>
                      <w:rPr>
                        <w:color w:val="000000"/>
                        <w:szCs w:val="24"/>
                        <w:lang w:eastAsia="lt-LT"/>
                      </w:rPr>
                    </w:pPr>
                    <w:r>
                      <w:rPr>
                        <w:color w:val="000000"/>
                        <w:szCs w:val="24"/>
                        <w:lang w:eastAsia="lt-LT"/>
                      </w:rPr>
                      <w:t>Mokesčio mokėtojo įrašoma deklaruojamos rūšies (</w:t>
                    </w:r>
                    <w:r>
                      <w:rPr>
                        <w:i/>
                        <w:color w:val="000000"/>
                        <w:szCs w:val="24"/>
                        <w:lang w:eastAsia="lt-LT"/>
                      </w:rPr>
                      <w:t>RowType</w:t>
                    </w:r>
                    <w:r>
                      <w:rPr>
                        <w:color w:val="000000"/>
                        <w:szCs w:val="24"/>
                        <w:lang w:eastAsia="lt-LT"/>
                      </w:rPr>
                      <w:t>) reikšmė (vertė ar kitas dydis).</w:t>
                    </w:r>
                  </w:p>
                </w:tc>
              </w:tr>
              <w:tr>
                <w:tc>
                  <w:tcPr>
                    <w:tcW w:w="597" w:type="dxa"/>
                  </w:tcPr>
                  <w:p>
                    <w:pPr>
                      <w:jc w:val="center"/>
                      <w:rPr>
                        <w:szCs w:val="24"/>
                        <w:lang w:eastAsia="lt-LT"/>
                      </w:rPr>
                    </w:pPr>
                    <w:r>
                      <w:rPr>
                        <w:szCs w:val="24"/>
                        <w:lang w:eastAsia="lt-LT"/>
                      </w:rPr>
                      <w:t>19.</w:t>
                    </w:r>
                  </w:p>
                </w:tc>
                <w:tc>
                  <w:tcPr>
                    <w:tcW w:w="2601" w:type="dxa"/>
                    <w:shd w:val="clear" w:color="auto" w:fill="auto"/>
                  </w:tcPr>
                  <w:p>
                    <w:pPr>
                      <w:jc w:val="both"/>
                      <w:rPr>
                        <w:i/>
                        <w:szCs w:val="24"/>
                        <w:lang w:eastAsia="lt-LT"/>
                      </w:rPr>
                    </w:pPr>
                    <w:r>
                      <w:rPr>
                        <w:i/>
                        <w:szCs w:val="24"/>
                        <w:lang w:eastAsia="lt-LT"/>
                      </w:rPr>
                      <w:t>XMLDocument / DocumentData / FormData / DataRow</w:t>
                    </w:r>
                  </w:p>
                </w:tc>
                <w:tc>
                  <w:tcPr>
                    <w:tcW w:w="1967" w:type="dxa"/>
                    <w:shd w:val="clear" w:color="auto" w:fill="auto"/>
                  </w:tcPr>
                  <w:p>
                    <w:pPr>
                      <w:jc w:val="both"/>
                      <w:rPr>
                        <w:i/>
                        <w:szCs w:val="24"/>
                        <w:lang w:eastAsia="lt-LT"/>
                      </w:rPr>
                    </w:pPr>
                    <w:r>
                      <w:rPr>
                        <w:i/>
                        <w:szCs w:val="24"/>
                        <w:lang w:eastAsia="lt-LT"/>
                      </w:rPr>
                      <w:t>RowVATAmount</w:t>
                    </w:r>
                  </w:p>
                </w:tc>
                <w:tc>
                  <w:tcPr>
                    <w:tcW w:w="1659" w:type="dxa"/>
                    <w:shd w:val="clear" w:color="auto" w:fill="auto"/>
                  </w:tcPr>
                  <w:p>
                    <w:pPr>
                      <w:jc w:val="both"/>
                      <w:rPr>
                        <w:szCs w:val="24"/>
                        <w:lang w:eastAsia="lt-LT"/>
                      </w:rPr>
                    </w:pPr>
                    <w:r>
                      <w:rPr>
                        <w:szCs w:val="24"/>
                        <w:lang w:eastAsia="lt-LT"/>
                      </w:rPr>
                      <w:t>skaičius</w:t>
                    </w:r>
                  </w:p>
                </w:tc>
                <w:tc>
                  <w:tcPr>
                    <w:tcW w:w="1982" w:type="dxa"/>
                    <w:shd w:val="clear" w:color="auto" w:fill="auto"/>
                  </w:tcPr>
                  <w:p>
                    <w:pPr>
                      <w:jc w:val="both"/>
                      <w:rPr>
                        <w:szCs w:val="24"/>
                        <w:lang w:eastAsia="lt-LT"/>
                      </w:rPr>
                    </w:pPr>
                    <w:r>
                      <w:rPr>
                        <w:szCs w:val="24"/>
                        <w:lang w:eastAsia="lt-LT"/>
                      </w:rPr>
                      <w:t>Duomenų įraše apskaičiuota PVM suma</w:t>
                    </w:r>
                  </w:p>
                </w:tc>
                <w:tc>
                  <w:tcPr>
                    <w:tcW w:w="5511" w:type="dxa"/>
                    <w:shd w:val="clear" w:color="auto" w:fill="auto"/>
                  </w:tcPr>
                  <w:p>
                    <w:pPr>
                      <w:jc w:val="both"/>
                      <w:rPr>
                        <w:szCs w:val="24"/>
                        <w:lang w:eastAsia="lt-LT"/>
                      </w:rPr>
                    </w:pPr>
                    <w:r>
                      <w:rPr>
                        <w:szCs w:val="24"/>
                        <w:lang w:eastAsia="lt-LT"/>
                      </w:rPr>
                      <w:t>Automatiškai apskaičiuota PVM suma pagal pasirinktą duomenų įrašo rūšį (</w:t>
                    </w:r>
                    <w:r>
                      <w:rPr>
                        <w:i/>
                        <w:szCs w:val="24"/>
                        <w:lang w:eastAsia="lt-LT"/>
                      </w:rPr>
                      <w:t>RowType</w:t>
                    </w:r>
                    <w:r>
                      <w:rPr>
                        <w:szCs w:val="24"/>
                        <w:lang w:eastAsia="lt-LT"/>
                      </w:rPr>
                      <w:t>) ir atitinkamą laikotarpį taikomą PVM tarifą (</w:t>
                    </w:r>
                    <w:r>
                      <w:rPr>
                        <w:i/>
                        <w:szCs w:val="24"/>
                        <w:lang w:eastAsia="lt-LT"/>
                      </w:rPr>
                      <w:t>RowRate</w:t>
                    </w:r>
                    <w:r>
                      <w:rPr>
                        <w:szCs w:val="24"/>
                        <w:lang w:eastAsia="lt-LT"/>
                      </w:rPr>
                      <w:t>).</w:t>
                    </w:r>
                  </w:p>
                  <w:p>
                    <w:pPr>
                      <w:jc w:val="both"/>
                      <w:rPr>
                        <w:szCs w:val="24"/>
                        <w:lang w:eastAsia="lt-LT"/>
                      </w:rPr>
                    </w:pPr>
                    <w:r>
                      <w:rPr>
                        <w:szCs w:val="24"/>
                        <w:lang w:eastAsia="lt-LT"/>
                      </w:rPr>
                      <w:t xml:space="preserve">Skaičiavimų ypatumai nustatomi pagal </w:t>
                    </w:r>
                    <w:r>
                      <w:rPr>
                        <w:i/>
                        <w:szCs w:val="24"/>
                        <w:lang w:eastAsia="lt-LT"/>
                      </w:rPr>
                      <w:t>RowType</w:t>
                    </w:r>
                    <w:r>
                      <w:rPr>
                        <w:szCs w:val="24"/>
                        <w:lang w:eastAsia="lt-LT"/>
                      </w:rPr>
                      <w:t xml:space="preserve"> pirmą simbolį ir taikomos tokios formulės:</w:t>
                    </w:r>
                  </w:p>
                  <w:p>
                    <w:pPr>
                      <w:jc w:val="both"/>
                      <w:rPr>
                        <w:szCs w:val="24"/>
                        <w:lang w:eastAsia="lt-LT"/>
                      </w:rPr>
                    </w:pPr>
                    <w:r>
                      <w:rPr>
                        <w:szCs w:val="24"/>
                        <w:lang w:eastAsia="lt-LT"/>
                      </w:rPr>
                      <w:t>0 – neapmokestinami duomenys (vertė)</w:t>
                    </w:r>
                  </w:p>
                  <w:p>
                    <w:pPr>
                      <w:ind w:left="255"/>
                      <w:jc w:val="both"/>
                      <w:rPr>
                        <w:szCs w:val="24"/>
                        <w:lang w:eastAsia="lt-LT"/>
                      </w:rPr>
                    </w:pPr>
                    <w:r>
                      <w:rPr>
                        <w:i/>
                        <w:szCs w:val="24"/>
                        <w:lang w:eastAsia="lt-LT"/>
                      </w:rPr>
                      <w:t>RowVATAmount</w:t>
                    </w:r>
                    <w:r>
                      <w:rPr>
                        <w:szCs w:val="24"/>
                        <w:lang w:eastAsia="lt-LT"/>
                      </w:rPr>
                      <w:t xml:space="preserve"> = 0;</w:t>
                    </w:r>
                  </w:p>
                  <w:p>
                    <w:pPr>
                      <w:jc w:val="both"/>
                      <w:rPr>
                        <w:szCs w:val="24"/>
                        <w:lang w:eastAsia="lt-LT"/>
                      </w:rPr>
                    </w:pPr>
                    <w:r>
                      <w:rPr>
                        <w:szCs w:val="24"/>
                        <w:lang w:eastAsia="lt-LT"/>
                      </w:rPr>
                      <w:t>1 – apmokestinamos nurodytu tarifu</w:t>
                    </w:r>
                  </w:p>
                  <w:p>
                    <w:pPr>
                      <w:ind w:left="255"/>
                      <w:jc w:val="both"/>
                      <w:rPr>
                        <w:szCs w:val="24"/>
                        <w:lang w:eastAsia="lt-LT"/>
                      </w:rPr>
                    </w:pPr>
                    <w:r>
                      <w:rPr>
                        <w:i/>
                        <w:szCs w:val="24"/>
                        <w:lang w:eastAsia="lt-LT"/>
                      </w:rPr>
                      <w:t>RowVATAmount</w:t>
                    </w:r>
                    <w:r>
                      <w:rPr>
                        <w:szCs w:val="24"/>
                        <w:lang w:eastAsia="lt-LT"/>
                      </w:rPr>
                      <w:t xml:space="preserve"> = </w:t>
                    </w:r>
                    <w:r>
                      <w:rPr>
                        <w:i/>
                        <w:szCs w:val="24"/>
                        <w:lang w:eastAsia="lt-LT"/>
                      </w:rPr>
                      <w:t>RowAmount</w:t>
                    </w:r>
                    <w:r>
                      <w:rPr>
                        <w:szCs w:val="24"/>
                        <w:lang w:eastAsia="lt-LT"/>
                      </w:rPr>
                      <w:t xml:space="preserve"> x </w:t>
                    </w:r>
                    <w:r>
                      <w:rPr>
                        <w:i/>
                        <w:szCs w:val="24"/>
                        <w:lang w:eastAsia="lt-LT"/>
                      </w:rPr>
                      <w:t>RowRate</w:t>
                    </w:r>
                    <w:r>
                      <w:rPr>
                        <w:szCs w:val="24"/>
                        <w:lang w:eastAsia="lt-LT"/>
                      </w:rPr>
                      <w:t>, suapvalinama šimtųjų (centų) tikslumu.</w:t>
                    </w:r>
                  </w:p>
                  <w:p>
                    <w:pPr>
                      <w:ind w:left="255"/>
                      <w:rPr>
                        <w:szCs w:val="24"/>
                        <w:lang w:eastAsia="lt-LT"/>
                      </w:rPr>
                    </w:pPr>
                  </w:p>
                </w:tc>
              </w:tr>
            </w:tbl>
            <w:p>
              <w:pPr>
                <w:rPr>
                  <w:szCs w:val="24"/>
                </w:rPr>
              </w:pPr>
            </w:p>
          </w:sdtContent>
        </w:sdt>
        <w:sdt>
          <w:sdtPr>
            <w:alias w:val="1 pr. 3 p."/>
            <w:tag w:val="part_bd1de6307cc54cd9898ab57343c4c1c2"/>
            <w:lock w:val="sdtLocked"/>
            <w:richText/>
          </w:sdtPr>
          <w:sdtContent>
            <w:p>
              <w:pPr>
                <w:ind w:firstLine="567"/>
                <w:rPr>
                  <w:szCs w:val="24"/>
                </w:rPr>
              </w:pPr>
              <w:sdt>
                <w:sdtPr>
                  <w:alias w:val="Numeris"/>
                  <w:tag w:val="nr_bd1de6307cc54cd9898ab57343c4c1c2"/>
                  <w:lock w:val="sdtLocked"/>
                  <w:richText/>
                </w:sdtPr>
                <w:sdtContent>
                  <w:r>
                    <w:rPr>
                      <w:szCs w:val="24"/>
                    </w:rPr>
                    <w:t>3</w:t>
                  </w:r>
                </w:sdtContent>
              </w:sdt>
              <w:r>
                <w:rPr>
                  <w:szCs w:val="24"/>
                </w:rPr>
                <w:t>. Deklaracijos PVM101 XML struktūra be duomenų elementų (nurodytų lentelėje 2 punkte):</w:t>
              </w:r>
            </w:p>
            <w:p>
              <w:pPr>
                <w:ind w:left="567"/>
                <w:rPr>
                  <w:szCs w:val="24"/>
                  <w:lang w:eastAsia="lt-LT"/>
                </w:rPr>
              </w:pPr>
            </w:p>
            <w:p>
              <w:pPr>
                <w:ind w:left="567"/>
                <w:rPr>
                  <w:szCs w:val="24"/>
                  <w:lang w:eastAsia="lt-LT"/>
                </w:rPr>
              </w:pPr>
              <w:r>
                <w:rPr>
                  <w:szCs w:val="24"/>
                  <w:lang w:eastAsia="lt-LT"/>
                </w:rPr>
                <w:t>&lt;</w:t>
              </w:r>
              <w:r>
                <w:rPr>
                  <w:i/>
                  <w:szCs w:val="24"/>
                  <w:lang w:eastAsia="lt-LT"/>
                </w:rPr>
                <w:t>XMLDocument</w:t>
              </w:r>
              <w:r>
                <w:rPr>
                  <w:szCs w:val="24"/>
                  <w:lang w:eastAsia="lt-LT"/>
                </w:rPr>
                <w:t>&gt;</w:t>
              </w:r>
            </w:p>
            <w:p>
              <w:pPr>
                <w:ind w:left="1134"/>
                <w:rPr>
                  <w:szCs w:val="24"/>
                  <w:lang w:eastAsia="lt-LT"/>
                </w:rPr>
              </w:pPr>
              <w:r>
                <w:rPr>
                  <w:szCs w:val="24"/>
                  <w:lang w:eastAsia="lt-LT"/>
                </w:rPr>
                <w:t>&lt;</w:t>
              </w:r>
              <w:r>
                <w:rPr>
                  <w:i/>
                  <w:szCs w:val="24"/>
                  <w:lang w:eastAsia="lt-LT"/>
                </w:rPr>
                <w:t>FormHeader</w:t>
              </w:r>
              <w:r>
                <w:rPr>
                  <w:szCs w:val="24"/>
                  <w:lang w:eastAsia="lt-LT"/>
                </w:rPr>
                <w:t>&gt;</w:t>
              </w:r>
            </w:p>
            <w:p>
              <w:pPr>
                <w:ind w:left="1701"/>
                <w:rPr>
                  <w:szCs w:val="24"/>
                  <w:lang w:eastAsia="lt-LT"/>
                </w:rPr>
              </w:pPr>
              <w:r>
                <w:rPr>
                  <w:szCs w:val="24"/>
                  <w:lang w:eastAsia="lt-LT"/>
                </w:rPr>
                <w:t xml:space="preserve">... duomenų elementai: </w:t>
              </w:r>
              <w:r>
                <w:rPr>
                  <w:i/>
                  <w:szCs w:val="24"/>
                  <w:lang w:eastAsia="lt-LT"/>
                </w:rPr>
                <w:t>FormCode, FormVersionNo, FormVersionId, CreatedUsingApp</w:t>
              </w:r>
            </w:p>
            <w:p>
              <w:pPr>
                <w:ind w:left="1134"/>
                <w:rPr>
                  <w:szCs w:val="24"/>
                  <w:lang w:eastAsia="lt-LT"/>
                </w:rPr>
              </w:pPr>
              <w:r>
                <w:rPr>
                  <w:szCs w:val="24"/>
                  <w:lang w:eastAsia="lt-LT"/>
                </w:rPr>
                <w:t>&lt;/</w:t>
              </w:r>
              <w:r>
                <w:rPr>
                  <w:i/>
                  <w:szCs w:val="24"/>
                  <w:lang w:eastAsia="lt-LT"/>
                </w:rPr>
                <w:t>FormHeader</w:t>
              </w:r>
              <w:r>
                <w:rPr>
                  <w:szCs w:val="24"/>
                  <w:lang w:eastAsia="lt-LT"/>
                </w:rPr>
                <w:t>&gt;</w:t>
              </w:r>
            </w:p>
            <w:p>
              <w:pPr>
                <w:ind w:left="1134"/>
                <w:rPr>
                  <w:szCs w:val="24"/>
                  <w:lang w:eastAsia="lt-LT"/>
                </w:rPr>
              </w:pPr>
              <w:r>
                <w:rPr>
                  <w:szCs w:val="24"/>
                  <w:lang w:eastAsia="lt-LT"/>
                </w:rPr>
                <w:t>&lt;</w:t>
              </w:r>
              <w:r>
                <w:rPr>
                  <w:i/>
                  <w:szCs w:val="24"/>
                  <w:lang w:eastAsia="lt-LT"/>
                </w:rPr>
                <w:t>DocumentData</w:t>
              </w:r>
              <w:r>
                <w:rPr>
                  <w:szCs w:val="24"/>
                  <w:lang w:eastAsia="lt-LT"/>
                </w:rPr>
                <w:t>&gt;</w:t>
              </w:r>
            </w:p>
            <w:p>
              <w:pPr>
                <w:ind w:left="1701"/>
                <w:rPr>
                  <w:szCs w:val="24"/>
                  <w:lang w:eastAsia="lt-LT"/>
                </w:rPr>
              </w:pPr>
              <w:r>
                <w:rPr>
                  <w:szCs w:val="24"/>
                  <w:lang w:eastAsia="lt-LT"/>
                </w:rPr>
                <w:t>&lt;</w:t>
              </w:r>
              <w:r>
                <w:rPr>
                  <w:i/>
                  <w:szCs w:val="24"/>
                  <w:lang w:eastAsia="lt-LT"/>
                </w:rPr>
                <w:t>DocHeade</w:t>
              </w:r>
              <w:r>
                <w:rPr>
                  <w:szCs w:val="24"/>
                  <w:lang w:eastAsia="lt-LT"/>
                </w:rPr>
                <w:t>r&gt;</w:t>
              </w:r>
            </w:p>
            <w:p>
              <w:pPr>
                <w:ind w:left="2268"/>
                <w:rPr>
                  <w:szCs w:val="24"/>
                  <w:lang w:eastAsia="lt-LT"/>
                </w:rPr>
              </w:pPr>
              <w:r>
                <w:rPr>
                  <w:szCs w:val="24"/>
                  <w:lang w:eastAsia="lt-LT"/>
                </w:rPr>
                <w:t xml:space="preserve">... duomenų elementai: </w:t>
              </w:r>
              <w:r>
                <w:rPr>
                  <w:i/>
                  <w:szCs w:val="24"/>
                  <w:lang w:eastAsia="lt-LT"/>
                </w:rPr>
                <w:t>TaxPayerCode, PersonName, TaxPeriodStart, TaxPeriodEnd</w:t>
              </w:r>
            </w:p>
            <w:p>
              <w:pPr>
                <w:ind w:left="2268"/>
                <w:rPr>
                  <w:szCs w:val="24"/>
                  <w:lang w:eastAsia="lt-LT"/>
                </w:rPr>
              </w:pPr>
              <w:r>
                <w:rPr>
                  <w:szCs w:val="24"/>
                  <w:lang w:eastAsia="lt-LT"/>
                </w:rPr>
                <w:t xml:space="preserve">&lt; </w:t>
              </w:r>
              <w:r>
                <w:rPr>
                  <w:i/>
                  <w:szCs w:val="24"/>
                  <w:lang w:eastAsia="lt-LT"/>
                </w:rPr>
                <w:t>ExtraData</w:t>
              </w:r>
              <w:r>
                <w:rPr>
                  <w:szCs w:val="24"/>
                  <w:lang w:eastAsia="lt-LT"/>
                </w:rPr>
                <w:t>&gt;</w:t>
              </w:r>
            </w:p>
            <w:p>
              <w:pPr>
                <w:ind w:left="2835"/>
                <w:rPr>
                  <w:szCs w:val="24"/>
                  <w:lang w:eastAsia="lt-LT"/>
                </w:rPr>
              </w:pPr>
              <w:r>
                <w:rPr>
                  <w:szCs w:val="24"/>
                  <w:lang w:eastAsia="lt-LT"/>
                </w:rPr>
                <w:t xml:space="preserve">... duomenų elementai: </w:t>
              </w:r>
              <w:r>
                <w:rPr>
                  <w:i/>
                  <w:szCs w:val="24"/>
                  <w:lang w:eastAsia="lt-LT"/>
                </w:rPr>
                <w:t>VATPayerType, TaxPeriodType, VATCode, ExistsData, ReturnWillingness</w:t>
              </w:r>
            </w:p>
            <w:p>
              <w:pPr>
                <w:ind w:left="2268"/>
                <w:rPr>
                  <w:szCs w:val="24"/>
                  <w:lang w:eastAsia="lt-LT"/>
                </w:rPr>
              </w:pPr>
              <w:r>
                <w:rPr>
                  <w:szCs w:val="24"/>
                  <w:lang w:eastAsia="lt-LT"/>
                </w:rPr>
                <w:t>&lt;/</w:t>
              </w:r>
              <w:r>
                <w:rPr>
                  <w:i/>
                  <w:szCs w:val="24"/>
                  <w:lang w:eastAsia="lt-LT"/>
                </w:rPr>
                <w:t>ExtraData</w:t>
              </w:r>
              <w:r>
                <w:rPr>
                  <w:szCs w:val="24"/>
                  <w:lang w:eastAsia="lt-LT"/>
                </w:rPr>
                <w:t>&gt;</w:t>
              </w:r>
            </w:p>
            <w:p>
              <w:pPr>
                <w:ind w:left="1701"/>
                <w:rPr>
                  <w:szCs w:val="24"/>
                  <w:lang w:eastAsia="lt-LT"/>
                </w:rPr>
              </w:pPr>
              <w:r>
                <w:rPr>
                  <w:szCs w:val="24"/>
                  <w:lang w:eastAsia="lt-LT"/>
                </w:rPr>
                <w:t>&lt;/</w:t>
              </w:r>
              <w:r>
                <w:rPr>
                  <w:i/>
                  <w:szCs w:val="24"/>
                  <w:lang w:eastAsia="lt-LT"/>
                </w:rPr>
                <w:t>DocHeader</w:t>
              </w:r>
              <w:r>
                <w:rPr>
                  <w:szCs w:val="24"/>
                  <w:lang w:eastAsia="lt-LT"/>
                </w:rPr>
                <w:t>&gt;</w:t>
              </w:r>
            </w:p>
            <w:p>
              <w:pPr>
                <w:ind w:left="1701"/>
                <w:rPr>
                  <w:szCs w:val="24"/>
                  <w:lang w:eastAsia="lt-LT"/>
                </w:rPr>
              </w:pPr>
              <w:r>
                <w:rPr>
                  <w:szCs w:val="24"/>
                  <w:lang w:eastAsia="lt-LT"/>
                </w:rPr>
                <w:t>&lt;</w:t>
              </w:r>
              <w:r>
                <w:rPr>
                  <w:i/>
                  <w:szCs w:val="24"/>
                  <w:lang w:eastAsia="lt-LT"/>
                </w:rPr>
                <w:t>FormData</w:t>
              </w:r>
              <w:r>
                <w:rPr>
                  <w:szCs w:val="24"/>
                  <w:lang w:eastAsia="lt-LT"/>
                </w:rPr>
                <w:t>&gt;</w:t>
              </w:r>
            </w:p>
            <w:p>
              <w:pPr>
                <w:ind w:left="2268"/>
                <w:rPr>
                  <w:szCs w:val="24"/>
                  <w:lang w:eastAsia="lt-LT"/>
                </w:rPr>
              </w:pPr>
              <w:r>
                <w:rPr>
                  <w:szCs w:val="24"/>
                  <w:lang w:eastAsia="lt-LT"/>
                </w:rPr>
                <w:t>&lt;</w:t>
              </w:r>
              <w:r>
                <w:rPr>
                  <w:i/>
                  <w:szCs w:val="24"/>
                  <w:lang w:eastAsia="lt-LT"/>
                </w:rPr>
                <w:t>DataRow</w:t>
              </w:r>
              <w:r>
                <w:rPr>
                  <w:szCs w:val="24"/>
                  <w:lang w:eastAsia="lt-LT"/>
                </w:rPr>
                <w:t>&gt;</w:t>
              </w:r>
            </w:p>
            <w:p>
              <w:pPr>
                <w:ind w:left="2835"/>
                <w:rPr>
                  <w:szCs w:val="24"/>
                  <w:lang w:eastAsia="lt-LT"/>
                </w:rPr>
              </w:pPr>
              <w:r>
                <w:rPr>
                  <w:szCs w:val="24"/>
                  <w:lang w:eastAsia="lt-LT"/>
                </w:rPr>
                <w:t xml:space="preserve">... duomenų elementai: </w:t>
              </w:r>
              <w:r>
                <w:rPr>
                  <w:i/>
                  <w:szCs w:val="24"/>
                  <w:lang w:eastAsia="lt-LT"/>
                </w:rPr>
                <w:t>RowNo</w:t>
              </w:r>
              <w:r>
                <w:rPr>
                  <w:szCs w:val="24"/>
                  <w:lang w:eastAsia="lt-LT"/>
                </w:rPr>
                <w:t xml:space="preserve">, </w:t>
              </w:r>
              <w:r>
                <w:rPr>
                  <w:i/>
                  <w:szCs w:val="24"/>
                  <w:lang w:eastAsia="lt-LT"/>
                </w:rPr>
                <w:t>RowType, RowRate, RowAmount, RowVATAmount</w:t>
              </w:r>
            </w:p>
            <w:p>
              <w:pPr>
                <w:ind w:left="2268"/>
                <w:rPr>
                  <w:szCs w:val="24"/>
                  <w:lang w:eastAsia="lt-LT"/>
                </w:rPr>
              </w:pPr>
              <w:r>
                <w:rPr>
                  <w:szCs w:val="24"/>
                  <w:lang w:eastAsia="lt-LT"/>
                </w:rPr>
                <w:t>&lt;/</w:t>
              </w:r>
              <w:r>
                <w:rPr>
                  <w:i/>
                  <w:szCs w:val="24"/>
                  <w:lang w:eastAsia="lt-LT"/>
                </w:rPr>
                <w:t>DataRow</w:t>
              </w:r>
              <w:r>
                <w:rPr>
                  <w:szCs w:val="24"/>
                  <w:lang w:eastAsia="lt-LT"/>
                </w:rPr>
                <w:t>&gt;</w:t>
              </w:r>
            </w:p>
            <w:p>
              <w:pPr>
                <w:ind w:left="2268"/>
                <w:rPr>
                  <w:szCs w:val="24"/>
                  <w:lang w:eastAsia="lt-LT"/>
                </w:rPr>
              </w:pPr>
              <w:r>
                <w:rPr>
                  <w:szCs w:val="24"/>
                  <w:lang w:eastAsia="lt-LT"/>
                </w:rPr>
                <w:t xml:space="preserve">... duomenų įrašas </w:t>
              </w:r>
              <w:r>
                <w:rPr>
                  <w:i/>
                  <w:szCs w:val="24"/>
                  <w:lang w:eastAsia="lt-LT"/>
                </w:rPr>
                <w:t>DataRow</w:t>
              </w:r>
              <w:r>
                <w:rPr>
                  <w:szCs w:val="24"/>
                  <w:lang w:eastAsia="lt-LT"/>
                </w:rPr>
                <w:t xml:space="preserve"> kartojamas tiek kartų, kiek yra skirtingų </w:t>
              </w:r>
              <w:r>
                <w:rPr>
                  <w:i/>
                  <w:szCs w:val="24"/>
                  <w:lang w:eastAsia="lt-LT"/>
                </w:rPr>
                <w:t>RowType</w:t>
              </w:r>
              <w:r>
                <w:rPr>
                  <w:szCs w:val="24"/>
                  <w:lang w:eastAsia="lt-LT"/>
                </w:rPr>
                <w:t xml:space="preserve"> ir </w:t>
              </w:r>
              <w:r>
                <w:rPr>
                  <w:i/>
                  <w:szCs w:val="24"/>
                  <w:lang w:eastAsia="lt-LT"/>
                </w:rPr>
                <w:t>RowRate</w:t>
              </w:r>
              <w:r>
                <w:rPr>
                  <w:szCs w:val="24"/>
                  <w:lang w:eastAsia="lt-LT"/>
                </w:rPr>
                <w:t xml:space="preserve"> kombinacijų</w:t>
              </w:r>
            </w:p>
            <w:p>
              <w:pPr>
                <w:ind w:left="1701"/>
                <w:rPr>
                  <w:szCs w:val="24"/>
                  <w:lang w:eastAsia="lt-LT"/>
                </w:rPr>
              </w:pPr>
              <w:r>
                <w:rPr>
                  <w:szCs w:val="24"/>
                  <w:lang w:eastAsia="lt-LT"/>
                </w:rPr>
                <w:t>&lt;/</w:t>
              </w:r>
              <w:r>
                <w:rPr>
                  <w:i/>
                  <w:szCs w:val="24"/>
                  <w:lang w:eastAsia="lt-LT"/>
                </w:rPr>
                <w:t>FormData</w:t>
              </w:r>
              <w:r>
                <w:rPr>
                  <w:szCs w:val="24"/>
                  <w:lang w:eastAsia="lt-LT"/>
                </w:rPr>
                <w:t>&gt;</w:t>
              </w:r>
            </w:p>
            <w:p>
              <w:pPr>
                <w:ind w:left="1701"/>
                <w:rPr>
                  <w:szCs w:val="24"/>
                  <w:lang w:eastAsia="lt-LT"/>
                </w:rPr>
              </w:pPr>
              <w:r>
                <w:rPr>
                  <w:szCs w:val="24"/>
                  <w:lang w:eastAsia="lt-LT"/>
                </w:rPr>
                <w:t>&lt;</w:t>
              </w:r>
              <w:r>
                <w:rPr>
                  <w:i/>
                  <w:szCs w:val="24"/>
                  <w:lang w:eastAsia="lt-LT"/>
                </w:rPr>
                <w:t>FormResult</w:t>
              </w:r>
              <w:r>
                <w:rPr>
                  <w:szCs w:val="24"/>
                  <w:lang w:eastAsia="lt-LT"/>
                </w:rPr>
                <w:t>&gt;</w:t>
              </w:r>
            </w:p>
            <w:p>
              <w:pPr>
                <w:ind w:left="2268"/>
                <w:rPr>
                  <w:color w:val="000000"/>
                  <w:szCs w:val="24"/>
                  <w:lang w:eastAsia="lt-LT"/>
                </w:rPr>
              </w:pPr>
              <w:r>
                <w:rPr>
                  <w:color w:val="000000"/>
                  <w:szCs w:val="24"/>
                  <w:lang w:eastAsia="lt-LT"/>
                </w:rPr>
                <w:t xml:space="preserve">... duomenų elementas </w:t>
              </w:r>
              <w:r>
                <w:rPr>
                  <w:i/>
                  <w:color w:val="000000"/>
                  <w:szCs w:val="24"/>
                  <w:lang w:eastAsia="lt-LT"/>
                </w:rPr>
                <w:t>VATAmount</w:t>
              </w:r>
            </w:p>
            <w:p>
              <w:pPr>
                <w:ind w:left="1701"/>
                <w:rPr>
                  <w:color w:val="000000"/>
                  <w:szCs w:val="24"/>
                  <w:lang w:eastAsia="lt-LT"/>
                </w:rPr>
              </w:pPr>
              <w:r>
                <w:rPr>
                  <w:color w:val="000000"/>
                  <w:szCs w:val="24"/>
                  <w:lang w:eastAsia="lt-LT"/>
                </w:rPr>
                <w:t>&lt;/</w:t>
              </w:r>
              <w:r>
                <w:rPr>
                  <w:i/>
                  <w:color w:val="000000"/>
                  <w:szCs w:val="24"/>
                  <w:lang w:eastAsia="lt-LT"/>
                </w:rPr>
                <w:t>FormResult</w:t>
              </w:r>
              <w:r>
                <w:rPr>
                  <w:color w:val="000000"/>
                  <w:szCs w:val="24"/>
                  <w:lang w:eastAsia="lt-LT"/>
                </w:rPr>
                <w:t>&gt;</w:t>
              </w:r>
            </w:p>
            <w:p>
              <w:pPr>
                <w:ind w:left="1134"/>
                <w:rPr>
                  <w:color w:val="000000"/>
                  <w:szCs w:val="24"/>
                  <w:lang w:eastAsia="lt-LT"/>
                </w:rPr>
              </w:pPr>
              <w:r>
                <w:rPr>
                  <w:color w:val="000000"/>
                  <w:szCs w:val="24"/>
                  <w:lang w:eastAsia="lt-LT"/>
                </w:rPr>
                <w:t>&lt;/</w:t>
              </w:r>
              <w:r>
                <w:rPr>
                  <w:i/>
                  <w:color w:val="000000"/>
                  <w:szCs w:val="24"/>
                  <w:lang w:eastAsia="lt-LT"/>
                </w:rPr>
                <w:t>DocumentData</w:t>
              </w:r>
              <w:r>
                <w:rPr>
                  <w:color w:val="000000"/>
                  <w:szCs w:val="24"/>
                  <w:lang w:eastAsia="lt-LT"/>
                </w:rPr>
                <w:t>&gt;</w:t>
              </w:r>
            </w:p>
            <w:p>
              <w:pPr>
                <w:ind w:left="567"/>
                <w:rPr>
                  <w:color w:val="000000"/>
                  <w:szCs w:val="24"/>
                  <w:lang w:eastAsia="lt-LT"/>
                </w:rPr>
              </w:pPr>
              <w:r>
                <w:rPr>
                  <w:color w:val="000000"/>
                  <w:szCs w:val="24"/>
                  <w:lang w:eastAsia="lt-LT"/>
                </w:rPr>
                <w:t xml:space="preserve">&lt;/XML </w:t>
              </w:r>
              <w:r>
                <w:rPr>
                  <w:i/>
                  <w:color w:val="000000"/>
                  <w:szCs w:val="24"/>
                  <w:lang w:eastAsia="lt-LT"/>
                </w:rPr>
                <w:t>document</w:t>
              </w:r>
              <w:r>
                <w:rPr>
                  <w:color w:val="000000"/>
                  <w:szCs w:val="24"/>
                  <w:lang w:eastAsia="lt-LT"/>
                </w:rPr>
                <w:t>&gt;</w:t>
              </w:r>
            </w:p>
            <w:p>
              <w:pPr>
                <w:ind w:right="-1165" w:firstLine="567"/>
                <w:jc w:val="both"/>
                <w:rPr>
                  <w:color w:val="000000"/>
                  <w:szCs w:val="24"/>
                </w:rPr>
              </w:pPr>
            </w:p>
          </w:sdtContent>
        </w:sdt>
        <w:sdt>
          <w:sdtPr>
            <w:alias w:val="1 pr. 4 p."/>
            <w:tag w:val="part_03850b2729f44ac5ac3d66644f6bda22"/>
            <w:lock w:val="sdtLocked"/>
            <w:richText/>
          </w:sdtPr>
          <w:sdtContent>
            <w:p>
              <w:pPr>
                <w:ind w:right="-1165" w:firstLine="567"/>
                <w:jc w:val="both"/>
                <w:rPr>
                  <w:color w:val="000000"/>
                  <w:szCs w:val="24"/>
                </w:rPr>
              </w:pPr>
              <w:sdt>
                <w:sdtPr>
                  <w:alias w:val="Numeris"/>
                  <w:tag w:val="nr_03850b2729f44ac5ac3d66644f6bda22"/>
                  <w:lock w:val="sdtLocked"/>
                  <w:richText/>
                </w:sdtPr>
                <w:sdtContent>
                  <w:r>
                    <w:rPr>
                      <w:color w:val="000000"/>
                      <w:szCs w:val="24"/>
                    </w:rPr>
                    <w:t>4</w:t>
                  </w:r>
                </w:sdtContent>
              </w:sdt>
              <w:r>
                <w:rPr>
                  <w:color w:val="000000"/>
                  <w:szCs w:val="24"/>
                </w:rPr>
                <w:t>. Deklaracijos PVM101 vaizdas ir duomenų kokybė:</w:t>
              </w:r>
            </w:p>
            <w:sdt>
              <w:sdtPr>
                <w:alias w:val="1 pr. 4.1 pp."/>
                <w:tag w:val="part_9f0c50fd85c645118c0d5163b813c414"/>
                <w:lock w:val="sdtLocked"/>
                <w:richText/>
              </w:sdtPr>
              <w:sdtContent>
                <w:p>
                  <w:pPr>
                    <w:ind w:right="-1165" w:firstLine="567"/>
                    <w:jc w:val="both"/>
                    <w:rPr>
                      <w:color w:val="000000"/>
                      <w:szCs w:val="24"/>
                    </w:rPr>
                  </w:pPr>
                  <w:sdt>
                    <w:sdtPr>
                      <w:alias w:val="Numeris"/>
                      <w:tag w:val="nr_9f0c50fd85c645118c0d5163b813c414"/>
                      <w:lock w:val="sdtLocked"/>
                      <w:richText/>
                    </w:sdtPr>
                    <w:sdtContent>
                      <w:r>
                        <w:rPr>
                          <w:color w:val="000000"/>
                          <w:szCs w:val="24"/>
                        </w:rPr>
                        <w:t>4.1</w:t>
                      </w:r>
                    </w:sdtContent>
                  </w:sdt>
                  <w:r>
                    <w:rPr>
                      <w:color w:val="000000"/>
                      <w:szCs w:val="24"/>
                    </w:rPr>
                    <w:t>. Deklaracijoje PVM101 atitinkamų duomenų laukelių antraštės sudaromos taip, kad atitiktų duomenų esmę, o laukeliai išdėstomi taip, kad būtų patogu užpildyti ir peržiūrėti (vaizdas, užpildant ir peržiūrint pateiktą dokumentą, gali skirtis).</w:t>
                  </w:r>
                </w:p>
              </w:sdtContent>
            </w:sdt>
            <w:sdt>
              <w:sdtPr>
                <w:alias w:val="1 pr. 4.2 pp."/>
                <w:tag w:val="part_5bab70cb31ac4d29a2f2b81613540116"/>
                <w:lock w:val="sdtLocked"/>
                <w:richText/>
              </w:sdtPr>
              <w:sdtContent>
                <w:p>
                  <w:pPr>
                    <w:ind w:right="-1165" w:firstLine="567"/>
                    <w:jc w:val="both"/>
                    <w:rPr>
                      <w:color w:val="000000"/>
                      <w:szCs w:val="24"/>
                      <w:shd w:val="clear" w:color="auto" w:fill="CFEC9C"/>
                    </w:rPr>
                  </w:pPr>
                  <w:sdt>
                    <w:sdtPr>
                      <w:alias w:val="Numeris"/>
                      <w:tag w:val="nr_5bab70cb31ac4d29a2f2b81613540116"/>
                      <w:lock w:val="sdtLocked"/>
                      <w:richText/>
                    </w:sdtPr>
                    <w:sdtContent>
                      <w:r>
                        <w:rPr>
                          <w:color w:val="000000"/>
                          <w:szCs w:val="24"/>
                        </w:rPr>
                        <w:t>4.2</w:t>
                      </w:r>
                    </w:sdtContent>
                  </w:sdt>
                  <w:r>
                    <w:rPr>
                      <w:color w:val="000000"/>
                      <w:szCs w:val="24"/>
                    </w:rPr>
                    <w:t>. Gali būti panaudoti pagalbiniai tekstai, paaiškinimai. Duomenų užpildymas gali būti nuoseklus, kai, neužpildžius vienų duomenų, vėliau užpildomi duomenų laukeliai neatvaizduojami.</w:t>
                  </w:r>
                </w:p>
              </w:sdtContent>
            </w:sdt>
            <w:sdt>
              <w:sdtPr>
                <w:alias w:val="1 pr. 4.3 pp."/>
                <w:tag w:val="part_00183744873c4858a20bef004beff71a"/>
                <w:lock w:val="sdtLocked"/>
                <w:richText/>
              </w:sdtPr>
              <w:sdtContent>
                <w:p>
                  <w:pPr>
                    <w:ind w:right="-1165" w:firstLine="567"/>
                    <w:jc w:val="both"/>
                    <w:rPr>
                      <w:color w:val="000000"/>
                      <w:szCs w:val="24"/>
                    </w:rPr>
                  </w:pPr>
                  <w:sdt>
                    <w:sdtPr>
                      <w:alias w:val="Numeris"/>
                      <w:tag w:val="nr_00183744873c4858a20bef004beff71a"/>
                      <w:lock w:val="sdtLocked"/>
                      <w:richText/>
                    </w:sdtPr>
                    <w:sdtContent>
                      <w:r>
                        <w:rPr>
                          <w:color w:val="000000"/>
                          <w:szCs w:val="24"/>
                        </w:rPr>
                        <w:t>4.3</w:t>
                      </w:r>
                    </w:sdtContent>
                  </w:sdt>
                  <w:r>
                    <w:rPr>
                      <w:color w:val="000000"/>
                      <w:szCs w:val="24"/>
                    </w:rPr>
                    <w:t>. Siekiant užtikrinti tikslų Deklaracijos PVM101 užpildymą, taikoma užpildymo kontrolė (laukelių privalomumas, galimos reikšmės, galimi dydžiai, įskaitant XML rinkmenos kontrolę EDS pagal XSD) bei, užpildant Taisyklių 5 punkte nurodytu būdu, gali būti įkelti VMI turimi duomenys (taikomas dalinis užpildymas).</w:t>
                  </w:r>
                </w:p>
                <w:p>
                  <w:pPr>
                    <w:ind w:right="-1165" w:firstLine="567"/>
                    <w:jc w:val="both"/>
                    <w:rPr>
                      <w:color w:val="000000"/>
                      <w:szCs w:val="24"/>
                    </w:rPr>
                  </w:pPr>
                </w:p>
              </w:sdtContent>
            </w:sdt>
          </w:sdtContent>
        </w:sdt>
        <w:sdt>
          <w:sdtPr>
            <w:alias w:val="pabaiga"/>
            <w:tag w:val="part_d89a9f6673014293a7f5ebee6802c699"/>
            <w:lock w:val="sdtLocked"/>
            <w:richText/>
          </w:sdtPr>
          <w:sdtContent>
            <w:p>
              <w:pPr>
                <w:jc w:val="center"/>
                <w:rPr>
                  <w:color w:val="000000"/>
                  <w:szCs w:val="24"/>
                </w:rPr>
              </w:pPr>
              <w:r>
                <w:rPr>
                  <w:color w:val="000000"/>
                  <w:szCs w:val="24"/>
                </w:rPr>
                <w:t>_________________</w:t>
              </w:r>
            </w:p>
            <w:p>
              <w:pPr>
                <w:rPr>
                  <w:color w:val="000000"/>
                  <w:szCs w:val="24"/>
                </w:rPr>
                <w:sectPr>
                  <w:pgSz w:w="16838" w:h="11906" w:orient="landscape"/>
                  <w:pgMar w:top="1701" w:right="1701" w:bottom="567" w:left="1134" w:header="567" w:footer="567" w:gutter="0"/>
                  <w:pgNumType w:start="1"/>
                  <w:cols w:space="1296"/>
                  <w:titlePg/>
                  <w:docGrid w:linePitch="360"/>
                </w:sectPr>
              </w:pPr>
            </w:p>
            <w:p>
              <w:pPr>
                <w:tabs>
                  <w:tab w:val="center" w:pos="4819"/>
                  <w:tab w:val="right" w:pos="9638"/>
                </w:tabs>
              </w:pPr>
            </w:p>
          </w:sdtContent>
        </w:sdt>
      </w:sdtContent>
    </w:sdt>
    <w:sdt>
      <w:sdtPr>
        <w:alias w:val="2 pr."/>
        <w:tag w:val="part_96aaff67f4ce417685a4df4635f2f1ca"/>
        <w:lock w:val="sdtLocked"/>
        <w:richText/>
      </w:sdtPr>
      <w:sdtContent>
        <w:p>
          <w:pPr>
            <w:ind w:left="4820" w:right="-1"/>
            <w:rPr>
              <w:bCs/>
              <w:color w:val="000000"/>
              <w:szCs w:val="24"/>
            </w:rPr>
          </w:pPr>
          <w:r>
            <w:rPr>
              <w:color w:val="000000"/>
              <w:szCs w:val="24"/>
              <w:lang w:eastAsia="lt-LT"/>
            </w:rPr>
            <w:t>Pridėtinės vertės mokesčio mokėtojų, taikančių smulkiojo verslo schemą Lietuvoje, Pridėtinės vertės mokesčio deklaracijos PVM101 užpildymo ir pateikimo taisyklių</w:t>
          </w:r>
          <w:r>
            <w:rPr>
              <w:color w:val="000000"/>
              <w:szCs w:val="24"/>
            </w:rPr>
            <w:t xml:space="preserve"> </w:t>
          </w:r>
        </w:p>
        <w:p>
          <w:pPr>
            <w:ind w:left="4820" w:right="-1"/>
            <w:rPr>
              <w:color w:val="000000"/>
              <w:szCs w:val="24"/>
            </w:rPr>
          </w:pPr>
          <w:sdt>
            <w:sdtPr>
              <w:alias w:val="Numeris"/>
              <w:tag w:val="nr_96aaff67f4ce417685a4df4635f2f1ca"/>
              <w:lock w:val="sdtLocked"/>
              <w:richText/>
            </w:sdtPr>
            <w:sdtContent>
              <w:r>
                <w:rPr>
                  <w:color w:val="000000"/>
                  <w:szCs w:val="24"/>
                </w:rPr>
                <w:t>2</w:t>
              </w:r>
            </w:sdtContent>
          </w:sdt>
          <w:r>
            <w:rPr>
              <w:color w:val="000000"/>
              <w:szCs w:val="24"/>
            </w:rPr>
            <w:t xml:space="preserve"> priedas</w:t>
          </w:r>
        </w:p>
        <w:p>
          <w:pPr>
            <w:ind w:right="-739" w:firstLine="425"/>
            <w:rPr>
              <w:color w:val="000000"/>
              <w:szCs w:val="24"/>
            </w:rPr>
          </w:pPr>
        </w:p>
        <w:p>
          <w:pPr>
            <w:jc w:val="center"/>
            <w:rPr>
              <w:b/>
              <w:color w:val="000000"/>
              <w:szCs w:val="24"/>
            </w:rPr>
          </w:pPr>
          <w:sdt>
            <w:sdtPr>
              <w:alias w:val="Pavadinimas"/>
              <w:tag w:val="title_96aaff67f4ce417685a4df4635f2f1ca"/>
              <w:lock w:val="sdtLocked"/>
              <w:richText/>
            </w:sdtPr>
            <w:sdtContent>
              <w:r>
                <w:rPr>
                  <w:b/>
                  <w:color w:val="000000"/>
                  <w:szCs w:val="24"/>
                </w:rPr>
                <w:t>PRIDĖTINĖS VERTĖS MOKESČIO MOKĖTOJŲ, TAIKANČIŲ SMULKIOJO VERSLO SCHEMĄ LIETUVOJE, PRIDĖTINĖS VERTĖS MOKESČIO DEKLARACIJOS PVM101 KLASIFIKATORIAI</w:t>
              </w:r>
            </w:sdtContent>
          </w:sdt>
        </w:p>
        <w:p>
          <w:pPr>
            <w:rPr>
              <w:color w:val="000000"/>
              <w:szCs w:val="24"/>
            </w:rPr>
          </w:pPr>
        </w:p>
        <w:sdt>
          <w:sdtPr>
            <w:alias w:val="2 pr. 1 p."/>
            <w:tag w:val="part_5e426a0607a1449f80d88c54a3349d74"/>
            <w:lock w:val="sdtLocked"/>
            <w:richText/>
          </w:sdtPr>
          <w:sdtContent>
            <w:p>
              <w:pPr>
                <w:ind w:right="-1" w:firstLine="567"/>
                <w:jc w:val="both"/>
                <w:rPr>
                  <w:bCs/>
                  <w:color w:val="000000"/>
                  <w:szCs w:val="24"/>
                </w:rPr>
              </w:pPr>
              <w:sdt>
                <w:sdtPr>
                  <w:alias w:val="Numeris"/>
                  <w:tag w:val="nr_5e426a0607a1449f80d88c54a3349d74"/>
                  <w:lock w:val="sdtLocked"/>
                  <w:richText/>
                </w:sdtPr>
                <w:sdtContent>
                  <w:r>
                    <w:rPr>
                      <w:color w:val="000000"/>
                      <w:szCs w:val="24"/>
                    </w:rPr>
                    <w:t>1</w:t>
                  </w:r>
                </w:sdtContent>
              </w:sdt>
              <w:r>
                <w:rPr>
                  <w:color w:val="000000"/>
                  <w:szCs w:val="24"/>
                </w:rPr>
                <w:t>. Pridėtinės vertės mokesčio</w:t>
              </w:r>
              <w:r>
                <w:rPr>
                  <w:bCs/>
                  <w:color w:val="000000"/>
                  <w:szCs w:val="24"/>
                </w:rPr>
                <w:t xml:space="preserve"> mokėtojų, taikančių smulkiojo verslo schemą Lietuvoje, deklaracijoje PVM101 (toliau – Deklaracija PVM101) naudojami šie klasifikatoriai:</w:t>
              </w:r>
            </w:p>
            <w:sdt>
              <w:sdtPr>
                <w:alias w:val="2 pr. 1.1 pp."/>
                <w:tag w:val="part_5ad31df1ace74c4fa459805f4eee11c8"/>
                <w:lock w:val="sdtLocked"/>
                <w:richText/>
              </w:sdtPr>
              <w:sdtContent>
                <w:p>
                  <w:pPr>
                    <w:ind w:right="-1" w:firstLine="567"/>
                    <w:jc w:val="both"/>
                    <w:rPr>
                      <w:bCs/>
                      <w:color w:val="000000"/>
                      <w:szCs w:val="24"/>
                    </w:rPr>
                  </w:pPr>
                  <w:sdt>
                    <w:sdtPr>
                      <w:alias w:val="Numeris"/>
                      <w:tag w:val="nr_5ad31df1ace74c4fa459805f4eee11c8"/>
                      <w:lock w:val="sdtLocked"/>
                      <w:richText/>
                    </w:sdtPr>
                    <w:sdtContent>
                      <w:r>
                        <w:rPr>
                          <w:bCs/>
                          <w:color w:val="000000"/>
                          <w:szCs w:val="24"/>
                        </w:rPr>
                        <w:t>1.1</w:t>
                      </w:r>
                    </w:sdtContent>
                  </w:sdt>
                  <w:r>
                    <w:rPr>
                      <w:bCs/>
                      <w:color w:val="000000"/>
                      <w:szCs w:val="24"/>
                    </w:rPr>
                    <w:t>. Pridėtinės vertės mokesčio (toliau – PVM) mokėtojo tipai (</w:t>
                  </w:r>
                  <w:r>
                    <w:rPr>
                      <w:bCs/>
                      <w:i/>
                      <w:color w:val="000000"/>
                      <w:szCs w:val="24"/>
                    </w:rPr>
                    <w:t>VATPayerType</w:t>
                  </w:r>
                  <w:r>
                    <w:rPr>
                      <w:bCs/>
                      <w:color w:val="000000"/>
                      <w:szCs w:val="24"/>
                    </w:rPr>
                    <w:t>);</w:t>
                  </w:r>
                </w:p>
              </w:sdtContent>
            </w:sdt>
            <w:sdt>
              <w:sdtPr>
                <w:alias w:val="2 pr. 1.2 pp."/>
                <w:tag w:val="part_8c13b363fe6e49d6aa319a52ab848510"/>
                <w:lock w:val="sdtLocked"/>
                <w:richText/>
              </w:sdtPr>
              <w:sdtContent>
                <w:p>
                  <w:pPr>
                    <w:ind w:right="-1" w:firstLine="567"/>
                    <w:jc w:val="both"/>
                    <w:rPr>
                      <w:bCs/>
                      <w:color w:val="000000"/>
                      <w:szCs w:val="24"/>
                    </w:rPr>
                  </w:pPr>
                  <w:sdt>
                    <w:sdtPr>
                      <w:alias w:val="Numeris"/>
                      <w:tag w:val="nr_8c13b363fe6e49d6aa319a52ab848510"/>
                      <w:lock w:val="sdtLocked"/>
                      <w:richText/>
                    </w:sdtPr>
                    <w:sdtContent>
                      <w:r>
                        <w:rPr>
                          <w:bCs/>
                          <w:color w:val="000000"/>
                          <w:szCs w:val="24"/>
                        </w:rPr>
                        <w:t>1.2</w:t>
                      </w:r>
                    </w:sdtContent>
                  </w:sdt>
                  <w:r>
                    <w:rPr>
                      <w:bCs/>
                      <w:color w:val="000000"/>
                      <w:szCs w:val="24"/>
                    </w:rPr>
                    <w:t>. Deklaruojamų duomenų rūšys (</w:t>
                  </w:r>
                  <w:r>
                    <w:rPr>
                      <w:bCs/>
                      <w:i/>
                      <w:color w:val="000000"/>
                      <w:szCs w:val="24"/>
                    </w:rPr>
                    <w:t>RowType</w:t>
                  </w:r>
                  <w:r>
                    <w:rPr>
                      <w:bCs/>
                      <w:color w:val="000000"/>
                      <w:szCs w:val="24"/>
                    </w:rPr>
                    <w:t>);</w:t>
                  </w:r>
                </w:p>
              </w:sdtContent>
            </w:sdt>
            <w:sdt>
              <w:sdtPr>
                <w:alias w:val="2 pr. 1.3 pp."/>
                <w:tag w:val="part_b9cde6d4d1394217a8ac5c5f6b6c8a48"/>
                <w:lock w:val="sdtLocked"/>
                <w:richText/>
              </w:sdtPr>
              <w:sdtContent>
                <w:p>
                  <w:pPr>
                    <w:ind w:right="-1" w:firstLine="567"/>
                    <w:jc w:val="both"/>
                    <w:rPr>
                      <w:bCs/>
                      <w:color w:val="000000"/>
                      <w:szCs w:val="24"/>
                    </w:rPr>
                  </w:pPr>
                  <w:sdt>
                    <w:sdtPr>
                      <w:alias w:val="Numeris"/>
                      <w:tag w:val="nr_b9cde6d4d1394217a8ac5c5f6b6c8a48"/>
                      <w:lock w:val="sdtLocked"/>
                      <w:richText/>
                    </w:sdtPr>
                    <w:sdtContent>
                      <w:r>
                        <w:rPr>
                          <w:bCs/>
                          <w:color w:val="000000"/>
                          <w:szCs w:val="24"/>
                        </w:rPr>
                        <w:t>1.3</w:t>
                      </w:r>
                    </w:sdtContent>
                  </w:sdt>
                  <w:r>
                    <w:rPr>
                      <w:bCs/>
                      <w:color w:val="000000"/>
                      <w:szCs w:val="24"/>
                    </w:rPr>
                    <w:t>. PVM tarifai (</w:t>
                  </w:r>
                  <w:r>
                    <w:rPr>
                      <w:bCs/>
                      <w:i/>
                      <w:color w:val="000000"/>
                      <w:szCs w:val="24"/>
                    </w:rPr>
                    <w:t>RowRate</w:t>
                  </w:r>
                  <w:r>
                    <w:rPr>
                      <w:bCs/>
                      <w:color w:val="000000"/>
                      <w:szCs w:val="24"/>
                    </w:rPr>
                    <w:t>);</w:t>
                  </w:r>
                </w:p>
              </w:sdtContent>
            </w:sdt>
            <w:sdt>
              <w:sdtPr>
                <w:alias w:val="2 pr. 1.4 pp."/>
                <w:tag w:val="part_276f6d4c1eed4990891a9db39aa36006"/>
                <w:lock w:val="sdtLocked"/>
                <w:richText/>
              </w:sdtPr>
              <w:sdtContent>
                <w:p>
                  <w:pPr>
                    <w:ind w:right="-1" w:firstLine="567"/>
                    <w:jc w:val="both"/>
                    <w:rPr>
                      <w:bCs/>
                      <w:color w:val="000000"/>
                      <w:szCs w:val="24"/>
                    </w:rPr>
                  </w:pPr>
                  <w:sdt>
                    <w:sdtPr>
                      <w:alias w:val="Numeris"/>
                      <w:tag w:val="nr_276f6d4c1eed4990891a9db39aa36006"/>
                      <w:lock w:val="sdtLocked"/>
                      <w:richText/>
                    </w:sdtPr>
                    <w:sdtContent>
                      <w:r>
                        <w:rPr>
                          <w:bCs/>
                          <w:color w:val="000000"/>
                          <w:szCs w:val="24"/>
                        </w:rPr>
                        <w:t>1.4</w:t>
                      </w:r>
                    </w:sdtContent>
                  </w:sdt>
                  <w:r>
                    <w:rPr>
                      <w:bCs/>
                      <w:color w:val="000000"/>
                      <w:szCs w:val="24"/>
                    </w:rPr>
                    <w:t>. Deklaruojamo laikotarpio tipai (</w:t>
                  </w:r>
                  <w:r>
                    <w:rPr>
                      <w:bCs/>
                      <w:i/>
                      <w:color w:val="000000"/>
                      <w:szCs w:val="24"/>
                    </w:rPr>
                    <w:t>TaxPeriodType</w:t>
                  </w:r>
                  <w:r>
                    <w:rPr>
                      <w:bCs/>
                      <w:color w:val="000000"/>
                      <w:szCs w:val="24"/>
                    </w:rPr>
                    <w:t>).</w:t>
                  </w:r>
                </w:p>
              </w:sdtContent>
            </w:sdt>
          </w:sdtContent>
        </w:sdt>
        <w:sdt>
          <w:sdtPr>
            <w:alias w:val="2 pr. 2 p."/>
            <w:tag w:val="part_8cc456a8773c4f35a23b8de06a148e0c"/>
            <w:lock w:val="sdtLocked"/>
            <w:richText/>
          </w:sdtPr>
          <w:sdtContent>
            <w:p>
              <w:pPr>
                <w:ind w:firstLine="567"/>
                <w:rPr>
                  <w:color w:val="000000"/>
                  <w:szCs w:val="24"/>
                </w:rPr>
              </w:pPr>
              <w:sdt>
                <w:sdtPr>
                  <w:alias w:val="Numeris"/>
                  <w:tag w:val="nr_8cc456a8773c4f35a23b8de06a148e0c"/>
                  <w:lock w:val="sdtLocked"/>
                  <w:richText/>
                </w:sdtPr>
                <w:sdtContent>
                  <w:r>
                    <w:rPr>
                      <w:color w:val="000000"/>
                      <w:szCs w:val="24"/>
                    </w:rPr>
                    <w:t>2</w:t>
                  </w:r>
                </w:sdtContent>
              </w:sdt>
              <w:r>
                <w:rPr>
                  <w:color w:val="000000"/>
                  <w:szCs w:val="24"/>
                </w:rPr>
                <w:t xml:space="preserve">. </w:t>
              </w:r>
              <w:r>
                <w:rPr>
                  <w:bCs/>
                  <w:color w:val="000000"/>
                  <w:szCs w:val="24"/>
                </w:rPr>
                <w:t>PVM mokėtojo tipų (</w:t>
              </w:r>
              <w:r>
                <w:rPr>
                  <w:bCs/>
                  <w:i/>
                  <w:color w:val="000000"/>
                  <w:szCs w:val="24"/>
                </w:rPr>
                <w:t>VATPayerType</w:t>
              </w:r>
              <w:r>
                <w:rPr>
                  <w:bCs/>
                  <w:color w:val="000000"/>
                  <w:szCs w:val="24"/>
                </w:rPr>
                <w:t>) klasifikatoriaus reikšmės</w:t>
              </w:r>
              <w:r>
                <w:rPr>
                  <w:color w:val="000000"/>
                  <w:szCs w:val="24"/>
                </w:rPr>
                <w:t>:</w:t>
              </w:r>
            </w:p>
            <w:tbl>
              <w:tblPr>
                <w:tblW w:w="9081" w:type="dxa"/>
                <w:tblInd w:w="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70"/>
                <w:gridCol w:w="6143"/>
                <w:gridCol w:w="2268"/>
              </w:tblGrid>
              <w:tr>
                <w:tc>
                  <w:tcPr>
                    <w:tcW w:w="670" w:type="dxa"/>
                    <w:shd w:val="clear" w:color="auto" w:fill="auto"/>
                    <w:hideMark/>
                  </w:tcPr>
                  <w:p>
                    <w:pPr>
                      <w:jc w:val="center"/>
                      <w:rPr>
                        <w:b/>
                        <w:bCs/>
                        <w:color w:val="000000"/>
                        <w:szCs w:val="24"/>
                        <w:lang w:eastAsia="lt-LT"/>
                      </w:rPr>
                    </w:pPr>
                    <w:r>
                      <w:rPr>
                        <w:color w:val="000000"/>
                        <w:szCs w:val="24"/>
                        <w:lang w:eastAsia="lt-LT"/>
                      </w:rPr>
                      <w:t>Kodas</w:t>
                    </w:r>
                  </w:p>
                </w:tc>
                <w:tc>
                  <w:tcPr>
                    <w:tcW w:w="6143" w:type="dxa"/>
                    <w:shd w:val="clear" w:color="auto" w:fill="auto"/>
                    <w:hideMark/>
                  </w:tcPr>
                  <w:p>
                    <w:pPr>
                      <w:jc w:val="center"/>
                      <w:rPr>
                        <w:b/>
                        <w:bCs/>
                        <w:color w:val="000000"/>
                        <w:szCs w:val="24"/>
                        <w:lang w:eastAsia="lt-LT"/>
                      </w:rPr>
                    </w:pPr>
                    <w:r>
                      <w:rPr>
                        <w:color w:val="000000"/>
                        <w:szCs w:val="24"/>
                        <w:lang w:eastAsia="lt-LT"/>
                      </w:rPr>
                      <w:t>Pavadinimas</w:t>
                    </w:r>
                  </w:p>
                </w:tc>
                <w:tc>
                  <w:tcPr>
                    <w:tcW w:w="2268" w:type="dxa"/>
                  </w:tcPr>
                  <w:p>
                    <w:pPr>
                      <w:jc w:val="center"/>
                      <w:rPr>
                        <w:color w:val="000000"/>
                        <w:szCs w:val="24"/>
                        <w:lang w:eastAsia="lt-LT"/>
                      </w:rPr>
                    </w:pPr>
                    <w:r>
                      <w:rPr>
                        <w:color w:val="000000"/>
                        <w:szCs w:val="24"/>
                        <w:lang w:eastAsia="lt-LT"/>
                      </w:rPr>
                      <w:t>Pastabos</w:t>
                    </w:r>
                  </w:p>
                </w:tc>
              </w:tr>
              <w:tr>
                <w:tc>
                  <w:tcPr>
                    <w:tcW w:w="670" w:type="dxa"/>
                    <w:shd w:val="clear" w:color="auto" w:fill="auto"/>
                  </w:tcPr>
                  <w:p>
                    <w:pPr>
                      <w:rPr>
                        <w:szCs w:val="24"/>
                        <w:lang w:eastAsia="lt-LT"/>
                      </w:rPr>
                    </w:pPr>
                    <w:r>
                      <w:rPr>
                        <w:szCs w:val="24"/>
                        <w:lang w:eastAsia="lt-LT"/>
                      </w:rPr>
                      <w:t>S</w:t>
                    </w:r>
                  </w:p>
                </w:tc>
                <w:tc>
                  <w:tcPr>
                    <w:tcW w:w="6143" w:type="dxa"/>
                    <w:shd w:val="clear" w:color="auto" w:fill="auto"/>
                    <w:hideMark/>
                  </w:tcPr>
                  <w:p>
                    <w:pPr>
                      <w:jc w:val="both"/>
                      <w:rPr>
                        <w:szCs w:val="24"/>
                        <w:lang w:eastAsia="lt-LT"/>
                      </w:rPr>
                    </w:pPr>
                    <w:r>
                      <w:rPr>
                        <w:szCs w:val="24"/>
                        <w:lang w:eastAsia="lt-LT"/>
                      </w:rPr>
                      <w:t xml:space="preserve">PVM mokėtojas, taikantis smulkiojo verslo schemą Lietuvoje </w:t>
                    </w:r>
                  </w:p>
                </w:tc>
                <w:tc>
                  <w:tcPr>
                    <w:tcW w:w="2268" w:type="dxa"/>
                  </w:tcPr>
                  <w:p>
                    <w:pPr>
                      <w:rPr>
                        <w:szCs w:val="24"/>
                        <w:lang w:eastAsia="lt-LT"/>
                      </w:rPr>
                    </w:pPr>
                  </w:p>
                </w:tc>
              </w:tr>
            </w:tbl>
            <w:p/>
          </w:sdtContent>
        </w:sdt>
        <w:sdt>
          <w:sdtPr>
            <w:alias w:val="2 pr. 3 p."/>
            <w:tag w:val="part_d1a19a0cdd124977b381857a0f1061e9"/>
            <w:lock w:val="sdtLocked"/>
            <w:richText/>
          </w:sdtPr>
          <w:sdtContent>
            <w:p>
              <w:pPr>
                <w:ind w:firstLine="567"/>
                <w:jc w:val="both"/>
                <w:rPr>
                  <w:color w:val="000000"/>
                  <w:szCs w:val="24"/>
                </w:rPr>
              </w:pPr>
              <w:sdt>
                <w:sdtPr>
                  <w:alias w:val="Numeris"/>
                  <w:tag w:val="nr_d1a19a0cdd124977b381857a0f1061e9"/>
                  <w:lock w:val="sdtLocked"/>
                  <w:richText/>
                </w:sdtPr>
                <w:sdtContent>
                  <w:r>
                    <w:rPr>
                      <w:color w:val="000000"/>
                      <w:szCs w:val="24"/>
                    </w:rPr>
                    <w:t>3</w:t>
                  </w:r>
                </w:sdtContent>
              </w:sdt>
              <w:r>
                <w:rPr>
                  <w:color w:val="000000"/>
                  <w:szCs w:val="24"/>
                </w:rPr>
                <w:t xml:space="preserve">. </w:t>
              </w:r>
              <w:r>
                <w:rPr>
                  <w:bCs/>
                  <w:color w:val="000000"/>
                  <w:szCs w:val="24"/>
                </w:rPr>
                <w:t>Deklaruojamų duomenų rūšių (</w:t>
              </w:r>
              <w:r>
                <w:rPr>
                  <w:bCs/>
                  <w:i/>
                  <w:color w:val="000000"/>
                  <w:szCs w:val="24"/>
                </w:rPr>
                <w:t>RowType</w:t>
              </w:r>
              <w:r>
                <w:rPr>
                  <w:bCs/>
                  <w:color w:val="000000"/>
                  <w:szCs w:val="24"/>
                </w:rPr>
                <w:t>) ir PVM tarifų (</w:t>
              </w:r>
              <w:r>
                <w:rPr>
                  <w:bCs/>
                  <w:i/>
                  <w:color w:val="000000"/>
                  <w:szCs w:val="24"/>
                </w:rPr>
                <w:t>RowRate</w:t>
              </w:r>
              <w:r>
                <w:rPr>
                  <w:bCs/>
                  <w:color w:val="000000"/>
                  <w:szCs w:val="24"/>
                </w:rPr>
                <w:t>) klasifikatorius</w:t>
              </w:r>
              <w:r>
                <w:rPr>
                  <w:color w:val="000000"/>
                  <w:szCs w:val="24"/>
                </w:rPr>
                <w:t>:</w:t>
              </w:r>
            </w:p>
            <w:tbl>
              <w:tblPr>
                <w:tblW w:w="9067"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277"/>
                <w:gridCol w:w="4102"/>
                <w:gridCol w:w="2688"/>
              </w:tblGrid>
              <w:tr>
                <w:tc>
                  <w:tcPr>
                    <w:tcW w:w="2277" w:type="dxa"/>
                    <w:shd w:val="clear" w:color="auto" w:fill="auto"/>
                    <w:hideMark/>
                  </w:tcPr>
                  <w:p>
                    <w:pPr>
                      <w:jc w:val="center"/>
                      <w:rPr>
                        <w:b/>
                        <w:bCs/>
                        <w:color w:val="000000"/>
                        <w:szCs w:val="24"/>
                        <w:lang w:eastAsia="lt-LT"/>
                      </w:rPr>
                    </w:pPr>
                    <w:r>
                      <w:rPr>
                        <w:color w:val="000000"/>
                        <w:szCs w:val="24"/>
                        <w:lang w:eastAsia="lt-LT"/>
                      </w:rPr>
                      <w:t>Duomenų rūšies kodas</w:t>
                    </w:r>
                  </w:p>
                </w:tc>
                <w:tc>
                  <w:tcPr>
                    <w:tcW w:w="4102" w:type="dxa"/>
                    <w:shd w:val="clear" w:color="auto" w:fill="auto"/>
                    <w:hideMark/>
                  </w:tcPr>
                  <w:p>
                    <w:pPr>
                      <w:jc w:val="center"/>
                      <w:rPr>
                        <w:b/>
                        <w:bCs/>
                        <w:color w:val="000000"/>
                        <w:szCs w:val="24"/>
                        <w:lang w:eastAsia="lt-LT"/>
                      </w:rPr>
                    </w:pPr>
                    <w:r>
                      <w:rPr>
                        <w:color w:val="000000"/>
                        <w:szCs w:val="24"/>
                        <w:lang w:eastAsia="lt-LT"/>
                      </w:rPr>
                      <w:t>Pavadinimas</w:t>
                    </w:r>
                  </w:p>
                </w:tc>
                <w:tc>
                  <w:tcPr>
                    <w:tcW w:w="2688" w:type="dxa"/>
                  </w:tcPr>
                  <w:p>
                    <w:pPr>
                      <w:jc w:val="center"/>
                      <w:rPr>
                        <w:color w:val="000000"/>
                        <w:szCs w:val="24"/>
                        <w:lang w:eastAsia="lt-LT"/>
                      </w:rPr>
                    </w:pPr>
                    <w:r>
                      <w:rPr>
                        <w:color w:val="000000"/>
                        <w:szCs w:val="24"/>
                        <w:lang w:eastAsia="lt-LT"/>
                      </w:rPr>
                      <w:t>Galimi PVM tarifai (proc.)</w:t>
                    </w:r>
                  </w:p>
                </w:tc>
              </w:tr>
              <w:tr>
                <w:tc>
                  <w:tcPr>
                    <w:tcW w:w="2277" w:type="dxa"/>
                    <w:shd w:val="clear" w:color="auto" w:fill="auto"/>
                  </w:tcPr>
                  <w:p>
                    <w:pPr>
                      <w:jc w:val="center"/>
                      <w:rPr>
                        <w:color w:val="000000"/>
                        <w:szCs w:val="24"/>
                        <w:lang w:eastAsia="lt-LT"/>
                      </w:rPr>
                    </w:pPr>
                    <w:r>
                      <w:rPr>
                        <w:color w:val="000000"/>
                        <w:szCs w:val="24"/>
                      </w:rPr>
                      <w:t>100</w:t>
                    </w:r>
                  </w:p>
                </w:tc>
                <w:tc>
                  <w:tcPr>
                    <w:tcW w:w="4102" w:type="dxa"/>
                    <w:shd w:val="clear" w:color="auto" w:fill="auto"/>
                  </w:tcPr>
                  <w:p>
                    <w:pPr>
                      <w:jc w:val="both"/>
                      <w:rPr>
                        <w:color w:val="2F5496"/>
                        <w:szCs w:val="24"/>
                        <w:lang w:eastAsia="lt-LT"/>
                      </w:rPr>
                    </w:pPr>
                    <w:r>
                      <w:rPr>
                        <w:color w:val="000000"/>
                        <w:szCs w:val="24"/>
                      </w:rPr>
                      <w:t>Iš kitų Europos Sąjungos valstybių narių įsigytų prekių apmokestinamoji vertė</w:t>
                    </w:r>
                  </w:p>
                </w:tc>
                <w:tc>
                  <w:tcPr>
                    <w:tcW w:w="2688" w:type="dxa"/>
                  </w:tcPr>
                  <w:p>
                    <w:pPr>
                      <w:jc w:val="center"/>
                      <w:rPr>
                        <w:color w:val="000000"/>
                        <w:szCs w:val="24"/>
                        <w:lang w:eastAsia="lt-LT"/>
                      </w:rPr>
                    </w:pPr>
                    <w:r>
                      <w:rPr>
                        <w:szCs w:val="24"/>
                        <w:lang w:eastAsia="lt-LT"/>
                      </w:rPr>
                      <w:t>21, 9, 5</w:t>
                    </w:r>
                  </w:p>
                </w:tc>
              </w:tr>
              <w:tr>
                <w:tc>
                  <w:tcPr>
                    <w:tcW w:w="2277" w:type="dxa"/>
                    <w:shd w:val="clear" w:color="auto" w:fill="auto"/>
                  </w:tcPr>
                  <w:p>
                    <w:pPr>
                      <w:jc w:val="center"/>
                      <w:rPr>
                        <w:color w:val="000000"/>
                        <w:szCs w:val="24"/>
                      </w:rPr>
                    </w:pPr>
                    <w:r>
                      <w:rPr>
                        <w:color w:val="000000"/>
                        <w:szCs w:val="24"/>
                      </w:rPr>
                      <w:t>101</w:t>
                    </w:r>
                  </w:p>
                </w:tc>
                <w:tc>
                  <w:tcPr>
                    <w:tcW w:w="4102" w:type="dxa"/>
                    <w:shd w:val="clear" w:color="auto" w:fill="auto"/>
                  </w:tcPr>
                  <w:p>
                    <w:pPr>
                      <w:jc w:val="both"/>
                      <w:rPr>
                        <w:color w:val="000000"/>
                        <w:szCs w:val="24"/>
                      </w:rPr>
                    </w:pPr>
                    <w:r>
                      <w:rPr>
                        <w:color w:val="000000"/>
                        <w:szCs w:val="24"/>
                      </w:rPr>
                      <w:t>PVM įstatymo 95 straipsnio 3, 4 ir 5 dalyse nurodytais atvejais įsigytų prekių apmokestinamoji vertė</w:t>
                    </w:r>
                  </w:p>
                </w:tc>
                <w:tc>
                  <w:tcPr>
                    <w:tcW w:w="2688" w:type="dxa"/>
                  </w:tcPr>
                  <w:p>
                    <w:pPr>
                      <w:jc w:val="center"/>
                      <w:rPr>
                        <w:szCs w:val="24"/>
                        <w:lang w:eastAsia="lt-LT"/>
                      </w:rPr>
                    </w:pPr>
                    <w:r>
                      <w:rPr>
                        <w:szCs w:val="24"/>
                        <w:lang w:eastAsia="lt-LT"/>
                      </w:rPr>
                      <w:t>21, 9, 5</w:t>
                    </w:r>
                  </w:p>
                </w:tc>
              </w:tr>
              <w:tr>
                <w:tc>
                  <w:tcPr>
                    <w:tcW w:w="2277" w:type="dxa"/>
                    <w:shd w:val="clear" w:color="auto" w:fill="auto"/>
                  </w:tcPr>
                  <w:p>
                    <w:pPr>
                      <w:jc w:val="center"/>
                      <w:rPr>
                        <w:color w:val="000000"/>
                        <w:szCs w:val="24"/>
                        <w:lang w:eastAsia="lt-LT"/>
                      </w:rPr>
                    </w:pPr>
                    <w:r>
                      <w:rPr>
                        <w:color w:val="000000"/>
                        <w:szCs w:val="24"/>
                      </w:rPr>
                      <w:t>140</w:t>
                    </w:r>
                  </w:p>
                </w:tc>
                <w:tc>
                  <w:tcPr>
                    <w:tcW w:w="4102" w:type="dxa"/>
                    <w:shd w:val="clear" w:color="auto" w:fill="auto"/>
                  </w:tcPr>
                  <w:p>
                    <w:pPr>
                      <w:jc w:val="both"/>
                      <w:rPr>
                        <w:color w:val="2F5496"/>
                        <w:szCs w:val="24"/>
                        <w:lang w:eastAsia="lt-LT"/>
                      </w:rPr>
                    </w:pPr>
                    <w:r>
                      <w:rPr>
                        <w:color w:val="000000"/>
                        <w:szCs w:val="24"/>
                      </w:rPr>
                      <w:t>Iš kitų ES valstybių narių įsigytų paslaugų apmokestinamoji vertė</w:t>
                    </w:r>
                  </w:p>
                </w:tc>
                <w:tc>
                  <w:tcPr>
                    <w:tcW w:w="2688" w:type="dxa"/>
                  </w:tcPr>
                  <w:p>
                    <w:pPr>
                      <w:jc w:val="center"/>
                      <w:rPr>
                        <w:color w:val="000000"/>
                        <w:szCs w:val="24"/>
                        <w:lang w:eastAsia="lt-LT"/>
                      </w:rPr>
                    </w:pPr>
                    <w:r>
                      <w:rPr>
                        <w:szCs w:val="24"/>
                        <w:lang w:eastAsia="lt-LT"/>
                      </w:rPr>
                      <w:t>21, 9, 5</w:t>
                    </w:r>
                  </w:p>
                </w:tc>
              </w:tr>
              <w:tr>
                <w:tc>
                  <w:tcPr>
                    <w:tcW w:w="2277" w:type="dxa"/>
                    <w:shd w:val="clear" w:color="auto" w:fill="auto"/>
                  </w:tcPr>
                  <w:p>
                    <w:pPr>
                      <w:jc w:val="center"/>
                      <w:rPr>
                        <w:color w:val="000000"/>
                        <w:szCs w:val="24"/>
                      </w:rPr>
                    </w:pPr>
                    <w:r>
                      <w:rPr>
                        <w:color w:val="000000"/>
                        <w:szCs w:val="24"/>
                      </w:rPr>
                      <w:t>141</w:t>
                    </w:r>
                  </w:p>
                </w:tc>
                <w:tc>
                  <w:tcPr>
                    <w:tcW w:w="4102" w:type="dxa"/>
                    <w:shd w:val="clear" w:color="auto" w:fill="auto"/>
                  </w:tcPr>
                  <w:p>
                    <w:pPr>
                      <w:jc w:val="both"/>
                      <w:rPr>
                        <w:color w:val="000000"/>
                        <w:szCs w:val="24"/>
                      </w:rPr>
                    </w:pPr>
                    <w:r>
                      <w:rPr>
                        <w:color w:val="000000"/>
                        <w:szCs w:val="24"/>
                      </w:rPr>
                      <w:t>Iš ne ES valstybių narių įsigytų paslaugų apmokestinamoji vertė</w:t>
                    </w:r>
                  </w:p>
                </w:tc>
                <w:tc>
                  <w:tcPr>
                    <w:tcW w:w="2688" w:type="dxa"/>
                  </w:tcPr>
                  <w:p>
                    <w:pPr>
                      <w:jc w:val="center"/>
                      <w:rPr>
                        <w:szCs w:val="24"/>
                        <w:lang w:eastAsia="lt-LT"/>
                      </w:rPr>
                    </w:pPr>
                    <w:r>
                      <w:rPr>
                        <w:szCs w:val="24"/>
                        <w:lang w:eastAsia="lt-LT"/>
                      </w:rPr>
                      <w:t>21, 9, 5</w:t>
                    </w:r>
                  </w:p>
                </w:tc>
              </w:tr>
              <w:tr>
                <w:tc>
                  <w:tcPr>
                    <w:tcW w:w="2277" w:type="dxa"/>
                    <w:shd w:val="clear" w:color="auto" w:fill="auto"/>
                  </w:tcPr>
                  <w:p>
                    <w:pPr>
                      <w:jc w:val="center"/>
                      <w:rPr>
                        <w:color w:val="000000"/>
                        <w:szCs w:val="24"/>
                      </w:rPr>
                    </w:pPr>
                    <w:r>
                      <w:rPr>
                        <w:color w:val="000000"/>
                        <w:szCs w:val="24"/>
                      </w:rPr>
                      <w:t>142</w:t>
                    </w:r>
                  </w:p>
                </w:tc>
                <w:tc>
                  <w:tcPr>
                    <w:tcW w:w="4102" w:type="dxa"/>
                    <w:shd w:val="clear" w:color="auto" w:fill="auto"/>
                  </w:tcPr>
                  <w:p>
                    <w:pPr>
                      <w:jc w:val="both"/>
                      <w:rPr>
                        <w:color w:val="000000"/>
                        <w:szCs w:val="24"/>
                      </w:rPr>
                    </w:pPr>
                    <w:r>
                      <w:rPr>
                        <w:color w:val="000000"/>
                        <w:szCs w:val="24"/>
                      </w:rPr>
                      <w:t>PVM įstatymo 95 straipsnio 5 dalyje nurodytais atvejais įsigytų paslaugų apmokestinamoji vertė</w:t>
                    </w:r>
                  </w:p>
                </w:tc>
                <w:tc>
                  <w:tcPr>
                    <w:tcW w:w="2688" w:type="dxa"/>
                  </w:tcPr>
                  <w:p>
                    <w:pPr>
                      <w:jc w:val="center"/>
                      <w:rPr>
                        <w:szCs w:val="24"/>
                        <w:lang w:eastAsia="lt-LT"/>
                      </w:rPr>
                    </w:pPr>
                    <w:r>
                      <w:rPr>
                        <w:szCs w:val="24"/>
                        <w:lang w:eastAsia="lt-LT"/>
                      </w:rPr>
                      <w:t>21, 9, 5</w:t>
                    </w:r>
                  </w:p>
                </w:tc>
              </w:tr>
              <w:tr>
                <w:tc>
                  <w:tcPr>
                    <w:tcW w:w="2277" w:type="dxa"/>
                    <w:shd w:val="clear" w:color="auto" w:fill="auto"/>
                  </w:tcPr>
                  <w:p>
                    <w:pPr>
                      <w:jc w:val="center"/>
                      <w:rPr>
                        <w:color w:val="000000"/>
                        <w:szCs w:val="24"/>
                        <w:lang w:eastAsia="lt-LT"/>
                      </w:rPr>
                    </w:pPr>
                    <w:r>
                      <w:rPr>
                        <w:color w:val="000000"/>
                        <w:szCs w:val="24"/>
                      </w:rPr>
                      <w:t>043</w:t>
                    </w:r>
                  </w:p>
                </w:tc>
                <w:tc>
                  <w:tcPr>
                    <w:tcW w:w="4102" w:type="dxa"/>
                    <w:shd w:val="clear" w:color="auto" w:fill="auto"/>
                  </w:tcPr>
                  <w:p>
                    <w:pPr>
                      <w:jc w:val="both"/>
                      <w:rPr>
                        <w:color w:val="2F5496"/>
                        <w:szCs w:val="24"/>
                        <w:lang w:eastAsia="lt-LT"/>
                      </w:rPr>
                    </w:pPr>
                    <w:r>
                      <w:rPr>
                        <w:color w:val="000000"/>
                        <w:szCs w:val="24"/>
                      </w:rPr>
                      <w:t>Paslaugų, kurios laikomos suteiktomis kitose ES valstybėse narėse, apmokestinamoji vertė</w:t>
                    </w:r>
                  </w:p>
                </w:tc>
                <w:tc>
                  <w:tcPr>
                    <w:tcW w:w="2688" w:type="dxa"/>
                  </w:tcPr>
                  <w:p>
                    <w:pPr>
                      <w:jc w:val="center"/>
                      <w:rPr>
                        <w:color w:val="000000"/>
                        <w:szCs w:val="24"/>
                        <w:lang w:eastAsia="lt-LT"/>
                      </w:rPr>
                    </w:pPr>
                    <w:r>
                      <w:rPr>
                        <w:color w:val="000000"/>
                        <w:szCs w:val="24"/>
                        <w:lang w:eastAsia="lt-LT"/>
                      </w:rPr>
                      <w:t>nepildomas</w:t>
                    </w:r>
                  </w:p>
                </w:tc>
              </w:tr>
            </w:tbl>
            <w:p>
              <w:pPr>
                <w:jc w:val="both"/>
                <w:rPr>
                  <w:color w:val="000000"/>
                  <w:szCs w:val="24"/>
                </w:rPr>
              </w:pPr>
            </w:p>
            <w:sdt>
              <w:sdtPr>
                <w:alias w:val="2 pr. 3.1 pp."/>
                <w:tag w:val="part_2945e3d7cc0a41a78b2f9e31497eb1a0"/>
                <w:lock w:val="sdtLocked"/>
                <w:richText/>
              </w:sdtPr>
              <w:sdtContent>
                <w:p>
                  <w:pPr>
                    <w:ind w:firstLine="567"/>
                    <w:jc w:val="both"/>
                    <w:rPr>
                      <w:color w:val="000000"/>
                      <w:szCs w:val="24"/>
                    </w:rPr>
                  </w:pPr>
                  <w:sdt>
                    <w:sdtPr>
                      <w:alias w:val="Numeris"/>
                      <w:tag w:val="nr_2945e3d7cc0a41a78b2f9e31497eb1a0"/>
                      <w:lock w:val="sdtLocked"/>
                      <w:richText/>
                    </w:sdtPr>
                    <w:sdtContent>
                      <w:r>
                        <w:rPr>
                          <w:color w:val="000000"/>
                          <w:szCs w:val="24"/>
                        </w:rPr>
                        <w:t>3.1</w:t>
                      </w:r>
                    </w:sdtContent>
                  </w:sdt>
                  <w:r>
                    <w:rPr>
                      <w:color w:val="000000"/>
                      <w:szCs w:val="24"/>
                    </w:rPr>
                    <w:t xml:space="preserve">. Duomenų rūšies kodo pirmas simbolis nustato PVM apskaičiavimo ypatumus ir yra pasirenkamas taip: </w:t>
                  </w:r>
                </w:p>
                <w:sdt>
                  <w:sdtPr>
                    <w:alias w:val="2 pr. 3.1.1 pp."/>
                    <w:tag w:val="part_1cc93bc5ea924387aec9f1885424d17f"/>
                    <w:lock w:val="sdtLocked"/>
                    <w:richText/>
                  </w:sdtPr>
                  <w:sdtContent>
                    <w:p>
                      <w:pPr>
                        <w:ind w:firstLine="567"/>
                        <w:jc w:val="both"/>
                        <w:rPr>
                          <w:color w:val="000000"/>
                          <w:szCs w:val="24"/>
                        </w:rPr>
                      </w:pPr>
                      <w:sdt>
                        <w:sdtPr>
                          <w:alias w:val="Numeris"/>
                          <w:tag w:val="nr_1cc93bc5ea924387aec9f1885424d17f"/>
                          <w:lock w:val="sdtLocked"/>
                          <w:richText/>
                        </w:sdtPr>
                        <w:sdtContent>
                          <w:r>
                            <w:rPr>
                              <w:color w:val="000000"/>
                              <w:szCs w:val="24"/>
                            </w:rPr>
                            <w:t>3.1.1</w:t>
                          </w:r>
                        </w:sdtContent>
                      </w:sdt>
                      <w:r>
                        <w:rPr>
                          <w:color w:val="000000"/>
                          <w:szCs w:val="24"/>
                        </w:rPr>
                        <w:t xml:space="preserve">. PVM neapskaičiuojamas – 0; </w:t>
                      </w:r>
                    </w:p>
                  </w:sdtContent>
                </w:sdt>
                <w:sdt>
                  <w:sdtPr>
                    <w:alias w:val="2 pr. 3.1.2 pp."/>
                    <w:tag w:val="part_530deb3b1bcf4848a136302a43deb90e"/>
                    <w:lock w:val="sdtLocked"/>
                    <w:richText/>
                  </w:sdtPr>
                  <w:sdtContent>
                    <w:p>
                      <w:pPr>
                        <w:ind w:firstLine="567"/>
                        <w:jc w:val="both"/>
                        <w:rPr>
                          <w:color w:val="000000"/>
                          <w:szCs w:val="24"/>
                        </w:rPr>
                      </w:pPr>
                      <w:sdt>
                        <w:sdtPr>
                          <w:alias w:val="Numeris"/>
                          <w:tag w:val="nr_530deb3b1bcf4848a136302a43deb90e"/>
                          <w:lock w:val="sdtLocked"/>
                          <w:richText/>
                        </w:sdtPr>
                        <w:sdtContent>
                          <w:r>
                            <w:rPr>
                              <w:color w:val="000000"/>
                              <w:szCs w:val="24"/>
                            </w:rPr>
                            <w:t>3.1.2</w:t>
                          </w:r>
                        </w:sdtContent>
                      </w:sdt>
                      <w:r>
                        <w:rPr>
                          <w:color w:val="000000"/>
                          <w:szCs w:val="24"/>
                        </w:rPr>
                        <w:t>. PVM apskaičiuojamas pagal nurodytą tarifą – 1;</w:t>
                      </w:r>
                    </w:p>
                  </w:sdtContent>
                </w:sdt>
              </w:sdtContent>
            </w:sdt>
            <w:sdt>
              <w:sdtPr>
                <w:alias w:val="2 pr. 3.2 pp."/>
                <w:tag w:val="part_c619a166f8bf4b2aa0b1e632efa99e02"/>
                <w:lock w:val="sdtLocked"/>
                <w:richText/>
              </w:sdtPr>
              <w:sdtContent>
                <w:p>
                  <w:pPr>
                    <w:ind w:firstLine="567"/>
                    <w:jc w:val="both"/>
                    <w:rPr>
                      <w:color w:val="000000"/>
                      <w:szCs w:val="24"/>
                    </w:rPr>
                  </w:pPr>
                  <w:sdt>
                    <w:sdtPr>
                      <w:alias w:val="Numeris"/>
                      <w:tag w:val="nr_c619a166f8bf4b2aa0b1e632efa99e02"/>
                      <w:lock w:val="sdtLocked"/>
                      <w:richText/>
                    </w:sdtPr>
                    <w:sdtContent>
                      <w:r>
                        <w:rPr>
                          <w:color w:val="000000"/>
                          <w:szCs w:val="24"/>
                        </w:rPr>
                        <w:t>3.2</w:t>
                      </w:r>
                    </w:sdtContent>
                  </w:sdt>
                  <w:r>
                    <w:rPr>
                      <w:color w:val="000000"/>
                      <w:szCs w:val="24"/>
                    </w:rPr>
                    <w:t>. Kodo antras ir trečias simboliai, nustatantys duomenų rūšies eilės numerį, pasirenkami taip:</w:t>
                  </w:r>
                </w:p>
                <w:sdt>
                  <w:sdtPr>
                    <w:alias w:val="2 pr. 3.2.1 pp."/>
                    <w:tag w:val="part_1fa1b99f13164f5f86678b7218957bec"/>
                    <w:lock w:val="sdtLocked"/>
                    <w:richText/>
                  </w:sdtPr>
                  <w:sdtContent>
                    <w:p>
                      <w:pPr>
                        <w:ind w:firstLine="567"/>
                        <w:jc w:val="both"/>
                        <w:rPr>
                          <w:color w:val="000000"/>
                          <w:szCs w:val="24"/>
                        </w:rPr>
                      </w:pPr>
                      <w:sdt>
                        <w:sdtPr>
                          <w:alias w:val="Numeris"/>
                          <w:tag w:val="nr_1fa1b99f13164f5f86678b7218957bec"/>
                          <w:lock w:val="sdtLocked"/>
                          <w:richText/>
                        </w:sdtPr>
                        <w:sdtContent>
                          <w:r>
                            <w:rPr>
                              <w:color w:val="000000"/>
                              <w:szCs w:val="24"/>
                            </w:rPr>
                            <w:t>3.2.1</w:t>
                          </w:r>
                        </w:sdtContent>
                      </w:sdt>
                      <w:r>
                        <w:rPr>
                          <w:color w:val="000000"/>
                          <w:szCs w:val="24"/>
                        </w:rPr>
                        <w:t xml:space="preserve">. duomenys apie prekes – 00-39; </w:t>
                      </w:r>
                    </w:p>
                  </w:sdtContent>
                </w:sdt>
                <w:sdt>
                  <w:sdtPr>
                    <w:alias w:val="2 pr. 3.2.2 pp."/>
                    <w:tag w:val="part_c3771275876049709ab714ab66b305f3"/>
                    <w:lock w:val="sdtLocked"/>
                    <w:richText/>
                  </w:sdtPr>
                  <w:sdtContent>
                    <w:p>
                      <w:pPr>
                        <w:ind w:firstLine="567"/>
                        <w:jc w:val="both"/>
                        <w:rPr>
                          <w:color w:val="000000"/>
                          <w:szCs w:val="24"/>
                        </w:rPr>
                      </w:pPr>
                      <w:sdt>
                        <w:sdtPr>
                          <w:alias w:val="Numeris"/>
                          <w:tag w:val="nr_c3771275876049709ab714ab66b305f3"/>
                          <w:lock w:val="sdtLocked"/>
                          <w:richText/>
                        </w:sdtPr>
                        <w:sdtContent>
                          <w:r>
                            <w:rPr>
                              <w:color w:val="000000"/>
                              <w:szCs w:val="24"/>
                            </w:rPr>
                            <w:t>3.2.2</w:t>
                          </w:r>
                        </w:sdtContent>
                      </w:sdt>
                      <w:r>
                        <w:rPr>
                          <w:color w:val="000000"/>
                          <w:szCs w:val="24"/>
                        </w:rPr>
                        <w:t>. duomenys apie paslaugas – 40-79.</w:t>
                      </w:r>
                    </w:p>
                  </w:sdtContent>
                </w:sdt>
              </w:sdtContent>
            </w:sdt>
          </w:sdtContent>
        </w:sdt>
        <w:sdt>
          <w:sdtPr>
            <w:alias w:val="2 pr. 4 p."/>
            <w:tag w:val="part_c2f974ba651c4deeb72726a05c63e76e"/>
            <w:lock w:val="sdtLocked"/>
            <w:richText/>
          </w:sdtPr>
          <w:sdtContent>
            <w:p>
              <w:pPr>
                <w:ind w:firstLine="567"/>
                <w:jc w:val="both"/>
                <w:rPr>
                  <w:bCs/>
                  <w:color w:val="000000"/>
                  <w:szCs w:val="24"/>
                </w:rPr>
              </w:pPr>
              <w:sdt>
                <w:sdtPr>
                  <w:alias w:val="Numeris"/>
                  <w:tag w:val="nr_c2f974ba651c4deeb72726a05c63e76e"/>
                  <w:lock w:val="sdtLocked"/>
                  <w:richText/>
                </w:sdtPr>
                <w:sdtContent>
                  <w:r>
                    <w:rPr>
                      <w:color w:val="000000"/>
                      <w:szCs w:val="24"/>
                    </w:rPr>
                    <w:t>4</w:t>
                  </w:r>
                </w:sdtContent>
              </w:sdt>
              <w:r>
                <w:rPr>
                  <w:color w:val="000000"/>
                  <w:szCs w:val="24"/>
                </w:rPr>
                <w:t xml:space="preserve">. </w:t>
              </w:r>
              <w:r>
                <w:rPr>
                  <w:bCs/>
                  <w:color w:val="000000"/>
                  <w:szCs w:val="24"/>
                </w:rPr>
                <w:t>Deklaracijos laikotarpio tipų (</w:t>
              </w:r>
              <w:r>
                <w:rPr>
                  <w:bCs/>
                  <w:i/>
                  <w:color w:val="000000"/>
                  <w:szCs w:val="24"/>
                </w:rPr>
                <w:t>TaxPeriodType</w:t>
              </w:r>
              <w:r>
                <w:rPr>
                  <w:bCs/>
                  <w:color w:val="000000"/>
                  <w:szCs w:val="24"/>
                </w:rPr>
                <w:t>) klasifikatoriaus reikšmės:</w:t>
              </w:r>
            </w:p>
            <w:tbl>
              <w:tblPr>
                <w:tblW w:w="9081" w:type="dxa"/>
                <w:tblInd w:w="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70"/>
                <w:gridCol w:w="6285"/>
                <w:gridCol w:w="2126"/>
              </w:tblGrid>
              <w:tr>
                <w:tc>
                  <w:tcPr>
                    <w:tcW w:w="670" w:type="dxa"/>
                    <w:shd w:val="clear" w:color="auto" w:fill="auto"/>
                    <w:hideMark/>
                  </w:tcPr>
                  <w:p>
                    <w:pPr>
                      <w:jc w:val="center"/>
                      <w:rPr>
                        <w:b/>
                        <w:bCs/>
                        <w:color w:val="000000"/>
                        <w:szCs w:val="24"/>
                        <w:lang w:eastAsia="lt-LT"/>
                      </w:rPr>
                    </w:pPr>
                    <w:r>
                      <w:rPr>
                        <w:color w:val="000000"/>
                        <w:szCs w:val="24"/>
                        <w:lang w:eastAsia="lt-LT"/>
                      </w:rPr>
                      <w:t>Kodas</w:t>
                    </w:r>
                  </w:p>
                </w:tc>
                <w:tc>
                  <w:tcPr>
                    <w:tcW w:w="6285" w:type="dxa"/>
                    <w:shd w:val="clear" w:color="auto" w:fill="auto"/>
                    <w:hideMark/>
                  </w:tcPr>
                  <w:p>
                    <w:pPr>
                      <w:jc w:val="center"/>
                      <w:rPr>
                        <w:b/>
                        <w:bCs/>
                        <w:color w:val="000000"/>
                        <w:szCs w:val="24"/>
                        <w:lang w:eastAsia="lt-LT"/>
                      </w:rPr>
                    </w:pPr>
                    <w:r>
                      <w:rPr>
                        <w:color w:val="000000"/>
                        <w:szCs w:val="24"/>
                        <w:lang w:eastAsia="lt-LT"/>
                      </w:rPr>
                      <w:t>Pavadinimas</w:t>
                    </w:r>
                  </w:p>
                </w:tc>
                <w:tc>
                  <w:tcPr>
                    <w:tcW w:w="2126" w:type="dxa"/>
                  </w:tcPr>
                  <w:p>
                    <w:pPr>
                      <w:jc w:val="center"/>
                      <w:rPr>
                        <w:color w:val="000000"/>
                        <w:szCs w:val="24"/>
                        <w:lang w:eastAsia="lt-LT"/>
                      </w:rPr>
                    </w:pPr>
                    <w:r>
                      <w:rPr>
                        <w:color w:val="000000"/>
                        <w:szCs w:val="24"/>
                        <w:lang w:eastAsia="lt-LT"/>
                      </w:rPr>
                      <w:t>Pastabos</w:t>
                    </w:r>
                  </w:p>
                </w:tc>
              </w:tr>
              <w:tr>
                <w:tc>
                  <w:tcPr>
                    <w:tcW w:w="670" w:type="dxa"/>
                    <w:shd w:val="clear" w:color="auto" w:fill="auto"/>
                  </w:tcPr>
                  <w:p>
                    <w:pPr>
                      <w:rPr>
                        <w:szCs w:val="24"/>
                        <w:lang w:eastAsia="lt-LT"/>
                      </w:rPr>
                    </w:pPr>
                    <w:r>
                      <w:rPr>
                        <w:szCs w:val="24"/>
                        <w:lang w:eastAsia="lt-LT"/>
                      </w:rPr>
                      <w:t>V</w:t>
                    </w:r>
                  </w:p>
                </w:tc>
                <w:tc>
                  <w:tcPr>
                    <w:tcW w:w="6285" w:type="dxa"/>
                    <w:shd w:val="clear" w:color="auto" w:fill="auto"/>
                    <w:hideMark/>
                  </w:tcPr>
                  <w:p>
                    <w:pPr>
                      <w:jc w:val="both"/>
                      <w:rPr>
                        <w:szCs w:val="24"/>
                        <w:lang w:eastAsia="lt-LT"/>
                      </w:rPr>
                    </w:pPr>
                    <w:r>
                      <w:rPr>
                        <w:szCs w:val="24"/>
                        <w:lang w:eastAsia="lt-LT"/>
                      </w:rPr>
                      <w:t>Deklaravimo metu VMI žinomas laikotarpis.</w:t>
                    </w:r>
                  </w:p>
                </w:tc>
                <w:tc>
                  <w:tcPr>
                    <w:tcW w:w="2126" w:type="dxa"/>
                  </w:tcPr>
                  <w:p>
                    <w:pPr>
                      <w:rPr>
                        <w:szCs w:val="24"/>
                        <w:lang w:eastAsia="lt-LT"/>
                      </w:rPr>
                    </w:pPr>
                  </w:p>
                </w:tc>
              </w:tr>
            </w:tbl>
            <w:p>
              <w:pPr>
                <w:ind w:firstLine="567"/>
                <w:jc w:val="both"/>
                <w:rPr>
                  <w:color w:val="000000"/>
                  <w:szCs w:val="24"/>
                </w:rPr>
              </w:pPr>
            </w:p>
          </w:sdtContent>
        </w:sdt>
        <w:sdt>
          <w:sdtPr>
            <w:alias w:val="pabaiga"/>
            <w:tag w:val="part_bc77585704604ffcb5e44702dd63273c"/>
            <w:lock w:val="sdtLocked"/>
            <w:richText/>
          </w:sdtPr>
          <w:sdtContent>
            <w:p>
              <w:pPr>
                <w:jc w:val="center"/>
                <w:rPr>
                  <w:color w:val="000000"/>
                  <w:szCs w:val="24"/>
                </w:rPr>
              </w:pPr>
              <w:r>
                <w:rPr>
                  <w:color w:val="000000"/>
                  <w:szCs w:val="24"/>
                </w:rPr>
                <w:t>__________________</w:t>
              </w:r>
            </w:p>
            <w:p>
              <w:pPr>
                <w:jc w:val="center"/>
                <w:rPr>
                  <w:sz w:val="22"/>
                  <w:szCs w:val="22"/>
                </w:rPr>
              </w:pPr>
            </w:p>
          </w:sdtContent>
        </w:sdt>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end"/>
    </w:r>
  </w:p>
  <w:p>
    <w:pPr>
      <w:tabs>
        <w:tab w:val="center" w:pos="4153"/>
        <w:tab w:val="right" w:pos="8306"/>
      </w:tabs>
      <w:spacing w:after="160" w:line="259" w:lineRule="auto"/>
      <w:rPr>
        <w:sz w:val="22"/>
        <w:szCs w:val="22"/>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after="160" w:line="259" w:lineRule="auto"/>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4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E55D9C-4268-4352-9EDB-EE9E5FD817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0672372">
      <w:bodyDiv w:val="1"/>
      <w:marLeft w:val="0"/>
      <w:marRight w:val="0"/>
      <w:marTop w:val="0"/>
      <w:marBottom w:val="0"/>
      <w:divBdr>
        <w:top w:val="none" w:sz="0" w:space="0" w:color="auto"/>
        <w:left w:val="none" w:sz="0" w:space="0" w:color="auto"/>
        <w:bottom w:val="none" w:sz="0" w:space="0" w:color="auto"/>
        <w:right w:val="none" w:sz="0" w:space="0" w:color="auto"/>
      </w:divBdr>
    </w:div>
    <w:div w:id="1587962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dc7c34ee6b4282a9a5ec1acb5ebe80" PartId="bfc23774f6b34bc6aac299ce041a8245">
    <Part Type="preambule" DocPartId="32eb4589f793489db65ab3a723c65a33" PartId="525e6bd807794c25bda1991221232922"/>
    <Part Type="punktas" Nr="1" Abbr="1 p." DocPartId="79e54f490c47404dacf17357835d2d19" PartId="e4a3108e67794db690227e0cf0abfb6a"/>
    <Part Type="punktas" Nr="2" Abbr="2 p." DocPartId="e64d4ec4b9dc4cc48999c04d16c59660" PartId="38a8d0767e764db0be4ace887c4b2219"/>
    <Part Type="signatura" DocPartId="e0522d3995ae4ff3ae1a1fb3d2399253" PartId="8479072494d94662a86de1c508545093"/>
  </Part>
  <Part Type="patvirtinta" Title="PRIDĖTINĖS VERTĖS MOKESČIO MOKĖTOJŲ, TAIKANČIŲ SMULKIOJO VERSLO SCHEMĄ LIETUVOJE, PRIDĖTINĖS VERTĖS MOKESČIO DEKLARACIJOS PVM101 UŽPILDYMO IR PATEIKIMO TAISYKLĖS" DocPartId="7ee411e3ea354537b5e706a2f058d1a7" PartId="610bb93bfb23447290843782ce6252b7">
    <Part Type="skyrius" Nr="1" Title="BENDROSIOS NUOSTATOS" DocPartId="7589e1ef76c44f55be94727009537006" PartId="a119f43b8c91473a833abe993a271c0a">
      <Part Type="punktas" Nr="1" Abbr="1 p." DocPartId="8535b80dae754b698762a6331f6a4671" PartId="6540e608d284440abc45b216ec22b6a8"/>
      <Part Type="punktas" Nr="2" Abbr="2 p." DocPartId="e02233574c5e45dfb03876fdae4e4818" PartId="4214bc498c5f4f198f1c5f65ca3284e1"/>
      <Part Type="punktas" Nr="3" Abbr="3 p." DocPartId="44c6407faec4432699941bfdfc7dd4d3" PartId="214debbc61a64b9c998bc9010786f939">
        <Part Type="papunktis" Nr="3.1" Abbr="3.1 pp." DocPartId="e30257ddcb3c44b5836e791d528bfc16" PartId="691ff16f658d47b88e11a8027730282d"/>
        <Part Type="papunktis" Nr="3.2" Abbr="3.2 pp." DocPartId="39b2aa225fa54a9aab472277bee95891" PartId="023c339dbf834de48a97eba6d4ad239d"/>
        <Part Type="papunktis" Nr="3.3" Abbr="3.3 pp." DocPartId="fb587caa2583473c98e80f786a131082" PartId="2ea44f9b052a4a0f8f5a3ee55692a6d9"/>
        <Part Type="papunktis" Nr="3.4" Abbr="3.4 pp." DocPartId="08982c1dffa540c08173b6e6cca3db78" PartId="5aa5637aa15a4874b638ac45a78b21e6"/>
      </Part>
      <Part Type="punktas" Nr="4" Abbr="4 p." DocPartId="f66066b61a5a4e5cb0b22a7158cddfa9" PartId="e9c5cff2cd344cb682661a9c61c490e7">
        <Part Type="papunktis" Nr="4.1" Abbr="4.1 pp." DocPartId="e860eee8218f4b2bb88c2380c18ef598" PartId="74b1c2527cf74a148097fdd40b231763"/>
        <Part Type="papunktis" Nr="4.2" Abbr="4.2 pp." DocPartId="4fef0cfa2dc840d6ac733c34868fb6a9" PartId="d3ca3293fb4f490f88ecc9e6206e3deb"/>
      </Part>
    </Part>
    <Part Type="skyrius" Nr="2" Title="DEKLARACIJOS PVM101 UŽPILDYMAS IR PATEIKIMAS" DocPartId="d02a735d41d746f6aee1fbdbfd161c03" PartId="ccbe53fbf3c34626bb076574a6f2d0c6">
      <Part Type="punktas" Nr="5" Abbr="5 p." DocPartId="dcb9dbf3c70b4465aba565840bf8cee1" PartId="8b3abde15d4847dd92d3895926458760"/>
      <Part Type="punktas" Nr="6" Abbr="6 p." DocPartId="a77196abccd84159b6efd56a2fb111d9" PartId="0664c010630042d79f25ed574bc00178"/>
      <Part Type="punktas" Nr="7" Abbr="7 p." DocPartId="39f6fc74410645548d7ff05baba49ec8" PartId="81c19db1bfd7420997f78cb34a4a53de"/>
      <Part Type="punktas" Nr="8" Abbr="8 p." DocPartId="a43633535b834c30b0d3f502b36b93f9" PartId="ddf0c92a485641c6a595ae3bc01517c4"/>
      <Part Type="punktas" Nr="9" Abbr="9 p." DocPartId="07c95f7fa4f24028bded598207dd0717" PartId="10f7714be524401eb8e41c9c7bf29de8"/>
      <Part Type="punktas" Nr="10" Abbr="10 p." DocPartId="1e64a2025aac4e04a5346af8a72d05e8" PartId="15ca85b0852b4f89a7351e4ddefda1f4"/>
    </Part>
    <Part Type="skyrius" Nr="3" Title="DEKLARACIJOS PVM101 DUOMENYS" DocPartId="8e9db670a4104b429c1b550cb32fd110" PartId="e4cb684106e840588ea46833725855ed">
      <Part Type="punktas" Nr="11" Abbr="11 p." DocPartId="3195d8ff34994913b40f7f1ab5e870be" PartId="1cf6e852b156482e83c86a95ad7cd75a"/>
      <Part Type="punktas" Nr="12" Abbr="12 p." DocPartId="5c473cb40ccd4c379e2db761b8861cd4" PartId="dd18997c82cb483f9803c845fc90769c">
        <Part Type="papunktis" Nr="12.1" Abbr="12.1 pp." DocPartId="9be3edeb26c04e4287441db9eaf98962" PartId="74e80626eb6540eebf58829dba5df59a"/>
        <Part Type="papunktis" Nr="12.2" Abbr="12.2 pp." DocPartId="ce6e433265f9497f847eb3054db6b4b0" PartId="fd84a37c21f84532b37b89b6c19c8e37"/>
        <Part Type="papunktis" Nr="12.3" Abbr="12.3 pp." DocPartId="59759a7faed946328f0b938c96e497e4" PartId="729e0dffc07c4d7ca61257440c5b1c77"/>
        <Part Type="papunktis" Nr="12.4" Abbr="12.4 pp." DocPartId="e2f192442d3b4732957b8a921507f7a8" PartId="837417c25977491da976d02d66659684">
          <Part Type="papunktis" Nr="12.4.1" Abbr="12.4.1 pp." DocPartId="00aa98a653ec4490a665757aad021c38" PartId="27f4ccf05d4d4f36af8ee469c7455de8"/>
          <Part Type="papunktis" Nr="12.4.2" Abbr="12.4.2 pp." DocPartId="34ab401b222548d7b969ed03ade47ac5" PartId="895722c8426a403696e5af71109cd576"/>
          <Part Type="papunktis" Nr="12.4.3" Abbr="12.4.3 pp." DocPartId="af76d1ef77864d7e904e0347248584e5" PartId="57bbafccdc9e496fb2de8ee81c8f38ff"/>
          <Part Type="papunktis" Nr="12.4.4" Abbr="12.4.4 pp." DocPartId="71eea1bd7ec8469eb5268be549b31150" PartId="6b1dc846f1f44753abd36361178aadfc"/>
        </Part>
        <Part Type="papunktis" Nr="12.5" Abbr="12.5 pp." DocPartId="aa0959d323ba469bb88663eb7366df99" PartId="66928c8ec82a419cb22432c27d1603ff">
          <Part Type="papunktis" Nr="12.5.1" Abbr="12.5.1 pp." DocPartId="bcd342dbf45944169d4e84b255b52ed9" PartId="1d18bc3170b5462ba8b980762740a861"/>
          <Part Type="papunktis" Nr="12.5.2" Abbr="12.5.2 pp." DocPartId="8c0079428524453b9871413fbb0e87db" PartId="6b6a18a92af54d32af5bca819d8bc3e9"/>
          <Part Type="papunktis" Nr="12.5.3" Abbr="12.5.3 pp." DocPartId="991075b478874337a7dccc22f3453eb8" PartId="2b4c04529a484745a46bf00055a14a9c"/>
          <Part Type="papunktis" Nr="12.5.4" Abbr="12.5.4 pp." DocPartId="a71c932035e043ef99e79c3c8028bb03" PartId="45ab05da605649d2b002a55ff1027b61"/>
          <Part Type="papunktis" Nr="12.5.5" Abbr="12.5.5 pp." DocPartId="1251f425f0ff455796c6e273d6e57941" PartId="0e4ec818b89a4e66a9b0e9f3e19d397c"/>
        </Part>
        <Part Type="papunktis" Nr="12.6" Abbr="12.6 pp." DocPartId="8c450a7d222042a28faa13e257d5ffc3" PartId="2e3d1e6f839645de9939b2d89f010c14"/>
        <Part Type="papunktis" Nr="12.7" Abbr="12.7 pp." DocPartId="9caa41dbd28f4c1da9d128c924614e89" PartId="4003b673a2eb46ba92ae27fe56f7245c"/>
        <Part Type="papunktis" Nr="12.8" Abbr="12.8 pp." DocPartId="4883854cd1f8417784c74ca25e88befe" PartId="90706a8a6c804d9198ae56c04f582a2d"/>
      </Part>
      <Part Type="punktas" Nr="13" Abbr="13 p." DocPartId="e66cbeb3d5af4a9db23e8b797aed8c27" PartId="55cebec161364795be0817bad152c9ce"/>
      <Part Type="punktas" Nr="14" Abbr="14 p." DocPartId="3033e34877044ea2ae04ad12576df629" PartId="4da25c0850254ec2af18448e91df3c16"/>
    </Part>
    <Part Type="skyrius" Nr="4" Title="DEKLARACIJOS PVM101 TIKSLINIMAS" DocPartId="a8df7df0e58c44c8bd8fb40991c6941c" PartId="078f462b9c4a4c559936288c6b526c5a">
      <Part Type="punktas" Nr="15" Abbr="15 p." DocPartId="8c1deb1ce98b4ed9b97595ca7f484b8a" PartId="eb2b571e491b46a799ee0590c0568db9"/>
      <Part Type="punktas" Nr="16" Abbr="16 p." DocPartId="b82901fc9e6c424f9176103342235b04" PartId="bec2849687a2476ea270ef44311f2cb8"/>
      <Part Type="punktas" Nr="17" Abbr="17 p." DocPartId="b002082c22454f89871909c6f9a6fde5" PartId="265ee54286f4430f90985543dffebd08"/>
      <Part Type="punktas" Nr="18" Abbr="18 p." DocPartId="3fb79801a2f74a558741c6a37c3470fc" PartId="9f6939c10f484aa2bd087000f8419253"/>
      <Part Type="punktas" Nr="19" Abbr="19 p." DocPartId="35cc0d5a72e04fefb3f16c8aa9fc71d9" PartId="30cc8650c1214fbcaad3e1d05cd94e88"/>
    </Part>
    <Part Type="skyrius" Nr="5" Title="BAIGIAMOSIOS NUOSTATOS" DocPartId="c4134f47e995413d84b9373423ef5c9d" PartId="7d46186e35754443a628374f94d4d82f">
      <Part Type="punktas" Nr="20" Abbr="20 p." DocPartId="adc97a13d49b4930a711304f413294b2" PartId="036d891ce3a64e44a239d40c56a427b7"/>
    </Part>
  </Part>
  <Part Type="priedas" Nr="1" Abbr="1 pr." Title="PRIDĖTINĖS VERTĖS MOKESČIO MOKĖTOJŲ, TAIKANČIŲ SMULKIOJO VERSLO SCHEMĄ LIETUVOJE, PRIDĖTINĖS VERTĖS MOKESČIO DEKLARACIJOS PVM101 DUOMENYS" DocPartId="66c41acc4d2b46f4a33138c24f0d3f25" PartId="15f53252cd8d43c58d6f635c12aac8e4">
    <Part Type="punktas" Nr="1" Abbr="1 pr. 1 p." DocPartId="c5906d0093964c449e2f25115412e0bc" PartId="92db8eea738d48b0b958544194bed4cb"/>
    <Part Type="punktas" Nr="2" Abbr="1 pr. 2 p." DocPartId="539bdde3eee34dec8c8ab92d898428f7" PartId="c3dde980c5bd4b8bb4fbe69e02b3e3ea"/>
    <Part Type="punktas" Nr="3" Abbr="1 pr. 3 p." DocPartId="275926c18fdd4ec5a9c6788a8ffbb095" PartId="bd1de6307cc54cd9898ab57343c4c1c2"/>
    <Part Type="punktas" Nr="4" Abbr="1 pr. 4 p." DocPartId="4c8f4cd26b834369812644775f108fbb" PartId="03850b2729f44ac5ac3d66644f6bda22">
      <Part Type="papunktis" Nr="4.1" Abbr="1 pr. 4.1 pp." DocPartId="a4d4217a47c54155b9acd2678543e765" PartId="9f0c50fd85c645118c0d5163b813c414"/>
      <Part Type="papunktis" Nr="4.2" Abbr="1 pr. 4.2 pp." DocPartId="9cb0a850c7e443a1aa2880d32470ca56" PartId="5bab70cb31ac4d29a2f2b81613540116"/>
      <Part Type="papunktis" Nr="4.3" Abbr="1 pr. 4.3 pp." DocPartId="1b96312a1ad34952bdd154657a22ee94" PartId="00183744873c4858a20bef004beff71a"/>
    </Part>
    <Part Type="pabaiga" DocPartId="6e24742908b74ce1b4b7ad8cc9911149" PartId="d89a9f6673014293a7f5ebee6802c699"/>
  </Part>
  <Part Type="priedas" Nr="2" Abbr="2 pr." Title="PRIDĖTINĖS VERTĖS MOKESČIO MOKĖTOJŲ, TAIKANČIŲ SMULKIOJO VERSLO SCHEMĄ LIETUVOJE, PRIDĖTINĖS VERTĖS MOKESČIO DEKLARACIJOS PVM101 KLASIFIKATORIAI" DocPartId="8ecff4a25da240ec820d5c8dde955e5f" PartId="96aaff67f4ce417685a4df4635f2f1ca">
    <Part Type="punktas" Nr="1" Abbr="2 pr. 1 p." DocPartId="5fc6278fbcd04389b6608497a2cb1099" PartId="5e426a0607a1449f80d88c54a3349d74">
      <Part Type="papunktis" Nr="1.1" Abbr="2 pr. 1.1 pp." DocPartId="0be00bc9220b4f7db6f3365e4a9fa2ee" PartId="5ad31df1ace74c4fa459805f4eee11c8"/>
      <Part Type="papunktis" Nr="1.2" Abbr="2 pr. 1.2 pp." DocPartId="8a6f156c3b024a1ab2e77aa13bc4ee73" PartId="8c13b363fe6e49d6aa319a52ab848510"/>
      <Part Type="papunktis" Nr="1.3" Abbr="2 pr. 1.3 pp." DocPartId="21201535970b49f3b0481d1859c56458" PartId="b9cde6d4d1394217a8ac5c5f6b6c8a48"/>
      <Part Type="papunktis" Nr="1.4" Abbr="2 pr. 1.4 pp." DocPartId="0cd6d020674343279266e0ac2ed3c130" PartId="276f6d4c1eed4990891a9db39aa36006"/>
    </Part>
    <Part Type="punktas" Nr="2" Abbr="2 pr. 2 p." DocPartId="09b12a514f7c4a77a2fbecb8c0bc9e76" PartId="8cc456a8773c4f35a23b8de06a148e0c"/>
    <Part Type="punktas" Nr="3" Abbr="2 pr. 3 p." DocPartId="99dca82801a04bfe86369fcea8ba653d" PartId="d1a19a0cdd124977b381857a0f1061e9">
      <Part Type="papunktis" Nr="3.1" Abbr="2 pr. 3.1 pp." DocPartId="1cc9a15942ea47afabeea5729f3192b2" PartId="2945e3d7cc0a41a78b2f9e31497eb1a0">
        <Part Type="papunktis" Nr="3.1.1" Abbr="2 pr. 3.1.1 pp." DocPartId="89b3aa3e1a84477e97d0069dba7d1567" PartId="1cc93bc5ea924387aec9f1885424d17f"/>
        <Part Type="papunktis" Nr="3.1.2" Abbr="2 pr. 3.1.2 pp." DocPartId="b411582068554642b0bd7cb0f9608cd6" PartId="530deb3b1bcf4848a136302a43deb90e"/>
      </Part>
      <Part Type="papunktis" Nr="3.2" Abbr="2 pr. 3.2 pp." DocPartId="2c11222d0cfe4fbeb9fa635c9807d7b4" PartId="c619a166f8bf4b2aa0b1e632efa99e02">
        <Part Type="papunktis" Nr="3.2.1" Abbr="2 pr. 3.2.1 pp." DocPartId="ff849dbf54274f4fb7c6f04087453ddb" PartId="1fa1b99f13164f5f86678b7218957bec"/>
        <Part Type="papunktis" Nr="3.2.2" Abbr="2 pr. 3.2.2 pp." DocPartId="63d1be3d6f244520b5e45bac6eb3bfec" PartId="c3771275876049709ab714ab66b305f3"/>
      </Part>
    </Part>
    <Part Type="punktas" Nr="4" Abbr="2 pr. 4 p." DocPartId="96fd215d523643ea862028c6736b4168" PartId="c2f974ba651c4deeb72726a05c63e76e"/>
    <Part Type="pabaiga" DocPartId="5e9b54f651a24b97adbaee23800a6b45" PartId="bc77585704604ffcb5e44702dd63273c"/>
  </Part>
</Parts>
</file>

<file path=customXml/itemProps1.xml><?xml version="1.0" encoding="utf-8"?>
<ds:datastoreItem xmlns:ds="http://schemas.openxmlformats.org/officeDocument/2006/customXml" ds:itemID="{1EEB349C-C058-4B93-A54D-45BD10232C00}">
  <ds:schemaRefs>
    <ds:schemaRef ds:uri="http://schemas.openxmlformats.org/officeDocument/2006/bibliography"/>
  </ds:schemaRefs>
</ds:datastoreItem>
</file>

<file path=customXml/itemProps2.xml><?xml version="1.0" encoding="utf-8"?>
<ds:datastoreItem xmlns:ds="http://schemas.openxmlformats.org/officeDocument/2006/customXml" ds:itemID="{2BBBC2E3-44E5-4257-9760-71D77FD671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2727</Words>
  <Characters>19613</Characters>
  <Application>Microsoft Office Word</Application>
  <DocSecurity>4</DocSecurity>
  <Lines>594</Lines>
  <Paragraphs>333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22007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2025-04-02T05:55:00Z</dcterms:created>
  <dc:creator>Jurijus Kondratovičius</dc:creator>
  <lastModifiedBy>adlibuser</lastModifiedBy>
  <dcterms:modified xsi:type="dcterms:W3CDTF">2025-04-02T05:55:00Z</dcterms:modified>
  <revision>2</revision>
</coreProperties>
</file>