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pagrindine"/>
        <w:tag w:val="part_ab6c4614f6334c8b91b6925fe2452e6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center"/>
          </w:pPr>
        </w:p>
        <w:p>
          <w:pPr>
            <w:ind w:left="6348" w:firstLine="720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ind w:firstLine="706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</w:rPr>
            <w:t xml:space="preserve">RADVILIŠKIO RAJONO </w:t>
          </w:r>
          <w:r>
            <w:rPr>
              <w:b/>
              <w:bCs/>
              <w:color w:val="000000"/>
            </w:rPr>
            <w:t>SAVIVALDYBĖS TARYBOS SPRENDIMŲ 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</w:rPr>
            <w:t>PRIPAŽINIMO NETEKUSIAIS GALIOS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     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center"/>
            <w:rPr>
              <w:sz w:val="22"/>
              <w:szCs w:val="22"/>
            </w:rPr>
          </w:pPr>
        </w:p>
        <w:sdt>
          <w:sdtPr>
            <w:alias w:val="preambule"/>
            <w:tag w:val="part_f74c5432121649ebb9a057f664a517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</w:t>
              </w:r>
              <w:r>
                <w:rPr>
                  <w:szCs w:val="24"/>
                  <w:lang w:eastAsia="lt-LT"/>
                </w:rPr>
                <w:t>Lietuvos Respublikos Vietos savivaldos įstatymo 16 straipsnio 1 dalimi</w:t>
              </w:r>
              <w:r>
                <w:rPr>
                  <w:szCs w:val="24"/>
                </w:rPr>
                <w:t xml:space="preserve"> ir įgyvendindama Biudžetinių įstaigų įstatymo 11 straipsnio 1 dalies 1 ir 2 punktus, Radviliškio rajono savivaldybės taryba  n u s p r e n d ž i a:</w:t>
              </w:r>
            </w:p>
          </w:sdtContent>
        </w:sdt>
        <w:sdt>
          <w:sdtPr>
            <w:alias w:val="1 p."/>
            <w:tag w:val="part_cd481575f94144299abe7ba31d43b8d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d481575f94144299abe7ba31d43b8d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Pripažinti netekusiais galios: </w:t>
              </w:r>
            </w:p>
            <w:sdt>
              <w:sdtPr>
                <w:alias w:val="1.1 pp."/>
                <w:tag w:val="part_fdad9a3d9397453db5c0621e89a3ff4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dad9a3d9397453db5c0621e89a3ff4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Radviliškio rajono savivaldybės tarybos 2022 m. spalio 27 d. sprendimą Nr. T-834 „Dėl Radviliškio rajono Turizmo informacijos centro darbo laiko suderinimo“;</w:t>
                  </w:r>
                </w:p>
              </w:sdtContent>
            </w:sdt>
            <w:sdt>
              <w:sdtPr>
                <w:alias w:val="1.2 pp."/>
                <w:tag w:val="part_fa607f94a1c3416ca325e7630e84494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a607f94a1c3416ca325e7630e84494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Radviliškio rajono savivaldybės tarybos 2023 m. birželio 29 d. sprendimą Nr. T-46 „Dėl Radviliškio rajono savivaldybės viešosios bibliotekos darbo laiko suderinimo“;</w:t>
                  </w:r>
                </w:p>
              </w:sdtContent>
            </w:sdt>
            <w:sdt>
              <w:sdtPr>
                <w:alias w:val="1.3 pp."/>
                <w:tag w:val="part_1b66670f0a814c1f873666ceefd1f72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b66670f0a814c1f873666ceefd1f72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Radviliškio rajono savivaldybės tarybos 2018 m. gegužės 17 d. sprendimą Nr. T-900 „Dėl Radviliškio rajono Daugyvenės kultūros istorijos muziejaus – draustinio darbo laiko suderinimo“; </w:t>
                  </w:r>
                </w:p>
              </w:sdtContent>
            </w:sdt>
            <w:sdt>
              <w:sdtPr>
                <w:alias w:val="1.4 pp."/>
                <w:tag w:val="part_5ec88b5997ad4674ba6aa3f9074d842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ec88b5997ad4674ba6aa3f9074d842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Radviliškio rajono savivaldybės tarybos 2019 m. lapkričio 21 d. sprendimą Nr. T-130 „Dėl Šeduvos kultūros ir amatų centro darbo laiko suderinimo“;</w:t>
                  </w:r>
                </w:p>
              </w:sdtContent>
            </w:sdt>
            <w:sdt>
              <w:sdtPr>
                <w:alias w:val="1.5 pp."/>
                <w:tag w:val="part_a84079dca65b42b3848720cf794c1e4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84079dca65b42b3848720cf794c1e4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Radviliškio rajono savivaldybės tarybos 2017 m. rugpjūčio 24 d. sprendimą  Nr. T-650 „Dėl Radviliškio r. Baisogalos kultūros centro darbo laiko suderinimo“;</w:t>
                  </w:r>
                </w:p>
              </w:sdtContent>
            </w:sdt>
            <w:sdt>
              <w:sdtPr>
                <w:alias w:val="1.6 pp."/>
                <w:tag w:val="part_97d8b02d913540c39648827008b64c3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7d8b02d913540c39648827008b64c3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Radviliškio rajono savivaldybės tarybos 2018 m. vasario 27 d. sprendimą Nr. T-774 „Dėl Radviliškio miesto kultūros centro darbo laiko suderinimo“;</w:t>
                  </w:r>
                </w:p>
              </w:sdtContent>
            </w:sdt>
            <w:sdt>
              <w:sdtPr>
                <w:alias w:val="1.7 pp."/>
                <w:tag w:val="part_528f28cccd7341ab91fd2e5bc8ecfd9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8f28cccd7341ab91fd2e5bc8ecfd9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Radviliškio rajono savivaldybės tarybos 2013 m. spalio  10 d. sprendimą Nr. T-607  „Dėl Radviliškio rajono savivaldybės etninės kultūros ir amatų centro darbo laiko suderinimo“.</w:t>
                  </w:r>
                </w:p>
                <w:p>
                  <w:pPr>
                    <w:tabs>
                      <w:tab w:val="left" w:pos="709"/>
                    </w:tabs>
                  </w:pPr>
                </w:p>
                <w:p>
                  <w:pPr>
                    <w:tabs>
                      <w:tab w:val="left" w:pos="709"/>
                    </w:tabs>
                  </w:pPr>
                </w:p>
                <w:p>
                  <w:pPr>
                    <w:tabs>
                      <w:tab w:val="left" w:pos="709"/>
                    </w:tabs>
                  </w:pPr>
                </w:p>
                <w:p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Savivaldybės meras </w:t>
                    <w:tab/>
                    <w:tab/>
                    <w:tab/>
                    <w:t xml:space="preserve">                                                               </w:t>
                    <w:tab/>
                    <w:tab/>
                    <w:tab/>
                    <w:tab/>
                    <w:t xml:space="preserve">               </w:t>
                  </w:r>
                </w:p>
                <w:p>
                  <w:pPr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315"/>
                    </w:tabs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rPr>
                      <w:b/>
                      <w:bCs/>
                      <w:sz w:val="28"/>
                      <w:szCs w:val="28"/>
                    </w:rPr>
                  </w:pPr>
                </w:p>
                <w:p>
                  <w:pPr>
                    <w:rPr>
                      <w:b/>
                      <w:bCs/>
                      <w:sz w:val="28"/>
                      <w:szCs w:val="28"/>
                    </w:rPr>
                    <w:sectPr>
                      <w:headerReference w:type="even" r:id="rId7"/>
                      <w:headerReference w:type="default" r:id="rId8"/>
                      <w:footerReference w:type="even" r:id="rId9"/>
                      <w:footerReference w:type="default" r:id="rId10"/>
                      <w:headerReference w:type="first" r:id="rId11"/>
                      <w:footerReference w:type="first" r:id="rId12"/>
                      <w:pgSz w:w="11906" w:h="16838" w:code="9"/>
                      <w:pgMar w:top="1134" w:right="567" w:bottom="1134" w:left="1701" w:header="709" w:footer="709" w:gutter="0"/>
                      <w:cols w:space="708"/>
                      <w:titlePg/>
                      <w:docGrid w:linePitch="360"/>
                    </w:sectPr>
                  </w:pPr>
                </w:p>
                <w:tbl>
                  <w:tblPr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3875"/>
                  </w:tblGrid>
                  <w:tr>
                    <w:trPr>
                      <w:trHeight w:val="783"/>
                    </w:trPr>
                    <w:tc>
                      <w:tcPr>
                        <w:tcW w:w="3875" w:type="dxa"/>
                      </w:tcPr>
                      <w:p>
                        <w:pPr>
                          <w:tabs>
                            <w:tab w:val="center" w:pos="4819"/>
                            <w:tab w:val="right" w:pos="9638"/>
                          </w:tabs>
                          <w:rPr>
                            <w:sz w:val="22"/>
                            <w:szCs w:val="22"/>
                          </w:rPr>
                        </w:pPr>
                      </w:p>
                      <w:p>
                        <w:pPr>
                          <w:rPr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PATVIRTINTA:</w:t>
                        </w:r>
                      </w:p>
                      <w:p>
                        <w:pPr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 xml:space="preserve">Radviliškio rajono savivaldybės tarybos </w:t>
                        </w:r>
                      </w:p>
                      <w:p>
                        <w:pPr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2023 m. lapkričio 16 d.</w:t>
                        </w:r>
                      </w:p>
                      <w:p>
                        <w:pPr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Sprendimu Nr. T-</w:t>
                        </w:r>
                      </w:p>
                      <w:p>
                        <w:pPr>
                          <w:rPr>
                            <w:bCs/>
                            <w:sz w:val="22"/>
                            <w:szCs w:val="24"/>
                          </w:rPr>
                        </w:pPr>
                      </w:p>
                    </w:tc>
                  </w:tr>
                </w:tbl>
                <w:p/>
              </w:sdtContent>
            </w:sdt>
          </w:sdtContent>
        </w:sdt>
        <w:sdt>
          <w:sdtPr>
            <w:alias w:val="skirsnis"/>
            <w:tag w:val="part_77407355e4ab4b51b2b02b5fa65dd4b3"/>
            <w:lock w:val="sdtLocked"/>
            <w:richText/>
          </w:sdtPr>
          <w:sdtContent>
            <w:sdt>
              <w:sdtPr>
                <w:alias w:val="Pavadinimas"/>
                <w:tag w:val="title_77407355e4ab4b51b2b02b5fa65dd4b3"/>
                <w:lock w:val="sdtLocked"/>
                <w:richText/>
              </w:sdtPr>
              <w:sdtContent>
                <w:p>
                  <w:pPr>
                    <w:ind w:right="278"/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DĖL </w:t>
                  </w:r>
                  <w:r>
                    <w:rPr>
                      <w:b/>
                      <w:bCs/>
                      <w:szCs w:val="24"/>
                    </w:rPr>
                    <w:t xml:space="preserve">RADVILIŠKIO RAJONO </w:t>
                  </w:r>
                  <w:r>
                    <w:rPr>
                      <w:b/>
                      <w:bCs/>
                      <w:color w:val="000000"/>
                    </w:rPr>
                    <w:t>SAVIVALDYBĖS TARYBOS SPRENDIMŲ 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</w:rPr>
                    <w:t>PRIPAŽINIMO NETEKUSIAIS GALIOS</w:t>
                  </w:r>
                  <w:r>
                    <w:rPr>
                      <w:b/>
                      <w:szCs w:val="24"/>
                    </w:rPr>
                    <w:t>”</w:t>
                  </w:r>
                </w:p>
                <w:p>
                  <w:pPr>
                    <w:ind w:right="278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ind w:right="177" w:firstLine="4925"/>
                <w:rPr>
                  <w:szCs w:val="24"/>
                </w:rPr>
              </w:pPr>
            </w:p>
            <w:p>
              <w:pPr>
                <w:ind w:right="177"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lapkričio 28 d.</w:t>
              </w:r>
            </w:p>
            <w:p>
              <w:pPr>
                <w:ind w:right="177"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ind w:left="-120"/>
                <w:rPr>
                  <w:szCs w:val="24"/>
                </w:rPr>
              </w:pPr>
            </w:p>
            <w:sdt>
              <w:sdtPr>
                <w:alias w:val="1 p."/>
                <w:tag w:val="part_2380d35e5b5e4933a55080fe686aa18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2380d35e5b5e4933a55080fe686aa1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Parengto sprendimo rengimą paskatinusios priežastys, parengto projekto tikslai, sprendimo projekto tikslai ir uždaviniai.</w:t>
                  </w:r>
                </w:p>
                <w:p>
                  <w:pPr>
                    <w:ind w:firstLine="73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rengiamas siekiant įgyvendinti Lietuvos Respublikos biudžetinių įstaigų 11 straipsnio 1 dalies 1 ir 2 punktų, kuriuose nustatyta, kad biudžetinės įstaigos vadovas </w:t>
                  </w:r>
                  <w:r>
                    <w:rPr>
                      <w:i/>
                      <w:iCs/>
                      <w:szCs w:val="24"/>
                    </w:rPr>
                    <w:t>1) organizuoja biudžetinės įstaigos darbą, kad būtų įgyvendinami biudžetinės įstaigos veiklos tikslai ir atliekamos nustatytos funkcijos, 2)</w:t>
                  </w:r>
                  <w:r>
                    <w:rPr>
                      <w:i/>
                      <w:iCs/>
                    </w:rPr>
                    <w:t xml:space="preserve"> </w:t>
                  </w:r>
                  <w:r>
                    <w:rPr>
                      <w:i/>
                      <w:iCs/>
                      <w:szCs w:val="24"/>
                    </w:rPr>
                    <w:t>užtikrina, kad biudžetinės įstaigos veikloje būtų laikomasi įstatymų, kitų teisės aktų ir biudžetinės įstaigos nuostatų</w:t>
                  </w:r>
                  <w:r>
                    <w:rPr>
                      <w:szCs w:val="24"/>
                    </w:rPr>
                    <w:t>, nuostatas. Pasikeitus minėtoms įstatymo nuostatoms, biudžetinės įstaigos darbo laiką tvirtina biudžetinės įstaigos vadovas (buvo Savivaldybės taryba), todėl Tarybos sprendimai, kuriais buvo nustatytas biudžetinių įstaigų darbo laikas, tapo nebeaktualūs.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2 p."/>
                <w:tag w:val="part_6b6e75d9ec3f4e0fb5c2df45cb14cd2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6e75d9ec3f4e0fb5c2df45cb14cd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Projekto iniciatoriai (institucija, asmenys ar piliečių atstovai) ir rengėjai.</w:t>
                  </w:r>
                </w:p>
                <w:p>
                  <w:pPr>
                    <w:ind w:right="-1" w:firstLine="709"/>
                    <w:jc w:val="both"/>
                    <w:rPr>
                      <w:szCs w:val="24"/>
                    </w:rPr>
                  </w:pPr>
                  <w:r>
                    <w:rPr>
                      <w:lang w:bidi="he-IL"/>
                    </w:rPr>
                    <w:t xml:space="preserve">Projekto iniciatorius – Radviliškio rajono savivaldybės administracijos Kultūros, paveldosaugos ir turizmo skyrius. Rengėja – Kultūros, paveldosaugos ir turizmo skyrius specialistė </w:t>
                  </w:r>
                  <w:r>
                    <w:rPr>
                      <w:szCs w:val="24"/>
                    </w:rPr>
                    <w:t>Germantė Jucevičiūtė-Kluczynska.</w:t>
                  </w:r>
                </w:p>
              </w:sdtContent>
            </w:sdt>
            <w:sdt>
              <w:sdtPr>
                <w:alias w:val="3 p."/>
                <w:tag w:val="part_266947dbf041454b83ba53b303e10803"/>
                <w:lock w:val="sdtLocked"/>
                <w:richText/>
              </w:sdtPr>
              <w:sdtContent>
                <w:p>
                  <w:pPr>
                    <w:spacing w:line="259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66947dbf041454b83ba53b303e108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  </w:t>
                  </w:r>
                  <w:r>
                    <w:rPr>
                      <w:b/>
                      <w:szCs w:val="24"/>
                    </w:rPr>
                    <w:t>Kaip šiuo metu yra reguliuojami sprendimo projekte aptarti teisiniai santykiai.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Kultūros ir turizmo įstaigų darbo laiką tvirtino Savivaldybės taryba. Nuo šiol biudžetinių įstaigų darbo laiką tvirtins įstaigos vadovas, suderinęs su savivaldybės meru. </w:t>
                  </w:r>
                </w:p>
              </w:sdtContent>
            </w:sdt>
            <w:sdt>
              <w:sdtPr>
                <w:alias w:val="4 p."/>
                <w:tag w:val="part_8fa444777c3d4a449f5b1bc11ec1ff22"/>
                <w:lock w:val="sdtLocked"/>
                <w:richText/>
              </w:sdtPr>
              <w:sdtContent>
                <w:p>
                  <w:pPr>
                    <w:ind w:firstLine="771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fa444777c3d4a449f5b1bc11ec1ff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Kokios siūlomos naujos teisinio reguliavimo nuostatos, kokių teigiamų rezultatų laukiama. 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Biudžetinių įstaigų darbo laiką tvirtins įstaigos vadovas, suderinęs su savivaldybės meru. </w:t>
                  </w:r>
                </w:p>
              </w:sdtContent>
            </w:sdt>
            <w:sdt>
              <w:sdtPr>
                <w:alias w:val="5 p."/>
                <w:tag w:val="part_236636ff10eb4f38aa0d73200fc3b1e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6636ff10eb4f38aa0d73200fc3b1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Galimos neigiamos priimto sprendimo projekto pasekmės ir kokių priemonių reikėtų imtis, kad tokių pasekmių būtų išvengta. 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27fda4e5dc89431cbe63a8e2efb06a6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fda4e5dc89431cbe63a8e2efb06a6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Pripažinti netekusiais galios: </w:t>
                  </w:r>
                </w:p>
                <w:sdt>
                  <w:sdtPr>
                    <w:alias w:val="1.1 pp."/>
                    <w:tag w:val="part_9939518a0c854e1aabd1f0eed87506a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939518a0c854e1aabd1f0eed87506a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Radviliškio rajono savivaldybės tarybos 2022 m. spalio 27 d. sprendimą Nr. T-834 „Dėl Radviliškio rajono Turizmo informacijos centro darbo laiko suderinimo“.</w:t>
                      </w:r>
                    </w:p>
                  </w:sdtContent>
                </w:sdt>
                <w:sdt>
                  <w:sdtPr>
                    <w:alias w:val="1.2 pp."/>
                    <w:tag w:val="part_1497754aa2ce403ab72ca566f9d077a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497754aa2ce403ab72ca566f9d077a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Radviliškio rajono savivaldybės tarybos 2023 m. birželio 29 d. sprendimą Nr. T-46 „Dėl Radviliškio rajono savivaldybės viešosios bibliotekos darbo laiko suderinimo“.</w:t>
                      </w:r>
                    </w:p>
                  </w:sdtContent>
                </w:sdt>
                <w:sdt>
                  <w:sdtPr>
                    <w:alias w:val="1.3 pp."/>
                    <w:tag w:val="part_d9e3cbe8dff24e4f885c0b320bf491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9e3cbe8dff24e4f885c0b320bf491c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Radviliškio rajono savivaldybės tarybos 2018 m. gegužės 17 d. sprendimą Nr. T-900 „Dėl Radviliškio rajono Daugyvenės kultūros istorijos muziejaus – draustinio darbo laiko suderinimo“. </w:t>
                      </w:r>
                    </w:p>
                  </w:sdtContent>
                </w:sdt>
                <w:sdt>
                  <w:sdtPr>
                    <w:alias w:val="1.4 pp."/>
                    <w:tag w:val="part_fcd7db87bea0451e8f38b9f50b9d5cc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cd7db87bea0451e8f38b9f50b9d5cc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Radviliškio rajono savivaldybės tarybos 2019 m. lapkričio 21 d. sprendimą Nr. T-130 „Dėl Šeduvos kultūros ir amatų centro darbo laiko suderinimo“.</w:t>
                      </w:r>
                    </w:p>
                  </w:sdtContent>
                </w:sdt>
                <w:sdt>
                  <w:sdtPr>
                    <w:alias w:val="1.5 pp."/>
                    <w:tag w:val="part_2823e717a2274132a1a4987c52b9e5e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823e717a2274132a1a4987c52b9e5e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Radviliškio rajono savivaldybės tarybos 2017 m. rugpjūčio 24 d. sprendimą  Nr. T-650 „Dėl Radviliškio r. Baisogalos kultūros centro darbo laiko suderinimo“.</w:t>
                      </w:r>
                    </w:p>
                  </w:sdtContent>
                </w:sdt>
                <w:sdt>
                  <w:sdtPr>
                    <w:alias w:val="1.6 pp."/>
                    <w:tag w:val="part_a0ed28c7bb87427a8a394e3ca3594c6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0ed28c7bb87427a8a394e3ca3594c6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Radviliškio rajono savivaldybės tarybos 2018 m. vasario 27 d. sprendimą Nr. T-774 „Dėl Radviliškio miesto kultūros centro darbo laiko suderinimo“. </w:t>
                      </w:r>
                    </w:p>
                  </w:sdtContent>
                </w:sdt>
                <w:sdt>
                  <w:sdtPr>
                    <w:alias w:val="1.7 pp."/>
                    <w:tag w:val="part_121ce141375d49669de0a0abd4e087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1ce141375d49669de0a0abd4e0873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Radviliškio rajono savivaldybės tarybos 2013 m. spalio  10 d. sprendimą Nr. T-607  „Dėl Radviliškio rajono savivaldybės etninės kultūros ir amatų centro darbo laiko suderinimo“.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dbac2e3e40e7453c9a0fa43df7114cf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ac2e3e40e7453c9a0fa43df7114c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 xml:space="preserve">Sprendimo projektui įgyvendinti reikalingos lėšos, finansavimo šaltiniai. </w:t>
                  </w:r>
                </w:p>
                <w:p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projektui įgyvendinti papildomų lėšų nereikės.  </w:t>
                  </w:r>
                </w:p>
              </w:sdtContent>
            </w:sdt>
            <w:sdt>
              <w:sdtPr>
                <w:alias w:val="8 p."/>
                <w:tag w:val="part_931f3c9539fc4acc9fcaa9e3b597dc26"/>
                <w:lock w:val="sdtLocked"/>
                <w:richText/>
              </w:sdtPr>
              <w:sdtContent>
                <w:p>
                  <w:pPr>
                    <w:tabs>
                      <w:tab w:val="left" w:pos="1418"/>
                    </w:tabs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31f3c9539fc4acc9fcaa9e3b597dc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teisininku, kalbininku, administracijos direktoriumi, vicemerais ir meru.</w:t>
                  </w:r>
                </w:p>
              </w:sdtContent>
            </w:sdt>
            <w:sdt>
              <w:sdtPr>
                <w:alias w:val="9 p."/>
                <w:tag w:val="part_baa7b4de3a28488288957a213fda1b54"/>
                <w:lock w:val="sdtLocked"/>
                <w:richText/>
              </w:sdtPr>
              <w:sdtContent>
                <w:p>
                  <w:pPr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aa7b4de3a28488288957a213fda1b5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Numatomo teisinio reguliavimo poveikio vertinimo rezultatai. </w:t>
                  </w:r>
                </w:p>
                <w:p>
                  <w:pPr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– </w:t>
                  </w:r>
                </w:p>
              </w:sdtContent>
            </w:sdt>
            <w:sdt>
              <w:sdtPr>
                <w:alias w:val="10 p."/>
                <w:tag w:val="part_141a6747dc5a4d9fae316474c4f45d1e"/>
                <w:lock w:val="sdtLocked"/>
                <w:richText/>
              </w:sdtPr>
              <w:sdtContent>
                <w:p>
                  <w:pPr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141a6747dc5a4d9fae316474c4f45d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8178f87d5aee4f3fb352f93fc1ada847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178f87d5aee4f3fb352f93fc1ada8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– </w:t>
                  </w:r>
                </w:p>
              </w:sdtContent>
            </w:sdt>
            <w:sdt>
              <w:sdtPr>
                <w:alias w:val="12 p."/>
                <w:tag w:val="part_315ad65c51db4e1e83ed65749e6ccaa1"/>
                <w:lock w:val="sdtLocked"/>
                <w:richText/>
              </w:sdtPr>
              <w:sdtContent>
                <w:p>
                  <w:pPr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15ad65c51db4e1e83ed65749e6ccaa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Pridedami dokumentai. </w:t>
                  </w:r>
                </w:p>
                <w:p>
                  <w:pPr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– </w:t>
                  </w:r>
                </w:p>
                <w:p>
                  <w:pPr>
                    <w:ind w:right="-1"/>
                    <w:rPr>
                      <w:szCs w:val="24"/>
                    </w:rPr>
                  </w:pPr>
                </w:p>
                <w:p>
                  <w:pPr>
                    <w:ind w:right="-1"/>
                    <w:rPr>
                      <w:szCs w:val="24"/>
                    </w:rPr>
                  </w:pPr>
                </w:p>
                <w:p>
                  <w:pPr>
                    <w:ind w:right="-1"/>
                    <w:rPr>
                      <w:szCs w:val="24"/>
                    </w:rPr>
                  </w:pPr>
                </w:p>
                <w:p>
                  <w:pPr>
                    <w:ind w:right="-1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Kultūros, paveldosaugos ir turizmo skyriaus vyriausioji specialistė   </w:t>
                  </w:r>
                </w:p>
              </w:sdtContent>
            </w:sdt>
          </w:sdtContent>
        </w:sdt>
        <w:sdt>
          <w:sdtPr>
            <w:alias w:val="signatura"/>
            <w:tag w:val="part_82f778d0e0b64575840a6ee590041fdf"/>
            <w:lock w:val="sdtLocked"/>
            <w:richText/>
          </w:sdtPr>
          <w:sdtContent>
            <w:p>
              <w:pPr>
                <w:ind w:right="-1"/>
                <w:rPr>
                  <w:szCs w:val="24"/>
                </w:rPr>
              </w:pPr>
              <w:r>
                <w:rPr>
                  <w:szCs w:val="24"/>
                </w:rPr>
                <w:t xml:space="preserve">Germantė Jucevičiūtė-Kluczynska      </w:t>
              </w:r>
            </w:p>
          </w:sdtContent>
        </w:sdt>
      </w:sdtContent>
    </w:sdt>
    <w:sectPr>
      <w:pgSz w:w="11906" w:h="16838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overflowPunct w:val="0"/>
      <w:textAlignment w:val="baseline"/>
      <w:rPr>
        <w:rFonts w:ascii="TimesLT" w:hAnsi="TimesLT"/>
        <w:sz w:val="26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overflowPunct w:val="0"/>
      <w:textAlignment w:val="baseline"/>
      <w:rPr>
        <w:rFonts w:ascii="TimesLT" w:hAnsi="TimesLT"/>
        <w:sz w:val="26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overflowPunct w:val="0"/>
      <w:textAlignment w:val="baseline"/>
      <w:rPr>
        <w:rFonts w:ascii="TimesLT" w:hAnsi="TimesLT"/>
        <w:sz w:val="26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  <w:p/>
  <w:p/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60FD0F5-1E35-4527-81FD-BA6C8A80668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744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9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9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92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62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83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9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76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56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7A60B68B-EF1C-45F9-883B-1F87F91AAA71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5e0f17d3b3248f384425c3dcb522278" PartId="ab6c4614f6334c8b91b6925fe2452e60">
    <Part Type="preambule" DocPartId="5e24be6da897416e87116a4891c30172" PartId="f74c5432121649ebb9a057f664a517aa"/>
    <Part Type="punktas" Nr="1" Abbr="1 p." DocPartId="68f134d656be4369b849ad03a4bc6de7" PartId="cd481575f94144299abe7ba31d43b8df">
      <Part Type="papunktis" Nr="1.1" Abbr="1.1 pp." DocPartId="006f6817fc37439b91ba8e1a035a2788" PartId="fdad9a3d9397453db5c0621e89a3ff4a"/>
      <Part Type="papunktis" Nr="1.2" Abbr="1.2 pp." DocPartId="5008a9fa82bf4be4b1800d2b711bb47b" PartId="fa607f94a1c3416ca325e7630e844943"/>
      <Part Type="papunktis" Nr="1.3" Abbr="1.3 pp." DocPartId="4abd4b691841402d9516151dcda6fc54" PartId="1b66670f0a814c1f873666ceefd1f729"/>
      <Part Type="papunktis" Nr="1.4" Abbr="1.4 pp." DocPartId="40d7e5f870974bf18c8b468d4386fbcc" PartId="5ec88b5997ad4674ba6aa3f9074d8421"/>
      <Part Type="papunktis" Nr="1.5" Abbr="1.5 pp." DocPartId="77a82f34c8164171ab6616e51707ec62" PartId="a84079dca65b42b3848720cf794c1e4a"/>
      <Part Type="papunktis" Nr="1.6" Abbr="1.6 pp." DocPartId="559870f9a08a49d89c5860e64ceff5da" PartId="97d8b02d913540c39648827008b64c30"/>
      <Part Type="papunktis" Nr="1.7" Abbr="1.7 pp." DocPartId="0332523f25d04d26af8bc1294f23d28a" PartId="528f28cccd7341ab91fd2e5bc8ecfd9c"/>
    </Part>
    <Part Type="skirsnis" Title="RADVILIŠKIO RAJONO SAVIVALDYBĖS TARYBOS SPRENDIMO PROJEKTO „DĖL RADVILIŠKIO RAJONO SAVIVALDYBĖS TARYBOS SPRENDIMŲ  PRIPAŽINIMO NETEKUSIAIS GALIOS” AIŠKINAMASIS RAŠTAS" DocPartId="becae9afb4b948c6a33dce102bbc976f" PartId="77407355e4ab4b51b2b02b5fa65dd4b3">
      <Part Type="punktas" Nr="1" Abbr="1 p." DocPartId="08c1aa3e55f34b0c88c1474ac35cfe14" PartId="2380d35e5b5e4933a55080fe686aa188"/>
      <Part Type="punktas" Nr="2" Abbr="2 p." DocPartId="141eafbacf8140119f9ec1533a07509d" PartId="6b6e75d9ec3f4e0fb5c2df45cb14cd2a"/>
      <Part Type="punktas" Nr="3" Abbr="3 p." DocPartId="f38468b706bb456bb034d6c27f65674d" PartId="266947dbf041454b83ba53b303e10803"/>
      <Part Type="punktas" Nr="4" Abbr="4 p." DocPartId="0e4bb151051b49e5a4b21797759fd8a3" PartId="8fa444777c3d4a449f5b1bc11ec1ff22"/>
      <Part Type="punktas" Nr="5" Abbr="5 p." DocPartId="7e01d3f9dd354e8f98c36f855910cd0e" PartId="236636ff10eb4f38aa0d73200fc3b1e4"/>
      <Part Type="punktas" Nr="6" Abbr="6 p." DocPartId="33270ea205224e1eae178175408c3c35" PartId="27fda4e5dc89431cbe63a8e2efb06a66">
        <Part Type="papunktis" Nr="1.1" Abbr="1.1 pp." Notes="Numeris ne iš eilės. Trūksta dalių? [DocDalys]" DocPartId="50ee92d764eb4c9c803b7ed016d695da" PartId="9939518a0c854e1aabd1f0eed87506a1"/>
        <Part Type="papunktis" Nr="1.2" Abbr="1.2 pp." DocPartId="0c9537fd7b264ab3bdb27b4551a76ca4" PartId="1497754aa2ce403ab72ca566f9d077a3"/>
        <Part Type="papunktis" Nr="1.3" Abbr="1.3 pp." DocPartId="ee26cc958c5843208637cdd0605d4406" PartId="d9e3cbe8dff24e4f885c0b320bf491c8"/>
        <Part Type="papunktis" Nr="1.4" Abbr="1.4 pp." DocPartId="a8c22965d7c14a968ba9f63f9b9b5da7" PartId="fcd7db87bea0451e8f38b9f50b9d5ccf"/>
        <Part Type="papunktis" Nr="1.5" Abbr="1.5 pp." DocPartId="ec0990050c6a4336a5383d60a4ca5ed5" PartId="2823e717a2274132a1a4987c52b9e5e0"/>
        <Part Type="papunktis" Nr="1.6" Abbr="1.6 pp." DocPartId="89e8fda0c60747b1b1997c0eb4b0af30" PartId="a0ed28c7bb87427a8a394e3ca3594c65"/>
        <Part Type="papunktis" Nr="1.7" Abbr="1.7 pp." DocPartId="c1b6fad45888471699a67e4f4efd2088" PartId="121ce141375d49669de0a0abd4e08734"/>
      </Part>
      <Part Type="punktas" Nr="7" Abbr="7 p." DocPartId="50c4d8fd1501420685acbc7b1ca327d9" PartId="dbac2e3e40e7453c9a0fa43df7114cf3"/>
      <Part Type="punktas" Nr="8" Abbr="8 p." DocPartId="e5584ad3ca41459796e85f6e5d03f66b" PartId="931f3c9539fc4acc9fcaa9e3b597dc26"/>
      <Part Type="punktas" Nr="9" Abbr="9 p." DocPartId="c41ca4278df74ea7ab137e7d75ca8e4b" PartId="baa7b4de3a28488288957a213fda1b54"/>
      <Part Type="punktas" Nr="10" Abbr="10 p." DocPartId="2e0dbb0d232d47149631abe56413d8e3" PartId="141a6747dc5a4d9fae316474c4f45d1e"/>
      <Part Type="punktas" Nr="11" Abbr="11 p." DocPartId="430f0cc786ae4871b46a62f6cfc0ec10" PartId="8178f87d5aee4f3fb352f93fc1ada847"/>
      <Part Type="punktas" Nr="12" Abbr="12 p." DocPartId="c07e03b5b53b453b9c7c6682ef00677c" PartId="315ad65c51db4e1e83ed65749e6ccaa1"/>
    </Part>
    <Part Type="signatura" DocPartId="56cf88a7c4fc40e3baee0b04056e50f4" PartId="82f778d0e0b64575840a6ee590041fdf"/>
  </Part>
</Parts>
</file>

<file path=customXml/itemProps1.xml><?xml version="1.0" encoding="utf-8"?>
<ds:datastoreItem xmlns:ds="http://schemas.openxmlformats.org/officeDocument/2006/customXml" ds:itemID="{E1C28B10-8F98-488D-AD9C-35C631951C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981333-A892-4787-ADF9-6933E938CD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739</Words>
  <Characters>5143</Characters>
  <Application>Microsoft Office Word</Application>
  <DocSecurity>4</DocSecurity>
  <Lines>119</Lines>
  <Paragraphs>68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2018-01-</vt:lpstr>
    </vt:vector>
  </TitlesOfParts>
  <Company/>
  <LinksUpToDate>false</LinksUpToDate>
  <CharactersWithSpaces>5814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2024-12-04T06:28:00Z</dcterms:created>
  <dc:creator>Vladislava</dc:creator>
  <lastModifiedBy>adlibuser</lastModifiedBy>
  <lastPrinted>2024-11-28T06:38:00Z</lastPrinted>
  <dcterms:modified xsi:type="dcterms:W3CDTF">2024-12-04T06:28:00Z</dcterms:modified>
  <revision>2</revision>
  <dc:title>2018-01-</dc:title>
</coreProperties>
</file>