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3a98472d07a4630a05095f702cf0826"/>
        <w:lock w:val="sdtLocked"/>
        <w:richText/>
      </w:sdtPr>
      <w:sdtContent>
        <w:p w14:paraId="1D1CA0C3" w14:textId="77777777">
          <w:pPr>
            <w:suppressAutoHyphens/>
            <w:jc w:val="center"/>
            <w:rPr>
              <w:b/>
              <w:color w:val="000000"/>
              <w:szCs w:val="24"/>
              <w:shd w:val="clear" w:color="auto" w:fill="FFFFFF"/>
              <w:lang w:eastAsia="ar-SA"/>
            </w:rPr>
          </w:pPr>
        </w:p>
        <w:p w14:paraId="67F282B7" w14:textId="77777777">
          <w:pPr>
            <w:suppressAutoHyphens/>
            <w:jc w:val="center"/>
            <w:rPr>
              <w:b/>
              <w:color w:val="000000"/>
              <w:szCs w:val="24"/>
              <w:shd w:val="clear" w:color="auto" w:fill="FFFFFF"/>
              <w:lang w:eastAsia="ar-SA"/>
            </w:rPr>
          </w:pPr>
          <w:r>
            <w:rPr>
              <w:b/>
              <w:color w:val="000000"/>
              <w:szCs w:val="24"/>
              <w:shd w:val="clear" w:color="auto" w:fill="FFFFFF"/>
              <w:lang w:eastAsia="ar-SA"/>
            </w:rPr>
            <w:t>ŠIAULIŲ MIESTO SAVIVALDYBĖS TARYBA</w:t>
          </w:r>
        </w:p>
        <w:p w14:paraId="67F282B8" w14:textId="77777777">
          <w:pPr>
            <w:suppressAutoHyphens/>
            <w:rPr>
              <w:b/>
              <w:color w:val="000000"/>
              <w:sz w:val="28"/>
              <w:szCs w:val="24"/>
              <w:shd w:val="clear" w:color="auto" w:fill="FFFFFF"/>
              <w:lang w:eastAsia="ar-SA"/>
            </w:rPr>
          </w:pPr>
        </w:p>
        <w:p w14:paraId="67F282B9" w14:textId="77777777">
          <w:pPr>
            <w:suppressAutoHyphens/>
            <w:jc w:val="center"/>
            <w:rPr>
              <w:b/>
              <w:color w:val="000000"/>
              <w:szCs w:val="24"/>
              <w:shd w:val="clear" w:color="auto" w:fill="FFFFFF"/>
              <w:lang w:eastAsia="ar-SA"/>
            </w:rPr>
          </w:pPr>
          <w:r>
            <w:rPr>
              <w:b/>
              <w:color w:val="000000"/>
              <w:szCs w:val="24"/>
              <w:shd w:val="clear" w:color="auto" w:fill="FFFFFF"/>
              <w:lang w:eastAsia="ar-SA"/>
            </w:rPr>
            <w:t>SPRENDIMAS</w:t>
          </w:r>
        </w:p>
        <w:p w14:paraId="67F282BA" w14:textId="4EF0A905">
          <w:pPr>
            <w:widowControl w:val="0"/>
            <w:tabs>
              <w:tab w:val="left" w:pos="720"/>
            </w:tabs>
            <w:suppressAutoHyphens/>
            <w:spacing w:line="276" w:lineRule="auto"/>
            <w:jc w:val="center"/>
            <w:rPr>
              <w:rFonts w:eastAsia="Lucida Sans Unicode"/>
              <w:b/>
              <w:bCs/>
              <w:caps/>
              <w:szCs w:val="24"/>
              <w:shd w:val="clear" w:color="auto" w:fill="FFFFFF"/>
              <w:lang w:eastAsia="ar-SA"/>
            </w:rPr>
          </w:pPr>
          <w:r>
            <w:rPr>
              <w:rFonts w:eastAsia="Lucida Sans Unicode"/>
              <w:b/>
              <w:bCs/>
              <w:caps/>
              <w:szCs w:val="24"/>
              <w:shd w:val="clear" w:color="auto" w:fill="FFFFFF"/>
              <w:lang w:eastAsia="ar-SA"/>
            </w:rPr>
            <w:t xml:space="preserve">DĖL </w:t>
          </w:r>
          <w:r>
            <w:rPr>
              <w:rFonts w:eastAsia="SimSun"/>
              <w:b/>
              <w:color w:val="000000"/>
              <w:kern w:val="2"/>
              <w:szCs w:val="24"/>
              <w:lang w:val="en-GB" w:eastAsia="hi-IN" w:bidi="hi-IN"/>
            </w:rPr>
            <w:t>SUTIKIMO PRATĘSTI GYVENIMO ŠIAULIŲ MIESTO ŠEIMOS CENTRO BENDRUOMENINIUOSE VAIKŲ GLOBOS NAMUOSE LAIKOTARPĮ</w:t>
          </w:r>
        </w:p>
        <w:p w14:paraId="67F282BB" w14:textId="77777777">
          <w:pPr>
            <w:suppressAutoHyphens/>
            <w:jc w:val="center"/>
            <w:rPr>
              <w:b/>
              <w:color w:val="000000"/>
              <w:szCs w:val="24"/>
              <w:shd w:val="clear" w:color="auto" w:fill="FFFFFF"/>
              <w:lang w:eastAsia="ar-SA"/>
            </w:rPr>
          </w:pPr>
        </w:p>
        <w:p w14:paraId="0DC18F3F" w14:textId="7BAE8FA9">
          <w:pPr>
            <w:suppressAutoHyphens/>
            <w:jc w:val="center"/>
            <w:rPr>
              <w:szCs w:val="24"/>
              <w:shd w:val="clear" w:color="auto" w:fill="FFFFFF"/>
              <w:lang w:eastAsia="ar-SA"/>
            </w:rPr>
          </w:pPr>
          <w:r>
            <w:rPr>
              <w:szCs w:val="24"/>
              <w:shd w:val="clear" w:color="auto" w:fill="FFFFFF"/>
              <w:lang w:eastAsia="ar-SA"/>
            </w:rPr>
            <w:t xml:space="preserve">2024 m.                             d. Nr.</w:t>
          </w:r>
        </w:p>
        <w:p w14:paraId="67F282BD" w14:textId="77777777">
          <w:pPr>
            <w:suppressAutoHyphens/>
            <w:jc w:val="center"/>
            <w:rPr>
              <w:color w:val="000000"/>
              <w:szCs w:val="24"/>
              <w:shd w:val="clear" w:color="auto" w:fill="FFFFFF"/>
              <w:lang w:eastAsia="ar-SA"/>
            </w:rPr>
          </w:pPr>
          <w:r>
            <w:rPr>
              <w:color w:val="000000"/>
              <w:szCs w:val="24"/>
              <w:shd w:val="clear" w:color="auto" w:fill="FFFFFF"/>
              <w:lang w:eastAsia="ar-SA"/>
            </w:rPr>
            <w:t>Šiauliai</w:t>
          </w:r>
        </w:p>
        <w:p w14:paraId="67F282BE" w14:textId="77777777">
          <w:pPr>
            <w:suppressAutoHyphens/>
            <w:jc w:val="center"/>
            <w:rPr>
              <w:b/>
              <w:color w:val="000000"/>
              <w:szCs w:val="24"/>
              <w:shd w:val="clear" w:color="auto" w:fill="FFFFFF"/>
              <w:lang w:eastAsia="ar-SA"/>
            </w:rPr>
          </w:pPr>
        </w:p>
        <w:p w14:paraId="67F282BF" w14:textId="77777777">
          <w:pPr>
            <w:suppressAutoHyphens/>
            <w:jc w:val="center"/>
            <w:rPr>
              <w:b/>
              <w:color w:val="000000"/>
              <w:szCs w:val="24"/>
              <w:shd w:val="clear" w:color="auto" w:fill="FFFFFF"/>
              <w:lang w:eastAsia="ar-SA"/>
            </w:rPr>
          </w:pPr>
        </w:p>
        <w:sdt>
          <w:sdtPr>
            <w:alias w:val="preambule"/>
            <w:tag w:val="part_dc2c60f66f974a73bbd41b59c17f9a58"/>
            <w:lock w:val="sdtLocked"/>
            <w:richText/>
          </w:sdtPr>
          <w:sdtContent>
            <w:p w14:paraId="21471B10" w14:textId="606A3067">
              <w:pPr>
                <w:suppressAutoHyphens/>
                <w:ind w:firstLine="426"/>
                <w:jc w:val="both"/>
                <w:rPr>
                  <w:szCs w:val="24"/>
                  <w:lang w:eastAsia="ar-SA"/>
                </w:rPr>
              </w:pPr>
              <w:r>
                <w:rPr>
                  <w:color w:val="000000"/>
                  <w:szCs w:val="24"/>
                  <w:lang w:eastAsia="ar-SA"/>
                </w:rPr>
                <w:t>Vadovaudamasi S</w:t>
              </w:r>
              <w:r>
                <w:rPr>
                  <w:szCs w:val="24"/>
                  <w:lang w:eastAsia="ar-SA"/>
                </w:rPr>
                <w:t xml:space="preserve">ocialinės globos normų aprašo, patvirtinto Lietuvos Respublikos socialinės apsaugos ir darbo ministro 2007 m. vasario 20 d. įsakymu Nr. A1-46 „Dėl Socialinės globos normų aprašo patvirtinimo“, 1 priedo 2.7 papunkčiu, atsižvelgdama į Šiaulių miesto šeimos centro 2024-02-02 raštą Nr. 3-153 „Dėl leidimo gyventi sulaukus pilnametystės“, </w:t>
              </w:r>
              <w:r>
                <w:rPr>
                  <w:color w:val="000000"/>
                  <w:szCs w:val="24"/>
                  <w:lang w:eastAsia="ar-SA"/>
                </w:rPr>
                <w:t xml:space="preserve">Šiaulių miesto savivaldybės taryba </w:t>
              </w:r>
              <w:r>
                <w:rPr>
                  <w:color w:val="000000"/>
                  <w:spacing w:val="100"/>
                  <w:szCs w:val="24"/>
                  <w:lang w:eastAsia="ar-SA"/>
                </w:rPr>
                <w:t>nusprendžia:</w:t>
              </w:r>
            </w:p>
          </w:sdtContent>
        </w:sdt>
        <w:sdt>
          <w:sdtPr>
            <w:alias w:val="pastraipa"/>
            <w:tag w:val="part_ff7bcdb2418f4f56891d1b282f16b882"/>
            <w:lock w:val="sdtLocked"/>
            <w:richText/>
          </w:sdtPr>
          <w:sdtContent>
            <w:p w14:paraId="3FE5EA89" w14:textId="1D694AD3">
              <w:pPr>
                <w:tabs>
                  <w:tab w:val="left" w:pos="709"/>
                </w:tabs>
                <w:suppressAutoHyphens/>
                <w:ind w:firstLine="426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Sutikti pratęsti gyvenimo Šiaulių miesto šeimos centro bendruomeniniuose vaikų globs namuose laikotarpį šiems rūpintiniams, kol jie mokosi bendrojo lavinimo mokykloje: </w:t>
              </w:r>
            </w:p>
          </w:sdtContent>
        </w:sdt>
        <w:sdt>
          <w:sdtPr>
            <w:alias w:val="1 p."/>
            <w:tag w:val="part_9853395509fc4d0aa28e822007cf9173"/>
            <w:lock w:val="sdtLocked"/>
            <w:richText/>
          </w:sdtPr>
          <w:sdtContent>
            <w:p w14:paraId="72636CAC" w14:textId="0D64A3BB">
              <w:pPr>
                <w:tabs>
                  <w:tab w:val="left" w:pos="851"/>
                </w:tabs>
                <w:suppressAutoHyphens/>
                <w:ind w:left="786" w:hanging="36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9853395509fc4d0aa28e822007cf9173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A. D., gim. XXXX-XX-XX, iki 2025 m. rugpjūčio 31 d.</w:t>
              </w:r>
            </w:p>
          </w:sdtContent>
        </w:sdt>
        <w:sdt>
          <w:sdtPr>
            <w:alias w:val="2 p."/>
            <w:tag w:val="part_c686f7fdbc354287817f5798b3aaf947"/>
            <w:lock w:val="sdtLocked"/>
            <w:richText/>
          </w:sdtPr>
          <w:sdtContent>
            <w:p w14:paraId="0A7A8B96" w14:textId="47BC5F4B">
              <w:pPr>
                <w:tabs>
                  <w:tab w:val="left" w:pos="851"/>
                </w:tabs>
                <w:suppressAutoHyphens/>
                <w:ind w:left="786" w:hanging="36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c686f7fdbc354287817f5798b3aaf947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S. Š., gim. XXXX-XX-XX, iki 2025 m. rugpjūčio 31 d.</w:t>
              </w:r>
            </w:p>
          </w:sdtContent>
        </w:sdt>
        <w:sdt>
          <w:sdtPr>
            <w:alias w:val="3 p."/>
            <w:tag w:val="part_3bc44f45b82e454593f39417875dec39"/>
            <w:lock w:val="sdtLocked"/>
            <w:richText/>
          </w:sdtPr>
          <w:sdtContent>
            <w:p w14:paraId="7B4EEED2" w14:textId="1D0B5348">
              <w:pPr>
                <w:tabs>
                  <w:tab w:val="left" w:pos="851"/>
                </w:tabs>
                <w:suppressAutoHyphens/>
                <w:ind w:left="786" w:hanging="36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3bc44f45b82e454593f39417875dec39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P. Ž., gim. XXXX-XX-XX, iki 2026 m. rugpjūčio 31 d.</w:t>
              </w:r>
            </w:p>
          </w:sdtContent>
        </w:sdt>
        <w:sdt>
          <w:sdtPr>
            <w:alias w:val="4 p."/>
            <w:tag w:val="part_3a96699995554159bd1d0d11c0e3c6f9"/>
            <w:lock w:val="sdtLocked"/>
            <w:richText/>
          </w:sdtPr>
          <w:sdtContent>
            <w:p w14:paraId="71AB5C45" w14:textId="131D0032">
              <w:pPr>
                <w:tabs>
                  <w:tab w:val="left" w:pos="851"/>
                </w:tabs>
                <w:suppressAutoHyphens/>
                <w:ind w:left="786" w:hanging="36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3a96699995554159bd1d0d11c0e3c6f9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4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G. Š., gim. XXXX-XX-XX, iki 2026 m. rugpjūčio 31 d.</w:t>
              </w:r>
            </w:p>
          </w:sdtContent>
        </w:sdt>
        <w:sdt>
          <w:sdtPr>
            <w:alias w:val="5 p."/>
            <w:tag w:val="part_41577a4f26be43cea5b24a1d2ea7d35b"/>
            <w:lock w:val="sdtLocked"/>
            <w:richText/>
          </w:sdtPr>
          <w:sdtContent>
            <w:p w14:paraId="7261BBCB" w14:textId="0FEDA768">
              <w:pPr>
                <w:tabs>
                  <w:tab w:val="left" w:pos="851"/>
                </w:tabs>
                <w:suppressAutoHyphens/>
                <w:ind w:left="786" w:hanging="36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41577a4f26be43cea5b24a1d2ea7d35b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5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B. T., gim. XXXX-XX-XX, iki 2026 m. rugpjūčio 31 d.</w:t>
              </w:r>
            </w:p>
            <w:p w14:paraId="67F282C4" w14:textId="26BC1F92">
              <w:pPr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Šis sprendimas ne vėliau kaip per vieną mėnesį nuo jo įteikimo dienos gali būti skundžiamas paduodant skundą Lietuvos administracinių ginčų komisijos Šiaulių apygardos skyriui adresu: Dvaro g. 81, Šiauliai, arba Regionų apygardos administraciniam teismui bet kuriuose šio teismo rūmuose.</w:t>
              </w:r>
            </w:p>
            <w:p w14:paraId="67F282C5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54F0087D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44CCCF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adeff3c2a8f940808c62328c1cc3ef54"/>
            <w:lock w:val="sdtLocked"/>
            <w:richText/>
          </w:sdtPr>
          <w:sdtContent>
            <w:p w14:paraId="67F282C6" w14:textId="633B8762">
              <w:pPr>
                <w:suppressAutoHyphens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  <w:tab/>
                <w:tab/>
                <w:tab/>
                <w:tab/>
                <w:t xml:space="preserve">                        </w:t>
              </w:r>
            </w:p>
            <w:p w14:paraId="67C8A68F" w14:textId="77777777">
              <w:pPr>
                <w:suppressAutoHyphens/>
                <w:jc w:val="both"/>
                <w:rPr>
                  <w:color w:val="000000"/>
                  <w:szCs w:val="24"/>
                  <w:lang w:val="en-GB" w:eastAsia="ar-SA"/>
                </w:rPr>
              </w:pPr>
            </w:p>
            <w:p w14:paraId="17AABD48" w14:textId="77777777">
              <w:pPr>
                <w:suppressAutoHyphens/>
                <w:jc w:val="both"/>
                <w:rPr>
                  <w:color w:val="000000"/>
                  <w:szCs w:val="24"/>
                  <w:lang w:val="en-GB" w:eastAsia="ar-SA"/>
                </w:rPr>
              </w:pPr>
            </w:p>
            <w:p w14:paraId="0C2C1F5E" w14:textId="77777777">
              <w:pPr>
                <w:suppressAutoHyphens/>
                <w:jc w:val="both"/>
                <w:rPr>
                  <w:color w:val="000000"/>
                  <w:szCs w:val="24"/>
                  <w:lang w:val="en-GB" w:eastAsia="ar-SA"/>
                </w:rPr>
              </w:pPr>
            </w:p>
            <w:p w14:paraId="13BC1312" w14:textId="77777777">
              <w:pPr>
                <w:suppressAutoHyphens/>
                <w:jc w:val="both"/>
                <w:rPr>
                  <w:color w:val="000000"/>
                  <w:szCs w:val="24"/>
                  <w:lang w:val="en-GB" w:eastAsia="ar-SA"/>
                </w:rPr>
              </w:pPr>
            </w:p>
            <w:p w14:paraId="31345CAD" w14:textId="77777777">
              <w:pPr>
                <w:suppressAutoHyphens/>
                <w:jc w:val="both"/>
                <w:rPr>
                  <w:color w:val="000000"/>
                  <w:szCs w:val="24"/>
                  <w:lang w:val="en-GB" w:eastAsia="ar-SA"/>
                </w:rPr>
              </w:pPr>
            </w:p>
            <w:p w14:paraId="40D42919" w14:textId="77777777">
              <w:pPr>
                <w:suppressAutoHyphens/>
                <w:jc w:val="both"/>
                <w:rPr>
                  <w:color w:val="000000"/>
                  <w:szCs w:val="24"/>
                  <w:lang w:val="en-GB" w:eastAsia="ar-SA"/>
                </w:rPr>
              </w:pPr>
            </w:p>
            <w:p w14:paraId="26396C2A" w14:textId="77777777">
              <w:pPr>
                <w:suppressAutoHyphens/>
                <w:jc w:val="both"/>
                <w:rPr>
                  <w:color w:val="000000"/>
                  <w:szCs w:val="24"/>
                  <w:lang w:val="en-GB" w:eastAsia="ar-SA"/>
                </w:rPr>
              </w:pPr>
            </w:p>
            <w:p w14:paraId="03F7570F" w14:textId="78EA3D73">
              <w:pPr>
                <w:suppressAutoHyphens/>
                <w:jc w:val="both"/>
                <w:rPr>
                  <w:color w:val="000000"/>
                  <w:szCs w:val="24"/>
                  <w:lang w:val="en-GB" w:eastAsia="ar-SA"/>
                </w:rPr>
              </w:pPr>
            </w:p>
            <w:p w14:paraId="4D4457B8" w14:textId="51E5F9E5">
              <w:pPr>
                <w:suppressAutoHyphens/>
                <w:jc w:val="both"/>
                <w:rPr>
                  <w:color w:val="000000"/>
                  <w:szCs w:val="24"/>
                  <w:lang w:val="en-GB" w:eastAsia="ar-SA"/>
                </w:rPr>
              </w:pPr>
            </w:p>
            <w:p w14:paraId="7EB0AE0A" w14:textId="5B11AC65">
              <w:pPr>
                <w:suppressAutoHyphens/>
                <w:jc w:val="both"/>
                <w:rPr>
                  <w:color w:val="000000"/>
                  <w:szCs w:val="24"/>
                  <w:lang w:val="en-GB" w:eastAsia="ar-SA"/>
                </w:rPr>
              </w:pPr>
            </w:p>
            <w:p w14:paraId="500F74C9" w14:textId="55F7A943">
              <w:pPr>
                <w:suppressAutoHyphens/>
                <w:jc w:val="both"/>
                <w:rPr>
                  <w:color w:val="000000"/>
                  <w:szCs w:val="24"/>
                  <w:lang w:val="en-GB" w:eastAsia="ar-SA"/>
                </w:rPr>
              </w:pPr>
            </w:p>
            <w:p w14:paraId="19256235" w14:textId="77777777">
              <w:pPr>
                <w:suppressAutoHyphens/>
                <w:jc w:val="both"/>
                <w:rPr>
                  <w:color w:val="000000"/>
                  <w:szCs w:val="24"/>
                  <w:lang w:val="en-GB" w:eastAsia="ar-SA"/>
                </w:rPr>
              </w:pPr>
            </w:p>
            <w:p w14:paraId="29ADE920" w14:textId="0FD52C32">
              <w:pPr>
                <w:suppressAutoHyphens/>
                <w:jc w:val="both"/>
                <w:rPr>
                  <w:color w:val="000000"/>
                  <w:szCs w:val="24"/>
                  <w:lang w:val="en-GB" w:eastAsia="ar-SA"/>
                </w:rPr>
              </w:pPr>
            </w:p>
            <w:p w14:paraId="000D3D27" w14:textId="16EFC37B">
              <w:pPr>
                <w:suppressAutoHyphens/>
                <w:jc w:val="both"/>
                <w:rPr>
                  <w:color w:val="000000"/>
                  <w:szCs w:val="24"/>
                  <w:lang w:val="en-GB" w:eastAsia="ar-SA"/>
                </w:rPr>
              </w:pPr>
            </w:p>
            <w:p w14:paraId="072B1603" w14:textId="1AF8276F">
              <w:pPr>
                <w:suppressAutoHyphens/>
                <w:jc w:val="both"/>
                <w:rPr>
                  <w:color w:val="000000"/>
                  <w:szCs w:val="24"/>
                  <w:lang w:val="en-GB" w:eastAsia="ar-SA"/>
                </w:rPr>
              </w:pPr>
            </w:p>
            <w:p w14:paraId="2786ADEB" w14:textId="49327FB9">
              <w:pPr>
                <w:suppressAutoHyphens/>
                <w:jc w:val="both"/>
                <w:rPr>
                  <w:color w:val="000000"/>
                  <w:szCs w:val="24"/>
                  <w:lang w:val="en-GB" w:eastAsia="ar-SA"/>
                </w:rPr>
              </w:pPr>
            </w:p>
          </w:sdtContent>
        </w:sdt>
      </w:sdtContent>
    </w:sdt>
    <w:sectPr>
      <w:headerReference w:type="default" r:id="rId7"/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0D8D74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endnote>
  <w:endnote w:type="continuationSeparator" w:id="0">
    <w:p w14:paraId="5FDBC15B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6BD5806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footnote>
  <w:footnote w:type="continuationSeparator" w:id="0">
    <w:p w14:paraId="62BBF131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2205F6" w14:textId="77777777">
    <w:pPr>
      <w:tabs>
        <w:tab w:val="center" w:pos="4819"/>
        <w:tab w:val="right" w:pos="9638"/>
      </w:tabs>
      <w:suppressAutoHyphens/>
      <w:jc w:val="right"/>
      <w:rPr>
        <w:b/>
        <w:szCs w:val="24"/>
        <w:lang w:eastAsia="ar-SA"/>
      </w:rPr>
    </w:pPr>
    <w:r>
      <w:rPr>
        <w:b/>
        <w:szCs w:val="24"/>
        <w:lang w:eastAsia="ar-SA"/>
      </w:rPr>
      <w:t>Projektas</w:t>
    </w:r>
  </w:p>
  <w:p w14:paraId="6C24A058" w14:textId="77777777">
    <w:pPr>
      <w:tabs>
        <w:tab w:val="center" w:pos="4819"/>
        <w:tab w:val="right" w:pos="9638"/>
      </w:tabs>
      <w:suppressAutoHyphens/>
      <w:jc w:val="right"/>
      <w:rPr>
        <w:szCs w:val="24"/>
        <w:lang w:val="en-GB"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0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7F282B6"/>
  <w15:chartTrackingRefBased/>
  <w15:docId w15:val="{C9E05F76-70AD-4659-840E-63DEC011EF5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6294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1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42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1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313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134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433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f1c20ba300464b40a1f23a87ce0be667" PartId="e3a98472d07a4630a05095f702cf0826">
    <Part Type="preambule" DocPartId="9160eaafd6914c06bb42609fc96756d4" PartId="dc2c60f66f974a73bbd41b59c17f9a58"/>
    <Part Type="pastraipa" DocPartId="17af3b7969484396bfbe5d6068397e37" PartId="ff7bcdb2418f4f56891d1b282f16b882"/>
    <Part Type="punktas" Nr="1" Abbr="1 p." DocPartId="880e4377b4df43e69ca978757dfa9799" PartId="9853395509fc4d0aa28e822007cf9173"/>
    <Part Type="punktas" Nr="2" Abbr="2 p." DocPartId="853c701ac85e4a41ac1790e8ab154a63" PartId="c686f7fdbc354287817f5798b3aaf947"/>
    <Part Type="punktas" Nr="3" Abbr="3 p." DocPartId="b5d6fae13e384291ac1577423c93169e" PartId="3bc44f45b82e454593f39417875dec39"/>
    <Part Type="punktas" Nr="4" Abbr="4 p." DocPartId="b053d34e09174bbd934ef6bf0ae5e2b8" PartId="3a96699995554159bd1d0d11c0e3c6f9"/>
    <Part Type="punktas" Nr="5" Abbr="5 p." DocPartId="415c42f8b8214ce5aed571789ffab115" PartId="41577a4f26be43cea5b24a1d2ea7d35b"/>
    <Part Type="signatura" DocPartId="98f30d838be6483fbf29c1aaf6221d47" PartId="adeff3c2a8f940808c62328c1cc3ef54"/>
  </Part>
</Parts>
</file>

<file path=customXml/itemProps1.xml><?xml version="1.0" encoding="utf-8"?>
<ds:datastoreItem xmlns:ds="http://schemas.openxmlformats.org/officeDocument/2006/customXml" ds:itemID="{262D923F-58BE-4271-B58F-55846741962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082A4BE-AC4C-4310-9DDC-DEDB9EE0AA2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201</Words>
  <Characters>1208</Characters>
  <Application>Microsoft Office Word</Application>
  <DocSecurity>4</DocSecurity>
  <Lines>48</Lines>
  <Paragraphs>17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1392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2024-02-14T08:21:00Z</dcterms:created>
  <dc:creator>Edita Čičelienė</dc:creator>
  <lastModifiedBy>adlibuser</lastModifiedBy>
  <dcterms:modified xsi:type="dcterms:W3CDTF">2024-02-14T08:21:00Z</dcterms:modified>
  <revision>2</revision>
</coreProperties>
</file>