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aa19686924a4a03be5878cedcd02081"/>
        <w:lock w:val="sdtLocked"/>
        <w:richText/>
      </w:sdtPr>
      <w:sdtContent>
        <w:p>
          <w:pPr>
            <w:ind w:left="5184" w:firstLine="558"/>
            <w:rPr>
              <w:rFonts w:eastAsia="Calibri"/>
              <w:b/>
              <w:szCs w:val="24"/>
              <w:lang w:eastAsia="lt-LT"/>
            </w:rPr>
          </w:pPr>
          <w:r>
            <w:rPr>
              <w:rFonts w:eastAsia="Calibri"/>
              <w:b/>
              <w:szCs w:val="24"/>
              <w:lang w:eastAsia="lt-LT"/>
            </w:rPr>
            <w:t>Projektas Nr. XIIP-3924 (3) ES</w:t>
          </w:r>
        </w:p>
        <w:p>
          <w:pPr>
            <w:ind w:left="5184" w:firstLine="1296"/>
            <w:rPr>
              <w:rFonts w:eastAsia="Calibri"/>
              <w:b/>
              <w:szCs w:val="24"/>
              <w:lang w:eastAsia="lt-LT"/>
            </w:rPr>
          </w:pPr>
        </w:p>
        <w:p>
          <w:pPr>
            <w:jc w:val="center"/>
            <w:rPr>
              <w:rFonts w:eastAsia="Calibri"/>
              <w:b/>
              <w:szCs w:val="24"/>
              <w:lang w:eastAsia="lt-LT"/>
            </w:rPr>
          </w:pPr>
          <w:r>
            <w:rPr>
              <w:rFonts w:eastAsia="Calibri"/>
              <w:b/>
              <w:szCs w:val="24"/>
              <w:lang w:eastAsia="lt-LT"/>
            </w:rPr>
            <w:t>LIETUVOS RESPUBLIKOS</w:t>
          </w:r>
        </w:p>
        <w:p>
          <w:pPr>
            <w:jc w:val="center"/>
            <w:rPr>
              <w:rFonts w:eastAsia="Calibri"/>
              <w:b/>
              <w:szCs w:val="24"/>
              <w:lang w:eastAsia="lt-LT"/>
            </w:rPr>
          </w:pPr>
          <w:r>
            <w:rPr>
              <w:rFonts w:eastAsia="Calibri"/>
              <w:b/>
              <w:szCs w:val="24"/>
              <w:lang w:eastAsia="lt-LT"/>
            </w:rPr>
            <w:t>SAUGOMŲ</w:t>
          </w:r>
          <w:r>
            <w:rPr>
              <w:rFonts w:eastAsia="Calibri"/>
              <w:b/>
              <w:bCs/>
              <w:szCs w:val="24"/>
              <w:lang w:eastAsia="lt-LT"/>
            </w:rPr>
            <w:t xml:space="preserve"> GYVŪNŲ, AUGALŲ IR GRYBŲ RŪŠIŲ</w:t>
          </w:r>
          <w:r>
            <w:rPr>
              <w:rFonts w:eastAsia="Calibri"/>
              <w:b/>
              <w:szCs w:val="24"/>
              <w:lang w:eastAsia="lt-LT"/>
            </w:rPr>
            <w:t xml:space="preserve"> ĮSTATYMO NR. </w:t>
          </w:r>
          <w:r>
            <w:rPr>
              <w:rFonts w:eastAsia="Calibri"/>
              <w:b/>
              <w:bCs/>
              <w:szCs w:val="24"/>
              <w:lang w:eastAsia="lt-LT"/>
            </w:rPr>
            <w:t>VIII-499</w:t>
          </w:r>
        </w:p>
        <w:p>
          <w:pPr>
            <w:jc w:val="center"/>
            <w:rPr>
              <w:rFonts w:eastAsia="Calibri"/>
              <w:b/>
              <w:szCs w:val="24"/>
              <w:lang w:eastAsia="lt-LT"/>
            </w:rPr>
          </w:pPr>
          <w:r>
            <w:rPr>
              <w:rFonts w:eastAsia="Calibri"/>
              <w:b/>
              <w:szCs w:val="24"/>
              <w:lang w:eastAsia="lt-LT"/>
            </w:rPr>
            <w:t xml:space="preserve">2 IR 15 STRAIPSNIŲ PAKEITIMO </w:t>
          </w:r>
        </w:p>
        <w:p>
          <w:pPr>
            <w:jc w:val="center"/>
            <w:rPr>
              <w:rFonts w:eastAsia="Calibri"/>
              <w:b/>
              <w:color w:val="000000"/>
              <w:szCs w:val="24"/>
              <w:lang w:eastAsia="lt-LT"/>
            </w:rPr>
          </w:pPr>
          <w:r>
            <w:rPr>
              <w:rFonts w:eastAsia="Calibri"/>
              <w:b/>
              <w:color w:val="000000"/>
              <w:szCs w:val="24"/>
              <w:lang w:eastAsia="lt-LT"/>
            </w:rPr>
            <w:t>ĮSTATYMAS</w:t>
          </w:r>
        </w:p>
        <w:p>
          <w:pPr>
            <w:shd w:val="clear" w:color="auto" w:fill="FFFFFF"/>
            <w:spacing w:line="276" w:lineRule="auto"/>
            <w:ind w:left="19"/>
            <w:jc w:val="center"/>
            <w:rPr>
              <w:rFonts w:eastAsia="Calibri"/>
              <w:color w:val="000000"/>
              <w:szCs w:val="24"/>
            </w:rPr>
          </w:pPr>
        </w:p>
        <w:p>
          <w:pPr>
            <w:rPr>
              <w:sz w:val="18"/>
              <w:szCs w:val="18"/>
            </w:rPr>
          </w:pPr>
        </w:p>
        <w:p>
          <w:pPr>
            <w:shd w:val="clear" w:color="auto" w:fill="FFFFFF"/>
            <w:spacing w:line="276" w:lineRule="auto"/>
            <w:jc w:val="center"/>
            <w:rPr>
              <w:rFonts w:eastAsia="Calibri"/>
              <w:szCs w:val="24"/>
            </w:rPr>
          </w:pPr>
          <w:r>
            <w:rPr>
              <w:rFonts w:eastAsia="Calibri"/>
              <w:spacing w:val="-2"/>
              <w:szCs w:val="24"/>
            </w:rPr>
            <w:t>2016 m.</w:t>
            <w:tab/>
            <w:tab/>
            <w:tab/>
            <w:t>d</w:t>
          </w:r>
          <w:r>
            <w:rPr>
              <w:rFonts w:eastAsia="Calibri"/>
              <w:spacing w:val="-1"/>
              <w:szCs w:val="24"/>
            </w:rPr>
            <w:t>. Nr.</w:t>
          </w:r>
        </w:p>
        <w:p>
          <w:pPr>
            <w:rPr>
              <w:sz w:val="18"/>
              <w:szCs w:val="18"/>
            </w:rPr>
          </w:pPr>
        </w:p>
        <w:p>
          <w:pPr>
            <w:shd w:val="clear" w:color="auto" w:fill="FFFFFF"/>
            <w:spacing w:line="276" w:lineRule="auto"/>
            <w:jc w:val="center"/>
            <w:rPr>
              <w:rFonts w:eastAsia="Calibri"/>
              <w:spacing w:val="2"/>
              <w:szCs w:val="24"/>
            </w:rPr>
          </w:pPr>
          <w:r>
            <w:rPr>
              <w:rFonts w:eastAsia="Calibri"/>
              <w:spacing w:val="2"/>
              <w:szCs w:val="24"/>
            </w:rPr>
            <w:t>Vilnius</w:t>
          </w:r>
        </w:p>
        <w:p>
          <w:pPr>
            <w:rPr>
              <w:sz w:val="18"/>
              <w:szCs w:val="18"/>
            </w:rPr>
          </w:pPr>
        </w:p>
        <w:p>
          <w:pPr>
            <w:shd w:val="clear" w:color="auto" w:fill="FFFFFF"/>
            <w:jc w:val="center"/>
            <w:rPr>
              <w:rFonts w:eastAsia="Calibri"/>
              <w:szCs w:val="24"/>
            </w:rPr>
          </w:pPr>
        </w:p>
        <w:sdt>
          <w:sdtPr>
            <w:alias w:val="1 str."/>
            <w:tag w:val="part_fc5973caa06944388d01de9effed8cec"/>
            <w:lock w:val="sdtLocked"/>
            <w:richText/>
          </w:sdtPr>
          <w:sdtContent>
            <w:p>
              <w:pPr>
                <w:shd w:val="clear" w:color="auto" w:fill="FFFFFF"/>
                <w:ind w:firstLine="720"/>
                <w:jc w:val="both"/>
                <w:rPr>
                  <w:rFonts w:eastAsia="Calibri"/>
                  <w:b/>
                  <w:color w:val="000000"/>
                  <w:szCs w:val="24"/>
                </w:rPr>
              </w:pPr>
              <w:sdt>
                <w:sdtPr>
                  <w:alias w:val="Numeris"/>
                  <w:tag w:val="nr_fc5973caa06944388d01de9effed8cec"/>
                  <w:lock w:val="sdtLocked"/>
                  <w:richText/>
                </w:sdtPr>
                <w:sdtContent>
                  <w:r>
                    <w:rPr>
                      <w:rFonts w:eastAsia="Calibri"/>
                      <w:b/>
                      <w:color w:val="000000"/>
                      <w:szCs w:val="24"/>
                    </w:rPr>
                    <w:t>1</w:t>
                  </w:r>
                </w:sdtContent>
              </w:sdt>
              <w:r>
                <w:rPr>
                  <w:rFonts w:eastAsia="Calibri"/>
                  <w:b/>
                  <w:color w:val="000000"/>
                  <w:szCs w:val="24"/>
                </w:rPr>
                <w:t xml:space="preserve"> </w:t>
              </w:r>
              <w:r>
                <w:rPr>
                  <w:rFonts w:eastAsia="Calibri"/>
                  <w:b/>
                  <w:bCs/>
                  <w:color w:val="000000"/>
                  <w:szCs w:val="24"/>
                </w:rPr>
                <w:t>straipsnis</w:t>
              </w:r>
              <w:r>
                <w:rPr>
                  <w:rFonts w:eastAsia="Calibri"/>
                  <w:b/>
                  <w:color w:val="000000"/>
                  <w:szCs w:val="24"/>
                </w:rPr>
                <w:t xml:space="preserve">. </w:t>
              </w:r>
              <w:sdt>
                <w:sdtPr>
                  <w:alias w:val="Pavadinimas"/>
                  <w:tag w:val="title_fc5973caa06944388d01de9effed8cec"/>
                  <w:lock w:val="sdtLocked"/>
                  <w:richText/>
                </w:sdtPr>
                <w:sdtContent>
                  <w:r>
                    <w:rPr>
                      <w:rFonts w:eastAsia="Calibri"/>
                      <w:b/>
                      <w:color w:val="000000"/>
                      <w:szCs w:val="24"/>
                    </w:rPr>
                    <w:t>2 straipsnio pakeitimas</w:t>
                  </w:r>
                </w:sdtContent>
              </w:sdt>
            </w:p>
            <w:sdt>
              <w:sdtPr>
                <w:alias w:val="1 str. 1 d."/>
                <w:tag w:val="part_558a5d79c0604a689c27fc7763fb01d3"/>
                <w:lock w:val="sdtLocked"/>
                <w:richText/>
              </w:sdtPr>
              <w:sdtContent>
                <w:p>
                  <w:pPr>
                    <w:ind w:firstLine="709"/>
                    <w:jc w:val="both"/>
                    <w:rPr>
                      <w:rFonts w:eastAsia="Calibri"/>
                      <w:color w:val="000000"/>
                      <w:szCs w:val="24"/>
                    </w:rPr>
                  </w:pPr>
                  <w:sdt>
                    <w:sdtPr>
                      <w:alias w:val="Numeris"/>
                      <w:tag w:val="nr_558a5d79c0604a689c27fc7763fb01d3"/>
                      <w:lock w:val="sdtLocked"/>
                      <w:richText/>
                    </w:sdtPr>
                    <w:sdtContent>
                      <w:r>
                        <w:rPr>
                          <w:rFonts w:eastAsia="Calibri"/>
                          <w:color w:val="000000"/>
                          <w:szCs w:val="24"/>
                        </w:rPr>
                        <w:t>1</w:t>
                      </w:r>
                    </w:sdtContent>
                  </w:sdt>
                  <w:r>
                    <w:rPr>
                      <w:rFonts w:eastAsia="Calibri"/>
                      <w:color w:val="000000"/>
                      <w:szCs w:val="24"/>
                    </w:rPr>
                    <w:t>. Pakeisti 2 straipsnio 3 dalį ir ją išdėstyti taip:</w:t>
                  </w:r>
                </w:p>
                <w:sdt>
                  <w:sdtPr>
                    <w:alias w:val="citata"/>
                    <w:tag w:val="part_948bf558d8ca4a3d8c93d21dd4a8d4a7"/>
                    <w:lock w:val="sdtLocked"/>
                    <w:richText/>
                  </w:sdtPr>
                  <w:sdtContent>
                    <w:sdt>
                      <w:sdtPr>
                        <w:alias w:val="3 d."/>
                        <w:tag w:val="part_21772c7e1789473c989c6aac629d5683"/>
                        <w:lock w:val="sdtLocked"/>
                        <w:richText/>
                      </w:sdtPr>
                      <w:sdtContent>
                        <w:p>
                          <w:pPr>
                            <w:ind w:firstLine="709"/>
                            <w:jc w:val="both"/>
                            <w:rPr>
                              <w:rFonts w:eastAsia="Calibri"/>
                              <w:szCs w:val="24"/>
                            </w:rPr>
                          </w:pPr>
                          <w:r>
                            <w:rPr>
                              <w:rFonts w:eastAsia="Calibri"/>
                              <w:szCs w:val="24"/>
                            </w:rPr>
                            <w:t>„</w:t>
                          </w:r>
                          <w:sdt>
                            <w:sdtPr>
                              <w:alias w:val="Numeris"/>
                              <w:tag w:val="nr_21772c7e1789473c989c6aac629d5683"/>
                              <w:lock w:val="sdtLocked"/>
                              <w:richText/>
                            </w:sdtPr>
                            <w:sdtContent>
                              <w:r>
                                <w:rPr>
                                  <w:rFonts w:eastAsia="Calibri"/>
                                  <w:szCs w:val="24"/>
                                </w:rPr>
                                <w:t>3</w:t>
                              </w:r>
                            </w:sdtContent>
                          </w:sdt>
                          <w:r>
                            <w:rPr>
                              <w:rFonts w:eastAsia="Calibri"/>
                              <w:szCs w:val="24"/>
                            </w:rPr>
                            <w:t xml:space="preserve">. </w:t>
                          </w:r>
                          <w:r>
                            <w:rPr>
                              <w:rFonts w:eastAsia="Calibri"/>
                              <w:b/>
                              <w:bCs/>
                              <w:szCs w:val="24"/>
                            </w:rPr>
                            <w:t>Europos bendrijos svarbos rūšys</w:t>
                          </w:r>
                          <w:r>
                            <w:rPr>
                              <w:rFonts w:eastAsia="Calibri"/>
                              <w:szCs w:val="24"/>
                            </w:rPr>
                            <w:t xml:space="preserve"> – gyvūnų ir augalų, egzistuojančių europinėje teritorijoje </w:t>
                          </w:r>
                          <w:r>
                            <w:rPr>
                              <w:rFonts w:eastAsia="Calibri"/>
                              <w:color w:val="000000"/>
                              <w:szCs w:val="24"/>
                            </w:rPr>
                            <w:t>valstybių</w:t>
                          </w:r>
                          <w:r>
                            <w:rPr>
                              <w:rFonts w:eastAsia="Calibri"/>
                              <w:szCs w:val="24"/>
                            </w:rPr>
                            <w:t xml:space="preserve"> narių, kurioms taikoma Sutartis</w:t>
                          </w:r>
                          <w:r>
                            <w:rPr>
                              <w:rFonts w:eastAsia="Calibri"/>
                              <w:b/>
                              <w:szCs w:val="24"/>
                            </w:rPr>
                            <w:t xml:space="preserve"> </w:t>
                          </w:r>
                          <w:r>
                            <w:rPr>
                              <w:rFonts w:eastAsia="Calibri"/>
                              <w:szCs w:val="24"/>
                            </w:rPr>
                            <w:t>dėl Europos Sąjungos veikimo, rūšys, kurios:</w:t>
                          </w:r>
                        </w:p>
                        <w:sdt>
                          <w:sdtPr>
                            <w:alias w:val="3 d. 1 p."/>
                            <w:tag w:val="part_59c62c10a09242b5a1bcfdba611a51a1"/>
                            <w:lock w:val="sdtLocked"/>
                            <w:richText/>
                          </w:sdtPr>
                          <w:sdtContent>
                            <w:p>
                              <w:pPr>
                                <w:ind w:firstLine="709"/>
                                <w:jc w:val="both"/>
                                <w:rPr>
                                  <w:rFonts w:eastAsia="Calibri"/>
                                  <w:szCs w:val="24"/>
                                </w:rPr>
                              </w:pPr>
                              <w:sdt>
                                <w:sdtPr>
                                  <w:alias w:val="Numeris"/>
                                  <w:tag w:val="nr_59c62c10a09242b5a1bcfdba611a51a1"/>
                                  <w:lock w:val="sdtLocked"/>
                                  <w:richText/>
                                </w:sdtPr>
                                <w:sdtContent>
                                  <w:r>
                                    <w:rPr>
                                      <w:rFonts w:eastAsia="Calibri"/>
                                      <w:szCs w:val="24"/>
                                    </w:rPr>
                                    <w:t>1</w:t>
                                  </w:r>
                                </w:sdtContent>
                              </w:sdt>
                              <w:r>
                                <w:rPr>
                                  <w:rFonts w:eastAsia="Calibri"/>
                                  <w:szCs w:val="24"/>
                                </w:rPr>
                                <w:t>) yra nykstančios, išskyrus rūšis, kurių natūralaus arealo pakraščio dalis toje teritorijoje yra nedidelė ir kurioms negresia išnykimas ar kurios nėra pažeidžiamos Vakarų Palearktikos regione;</w:t>
                              </w:r>
                            </w:p>
                          </w:sdtContent>
                        </w:sdt>
                        <w:sdt>
                          <w:sdtPr>
                            <w:alias w:val="3 d. 2 p."/>
                            <w:tag w:val="part_31cdaec76afe465b8da4f69c0a317bfc"/>
                            <w:lock w:val="sdtLocked"/>
                            <w:richText/>
                          </w:sdtPr>
                          <w:sdtContent>
                            <w:p>
                              <w:pPr>
                                <w:ind w:firstLine="709"/>
                                <w:jc w:val="both"/>
                                <w:rPr>
                                  <w:rFonts w:eastAsia="Calibri"/>
                                  <w:szCs w:val="24"/>
                                </w:rPr>
                              </w:pPr>
                              <w:sdt>
                                <w:sdtPr>
                                  <w:alias w:val="Numeris"/>
                                  <w:tag w:val="nr_31cdaec76afe465b8da4f69c0a317bfc"/>
                                  <w:lock w:val="sdtLocked"/>
                                  <w:richText/>
                                </w:sdtPr>
                                <w:sdtContent>
                                  <w:r>
                                    <w:rPr>
                                      <w:rFonts w:eastAsia="Calibri"/>
                                      <w:szCs w:val="24"/>
                                    </w:rPr>
                                    <w:t>2</w:t>
                                  </w:r>
                                </w:sdtContent>
                              </w:sdt>
                              <w:r>
                                <w:rPr>
                                  <w:rFonts w:eastAsia="Calibri"/>
                                  <w:szCs w:val="24"/>
                                </w:rPr>
                                <w:t>) yra pažeidžiamos, tai yra manoma, kad netolimoje ateityje jos gali būti priskirtos nykstančiųjų kategorijai, jei ir toliau veiks tai lemiantys veiksniai;</w:t>
                              </w:r>
                            </w:p>
                          </w:sdtContent>
                        </w:sdt>
                        <w:sdt>
                          <w:sdtPr>
                            <w:alias w:val="3 d. 3 p."/>
                            <w:tag w:val="part_934d9ec768c74aaea91390b73cc6d815"/>
                            <w:lock w:val="sdtLocked"/>
                            <w:richText/>
                          </w:sdtPr>
                          <w:sdtContent>
                            <w:p>
                              <w:pPr>
                                <w:ind w:firstLine="709"/>
                                <w:jc w:val="both"/>
                                <w:rPr>
                                  <w:rFonts w:eastAsia="Calibri"/>
                                  <w:szCs w:val="24"/>
                                </w:rPr>
                              </w:pPr>
                              <w:sdt>
                                <w:sdtPr>
                                  <w:alias w:val="Numeris"/>
                                  <w:tag w:val="nr_934d9ec768c74aaea91390b73cc6d815"/>
                                  <w:lock w:val="sdtLocked"/>
                                  <w:richText/>
                                </w:sdtPr>
                                <w:sdtContent>
                                  <w:r>
                                    <w:rPr>
                                      <w:rFonts w:eastAsia="Calibri"/>
                                      <w:szCs w:val="24"/>
                                    </w:rPr>
                                    <w:t>3</w:t>
                                  </w:r>
                                </w:sdtContent>
                              </w:sdt>
                              <w:r>
                                <w:rPr>
                                  <w:rFonts w:eastAsia="Calibri"/>
                                  <w:szCs w:val="24"/>
                                </w:rPr>
                                <w:t>) yra retos, tai yra rūšys, kurių mažos populiacijos šiuo metu nėra nykstančios ar pažeidžiamos, bet yra pavojus, kad jos gali tokiomis tapti dėl to, kad rūšys gyvena geografiškai apribotose teritorijose arba yra retai išsidėsčiusios didesniame areale;</w:t>
                              </w:r>
                            </w:p>
                          </w:sdtContent>
                        </w:sdt>
                        <w:sdt>
                          <w:sdtPr>
                            <w:alias w:val="3 d. 4 p."/>
                            <w:tag w:val="part_1c5b53a9270645649bacffd6baf3b71c"/>
                            <w:lock w:val="sdtLocked"/>
                            <w:richText/>
                          </w:sdtPr>
                          <w:sdtContent>
                            <w:p>
                              <w:pPr>
                                <w:ind w:firstLine="709"/>
                                <w:jc w:val="both"/>
                                <w:rPr>
                                  <w:rFonts w:eastAsia="Calibri"/>
                                  <w:szCs w:val="24"/>
                                </w:rPr>
                              </w:pPr>
                              <w:sdt>
                                <w:sdtPr>
                                  <w:alias w:val="Numeris"/>
                                  <w:tag w:val="nr_1c5b53a9270645649bacffd6baf3b71c"/>
                                  <w:lock w:val="sdtLocked"/>
                                  <w:richText/>
                                </w:sdtPr>
                                <w:sdtContent>
                                  <w:r>
                                    <w:rPr>
                                      <w:rFonts w:eastAsia="Calibri"/>
                                      <w:szCs w:val="24"/>
                                    </w:rPr>
                                    <w:t>4</w:t>
                                  </w:r>
                                </w:sdtContent>
                              </w:sdt>
                              <w:r>
                                <w:rPr>
                                  <w:rFonts w:eastAsia="Calibri"/>
                                  <w:szCs w:val="24"/>
                                </w:rPr>
                                <w:t>) yra endeminės ir joms reikalingas išskirtinis dėmesys dėl specifinio jų buveinės pobūdžio ir (arba) dėl jų naudojimo galimo poveikio jų buveinei ir (arba) jų apsaugos būklei;</w:t>
                              </w:r>
                            </w:p>
                          </w:sdtContent>
                        </w:sdt>
                        <w:sdt>
                          <w:sdtPr>
                            <w:alias w:val="3 d. 5 p."/>
                            <w:tag w:val="part_8f1f1d0541ee4fa2bb9252005d34cb41"/>
                            <w:lock w:val="sdtLocked"/>
                            <w:richText/>
                          </w:sdtPr>
                          <w:sdtContent>
                            <w:p>
                              <w:pPr>
                                <w:ind w:firstLine="709"/>
                                <w:jc w:val="both"/>
                                <w:rPr>
                                  <w:rFonts w:eastAsia="Calibri"/>
                                  <w:szCs w:val="24"/>
                                </w:rPr>
                              </w:pPr>
                              <w:sdt>
                                <w:sdtPr>
                                  <w:alias w:val="Numeris"/>
                                  <w:tag w:val="nr_8f1f1d0541ee4fa2bb9252005d34cb41"/>
                                  <w:lock w:val="sdtLocked"/>
                                  <w:richText/>
                                </w:sdtPr>
                                <w:sdtContent>
                                  <w:r>
                                    <w:rPr>
                                      <w:rFonts w:eastAsia="Calibri"/>
                                      <w:szCs w:val="24"/>
                                    </w:rPr>
                                    <w:t>5</w:t>
                                  </w:r>
                                </w:sdtContent>
                              </w:sdt>
                              <w:r>
                                <w:rPr>
                                  <w:rFonts w:eastAsia="Calibri"/>
                                  <w:szCs w:val="24"/>
                                </w:rPr>
                                <w:t>) yra išvardytos šios dalies 1–4 punktuose ir yra arba gali būti įtrauktos į šio įstatymo 2 priedo 2 punkte nurodyto Europos Sąjungos teisės akto II ir (arba) IV ar V priedus.“</w:t>
                              </w:r>
                            </w:p>
                          </w:sdtContent>
                        </w:sdt>
                      </w:sdtContent>
                    </w:sdt>
                  </w:sdtContent>
                </w:sdt>
              </w:sdtContent>
            </w:sdt>
            <w:sdt>
              <w:sdtPr>
                <w:alias w:val="1 str. 2 d."/>
                <w:tag w:val="part_faf730f8bd034fb4952ed43a3c8c8b88"/>
                <w:lock w:val="sdtLocked"/>
                <w:richText/>
              </w:sdtPr>
              <w:sdtContent>
                <w:p>
                  <w:pPr>
                    <w:ind w:firstLine="709"/>
                    <w:jc w:val="both"/>
                    <w:rPr>
                      <w:rFonts w:eastAsia="Calibri"/>
                      <w:color w:val="000000"/>
                      <w:szCs w:val="24"/>
                    </w:rPr>
                  </w:pPr>
                  <w:sdt>
                    <w:sdtPr>
                      <w:alias w:val="Numeris"/>
                      <w:tag w:val="nr_faf730f8bd034fb4952ed43a3c8c8b88"/>
                      <w:lock w:val="sdtLocked"/>
                      <w:richText/>
                    </w:sdtPr>
                    <w:sdtContent>
                      <w:r>
                        <w:rPr>
                          <w:rFonts w:eastAsia="Calibri"/>
                          <w:color w:val="000000"/>
                          <w:szCs w:val="24"/>
                        </w:rPr>
                        <w:t>2</w:t>
                      </w:r>
                    </w:sdtContent>
                  </w:sdt>
                  <w:r>
                    <w:rPr>
                      <w:rFonts w:eastAsia="Calibri"/>
                      <w:color w:val="000000"/>
                      <w:szCs w:val="24"/>
                    </w:rPr>
                    <w:t>. Pakeisti 2 straipsnio 11 dalį ir ją išdėstyti taip:</w:t>
                  </w:r>
                </w:p>
                <w:sdt>
                  <w:sdtPr>
                    <w:alias w:val="citata"/>
                    <w:tag w:val="part_a1cad50af69e404d97654e6e8b4639bb"/>
                    <w:lock w:val="sdtLocked"/>
                    <w:richText/>
                  </w:sdtPr>
                  <w:sdtContent>
                    <w:sdt>
                      <w:sdtPr>
                        <w:alias w:val="11 d."/>
                        <w:tag w:val="part_66e40b533f2645d79fe4d60974dd7c63"/>
                        <w:lock w:val="sdtLocked"/>
                        <w:richText/>
                      </w:sdtPr>
                      <w:sdtContent>
                        <w:p>
                          <w:pPr>
                            <w:ind w:firstLine="709"/>
                            <w:jc w:val="both"/>
                            <w:rPr>
                              <w:rFonts w:eastAsia="Calibri"/>
                              <w:szCs w:val="24"/>
                            </w:rPr>
                          </w:pPr>
                          <w:r>
                            <w:rPr>
                              <w:rFonts w:eastAsia="Calibri"/>
                              <w:szCs w:val="24"/>
                            </w:rPr>
                            <w:t>„</w:t>
                          </w:r>
                          <w:sdt>
                            <w:sdtPr>
                              <w:alias w:val="Numeris"/>
                              <w:tag w:val="nr_66e40b533f2645d79fe4d60974dd7c63"/>
                              <w:lock w:val="sdtLocked"/>
                              <w:richText/>
                            </w:sdtPr>
                            <w:sdtContent>
                              <w:r>
                                <w:rPr>
                                  <w:rFonts w:eastAsia="Calibri"/>
                                  <w:szCs w:val="24"/>
                                </w:rPr>
                                <w:t>11</w:t>
                              </w:r>
                            </w:sdtContent>
                          </w:sdt>
                          <w:r>
                            <w:rPr>
                              <w:rFonts w:eastAsia="Calibri"/>
                              <w:szCs w:val="24"/>
                            </w:rPr>
                            <w:t>.</w:t>
                          </w:r>
                          <w:r>
                            <w:rPr>
                              <w:rFonts w:eastAsia="Calibri"/>
                              <w:b/>
                              <w:bCs/>
                              <w:szCs w:val="24"/>
                            </w:rPr>
                            <w:t xml:space="preserve"> Prioritetinė Europos bendrijos svarbos rūšis</w:t>
                          </w:r>
                          <w:r>
                            <w:rPr>
                              <w:rFonts w:eastAsia="Calibri"/>
                              <w:szCs w:val="24"/>
                            </w:rPr>
                            <w:t xml:space="preserve"> – šio straipsnio 3 dalies 1 punkte nurodyta augalų ar gyvūnų rūšis, už kurios apsaugą Europos bendrija yra ypač atsakinga dėl to, kad didelė jų natūralaus paplitimo arealo dalis patenka į europinę teritoriją valstybių narių, kurioms taikoma Sutartis dėl Europos Sąjungos veikimo.“</w:t>
                          </w:r>
                        </w:p>
                      </w:sdtContent>
                    </w:sdt>
                  </w:sdtContent>
                </w:sdt>
              </w:sdtContent>
            </w:sdt>
            <w:sdt>
              <w:sdtPr>
                <w:alias w:val="1 str. 3 d."/>
                <w:tag w:val="part_b4812b05c06f4059834c6af4f7923c64"/>
                <w:lock w:val="sdtLocked"/>
                <w:richText/>
              </w:sdtPr>
              <w:sdtContent>
                <w:p>
                  <w:pPr>
                    <w:ind w:firstLine="709"/>
                    <w:jc w:val="both"/>
                    <w:rPr>
                      <w:rFonts w:eastAsia="Calibri"/>
                      <w:color w:val="000000"/>
                      <w:szCs w:val="24"/>
                    </w:rPr>
                  </w:pPr>
                  <w:sdt>
                    <w:sdtPr>
                      <w:alias w:val="Numeris"/>
                      <w:tag w:val="nr_b4812b05c06f4059834c6af4f7923c64"/>
                      <w:lock w:val="sdtLocked"/>
                      <w:richText/>
                    </w:sdtPr>
                    <w:sdtContent>
                      <w:r>
                        <w:rPr>
                          <w:rFonts w:eastAsia="Calibri"/>
                          <w:color w:val="000000"/>
                          <w:szCs w:val="24"/>
                        </w:rPr>
                        <w:t>3</w:t>
                      </w:r>
                    </w:sdtContent>
                  </w:sdt>
                  <w:r>
                    <w:rPr>
                      <w:rFonts w:eastAsia="Calibri"/>
                      <w:color w:val="000000"/>
                      <w:szCs w:val="24"/>
                    </w:rPr>
                    <w:t>. Pakeisti 2 straipsnio 14 dalį ir ją išdėstyti taip:</w:t>
                  </w:r>
                </w:p>
                <w:sdt>
                  <w:sdtPr>
                    <w:alias w:val="citata"/>
                    <w:tag w:val="part_9df85dc257974e7393b2a3d6c41c3a1d"/>
                    <w:lock w:val="sdtLocked"/>
                    <w:richText/>
                  </w:sdtPr>
                  <w:sdtContent>
                    <w:sdt>
                      <w:sdtPr>
                        <w:alias w:val="14 d."/>
                        <w:tag w:val="part_6b29550414bd4a28ba042f4b358211c2"/>
                        <w:lock w:val="sdtLocked"/>
                        <w:richText/>
                      </w:sdtPr>
                      <w:sdtContent>
                        <w:p>
                          <w:pPr>
                            <w:ind w:firstLine="709"/>
                            <w:jc w:val="both"/>
                            <w:rPr>
                              <w:rFonts w:eastAsia="Calibri"/>
                              <w:szCs w:val="24"/>
                            </w:rPr>
                          </w:pPr>
                          <w:r>
                            <w:rPr>
                              <w:rFonts w:eastAsia="Calibri"/>
                              <w:color w:val="000000"/>
                              <w:szCs w:val="24"/>
                            </w:rPr>
                            <w:t>„</w:t>
                          </w:r>
                          <w:sdt>
                            <w:sdtPr>
                              <w:alias w:val="Numeris"/>
                              <w:tag w:val="nr_6b29550414bd4a28ba042f4b358211c2"/>
                              <w:lock w:val="sdtLocked"/>
                              <w:richText/>
                            </w:sdtPr>
                            <w:sdtContent>
                              <w:r>
                                <w:rPr>
                                  <w:rFonts w:eastAsia="Calibri"/>
                                  <w:szCs w:val="24"/>
                                </w:rPr>
                                <w:t>14</w:t>
                              </w:r>
                            </w:sdtContent>
                          </w:sdt>
                          <w:r>
                            <w:rPr>
                              <w:rFonts w:eastAsia="Calibri"/>
                              <w:szCs w:val="24"/>
                            </w:rPr>
                            <w:t xml:space="preserve">. </w:t>
                          </w:r>
                          <w:r>
                            <w:rPr>
                              <w:rFonts w:eastAsia="Calibri"/>
                              <w:b/>
                              <w:bCs/>
                              <w:szCs w:val="24"/>
                            </w:rPr>
                            <w:t>Rūšies apsaugos būklė</w:t>
                          </w:r>
                          <w:r>
                            <w:rPr>
                              <w:rFonts w:eastAsia="Calibri"/>
                              <w:szCs w:val="24"/>
                            </w:rPr>
                            <w:t xml:space="preserve"> – rūšį veikiančių poveikių visuma, galinti turėti ilgalaikį poveikį rūšies paplitimui, jos populiacijų gausumui</w:t>
                          </w:r>
                          <w:r>
                            <w:rPr>
                              <w:rFonts w:eastAsia="Calibri"/>
                              <w:b/>
                              <w:szCs w:val="24"/>
                            </w:rPr>
                            <w:t xml:space="preserve">, </w:t>
                          </w:r>
                          <w:r>
                            <w:rPr>
                              <w:rFonts w:eastAsia="Calibri"/>
                              <w:szCs w:val="24"/>
                            </w:rPr>
                            <w:t>atsižvelgiant į vertinimą, europinėje teritorijoje valstybių narių, kurioms taikoma Sutartis dėl Europos Sąjungos veikimo, arba Lietuvos Respublikos teritorijoje, arba šios rūšies natūraliame areale.“</w:t>
                          </w:r>
                        </w:p>
                        <w:p>
                          <w:pPr>
                            <w:ind w:firstLine="709"/>
                            <w:jc w:val="both"/>
                            <w:rPr>
                              <w:rFonts w:eastAsia="Calibri"/>
                              <w:szCs w:val="24"/>
                            </w:rPr>
                          </w:pPr>
                        </w:p>
                      </w:sdtContent>
                    </w:sdt>
                  </w:sdtContent>
                </w:sdt>
              </w:sdtContent>
            </w:sdt>
          </w:sdtContent>
        </w:sdt>
        <w:sdt>
          <w:sdtPr>
            <w:alias w:val="2 str."/>
            <w:tag w:val="part_f3627de8b1b94911aaa75bff875fffac"/>
            <w:lock w:val="sdtLocked"/>
            <w:richText/>
          </w:sdtPr>
          <w:sdtContent>
            <w:p>
              <w:pPr>
                <w:ind w:firstLine="709"/>
                <w:jc w:val="both"/>
                <w:rPr>
                  <w:rFonts w:eastAsia="Calibri"/>
                  <w:b/>
                  <w:szCs w:val="24"/>
                </w:rPr>
              </w:pPr>
              <w:sdt>
                <w:sdtPr>
                  <w:alias w:val="Numeris"/>
                  <w:tag w:val="nr_f3627de8b1b94911aaa75bff875fffac"/>
                  <w:lock w:val="sdtLocked"/>
                  <w:richText/>
                </w:sdtPr>
                <w:sdtContent>
                  <w:r>
                    <w:rPr>
                      <w:rFonts w:eastAsia="Calibri"/>
                      <w:b/>
                      <w:szCs w:val="24"/>
                    </w:rPr>
                    <w:t>2</w:t>
                  </w:r>
                </w:sdtContent>
              </w:sdt>
              <w:r>
                <w:rPr>
                  <w:rFonts w:eastAsia="Calibri"/>
                  <w:b/>
                  <w:szCs w:val="24"/>
                </w:rPr>
                <w:t xml:space="preserve"> straipsnis. </w:t>
              </w:r>
              <w:sdt>
                <w:sdtPr>
                  <w:alias w:val="Pavadinimas"/>
                  <w:tag w:val="title_f3627de8b1b94911aaa75bff875fffac"/>
                  <w:lock w:val="sdtLocked"/>
                  <w:richText/>
                </w:sdtPr>
                <w:sdtContent>
                  <w:r>
                    <w:rPr>
                      <w:rFonts w:eastAsia="Calibri"/>
                      <w:b/>
                      <w:szCs w:val="24"/>
                    </w:rPr>
                    <w:t>15 straipsnio pakeitimas</w:t>
                  </w:r>
                </w:sdtContent>
              </w:sdt>
            </w:p>
            <w:sdt>
              <w:sdtPr>
                <w:alias w:val="2 str. 1 d."/>
                <w:tag w:val="part_1e10a24797e34af0a15c0d6d3afceff9"/>
                <w:lock w:val="sdtLocked"/>
                <w:richText/>
              </w:sdtPr>
              <w:sdtContent>
                <w:p>
                  <w:pPr>
                    <w:ind w:firstLine="709"/>
                    <w:jc w:val="both"/>
                    <w:rPr>
                      <w:rFonts w:eastAsia="Calibri"/>
                      <w:szCs w:val="24"/>
                    </w:rPr>
                  </w:pPr>
                  <w:sdt>
                    <w:sdtPr>
                      <w:alias w:val="Numeris"/>
                      <w:tag w:val="nr_1e10a24797e34af0a15c0d6d3afceff9"/>
                      <w:lock w:val="sdtLocked"/>
                      <w:richText/>
                    </w:sdtPr>
                    <w:sdtContent>
                      <w:r>
                        <w:rPr>
                          <w:rFonts w:eastAsia="Calibri"/>
                          <w:szCs w:val="24"/>
                        </w:rPr>
                        <w:t>1</w:t>
                      </w:r>
                    </w:sdtContent>
                  </w:sdt>
                  <w:r>
                    <w:rPr>
                      <w:rFonts w:eastAsia="Calibri"/>
                      <w:szCs w:val="24"/>
                    </w:rPr>
                    <w:t>. Papildyti 15 straipsnio 2 dalį 3 punktu:</w:t>
                  </w:r>
                </w:p>
                <w:sdt>
                  <w:sdtPr>
                    <w:alias w:val="citata"/>
                    <w:tag w:val="part_bee5104f1a4a49aabb0ddaa9fd246a14"/>
                    <w:lock w:val="sdtLocked"/>
                    <w:richText/>
                  </w:sdtPr>
                  <w:sdtContent>
                    <w:sdt>
                      <w:sdtPr>
                        <w:alias w:val="3 p."/>
                        <w:tag w:val="part_6421195613ae4430aa4931353deb5178"/>
                        <w:lock w:val="sdtLocked"/>
                        <w:richText/>
                      </w:sdtPr>
                      <w:sdtContent>
                        <w:p>
                          <w:pPr>
                            <w:ind w:firstLine="709"/>
                            <w:jc w:val="both"/>
                            <w:rPr>
                              <w:rFonts w:eastAsia="Calibri"/>
                              <w:szCs w:val="24"/>
                            </w:rPr>
                          </w:pPr>
                          <w:r>
                            <w:rPr>
                              <w:rFonts w:eastAsia="Calibri"/>
                              <w:szCs w:val="24"/>
                            </w:rPr>
                            <w:t>„</w:t>
                          </w:r>
                          <w:sdt>
                            <w:sdtPr>
                              <w:alias w:val="Numeris"/>
                              <w:tag w:val="nr_6421195613ae4430aa4931353deb5178"/>
                              <w:lock w:val="sdtLocked"/>
                              <w:richText/>
                            </w:sdtPr>
                            <w:sdtContent>
                              <w:r>
                                <w:rPr>
                                  <w:rFonts w:eastAsia="Calibri"/>
                                  <w:szCs w:val="24"/>
                                </w:rPr>
                                <w:t>3</w:t>
                              </w:r>
                            </w:sdtContent>
                          </w:sdt>
                          <w:r>
                            <w:rPr>
                              <w:rFonts w:eastAsia="Calibri"/>
                              <w:szCs w:val="24"/>
                            </w:rPr>
                            <w:t xml:space="preserve">) visą paukščio lizdo medžiagą ar jos dalį perkelia į kitą vietą artimoje aplinkoje arba ant artimoje aplinkoje įrengtos atitinkamai paukščių rūšiai tinkamos dirbtinės lizdavietės arba pritaiko lizdo aplinkos sąlygas siekdamas, kad  paukščiai toliau perėtų toje vietoje ar artimoje aplinkoje ir perėjimas būtų jiems saugesnis arba darytų mažiau žalos ūkinės veiklos objektams.“</w:t>
                          </w:r>
                        </w:p>
                      </w:sdtContent>
                    </w:sdt>
                  </w:sdtContent>
                </w:sdt>
              </w:sdtContent>
            </w:sdt>
            <w:sdt>
              <w:sdtPr>
                <w:alias w:val="2 str. 2 d."/>
                <w:tag w:val="part_7a49c156cfb9463093986d1d44ff602a"/>
                <w:lock w:val="sdtLocked"/>
                <w:richText/>
              </w:sdtPr>
              <w:sdtContent>
                <w:p>
                  <w:pPr>
                    <w:ind w:firstLine="709"/>
                    <w:jc w:val="both"/>
                    <w:rPr>
                      <w:rFonts w:eastAsia="Calibri"/>
                      <w:szCs w:val="24"/>
                    </w:rPr>
                  </w:pPr>
                  <w:sdt>
                    <w:sdtPr>
                      <w:alias w:val="Numeris"/>
                      <w:tag w:val="nr_7a49c156cfb9463093986d1d44ff602a"/>
                      <w:lock w:val="sdtLocked"/>
                      <w:richText/>
                    </w:sdtPr>
                    <w:sdtContent>
                      <w:r>
                        <w:rPr>
                          <w:rFonts w:eastAsia="Calibri"/>
                          <w:szCs w:val="24"/>
                        </w:rPr>
                        <w:t>2</w:t>
                      </w:r>
                    </w:sdtContent>
                  </w:sdt>
                  <w:r>
                    <w:rPr>
                      <w:rFonts w:eastAsia="Calibri"/>
                      <w:szCs w:val="24"/>
                    </w:rPr>
                    <w:t>. Papildyti 15 straipsnį 4 dalimi:</w:t>
                  </w:r>
                </w:p>
                <w:sdt>
                  <w:sdtPr>
                    <w:alias w:val="citata"/>
                    <w:tag w:val="part_8cb4d609da6d4d87a63a1d3b46ceac2c"/>
                    <w:lock w:val="sdtLocked"/>
                    <w:richText/>
                  </w:sdtPr>
                  <w:sdtContent>
                    <w:sdt>
                      <w:sdtPr>
                        <w:alias w:val="4 d."/>
                        <w:tag w:val="part_8aeb2ae6060c4f76bbd660263450ac30"/>
                        <w:lock w:val="sdtLocked"/>
                        <w:richText/>
                      </w:sdtPr>
                      <w:sdtContent>
                        <w:p>
                          <w:pPr>
                            <w:ind w:firstLine="709"/>
                            <w:jc w:val="both"/>
                            <w:rPr>
                              <w:rFonts w:eastAsia="Calibri"/>
                              <w:szCs w:val="24"/>
                            </w:rPr>
                          </w:pPr>
                          <w:r>
                            <w:rPr>
                              <w:rFonts w:eastAsia="Calibri"/>
                              <w:szCs w:val="24"/>
                            </w:rPr>
                            <w:t>„</w:t>
                          </w:r>
                          <w:sdt>
                            <w:sdtPr>
                              <w:alias w:val="Numeris"/>
                              <w:tag w:val="nr_8aeb2ae6060c4f76bbd660263450ac30"/>
                              <w:lock w:val="sdtLocked"/>
                              <w:richText/>
                            </w:sdtPr>
                            <w:sdtContent>
                              <w:r>
                                <w:rPr>
                                  <w:rFonts w:eastAsia="Calibri"/>
                                  <w:szCs w:val="24"/>
                                </w:rPr>
                                <w:t>4</w:t>
                              </w:r>
                            </w:sdtContent>
                          </w:sdt>
                          <w:r>
                            <w:rPr>
                              <w:rFonts w:eastAsia="Calibri"/>
                              <w:szCs w:val="24"/>
                            </w:rPr>
                            <w:t>. Taikant šio įstatymo 16 straipsnio numatytas išimtis dėl tyčinio baltųjų gandrų lizdų naikinimo arba pažeidimo, būtina įgyvendinti kompensacines priemones – dirbtinių lizdaviečių įrengimą artimoje aplinkoje. Ši sąlyga įtraukiama į išduodamą šio įstatymo 16 straipsnyje nurodytą leidimą.“</w:t>
                          </w:r>
                        </w:p>
                        <w:p>
                          <w:pPr>
                            <w:ind w:firstLine="709"/>
                            <w:jc w:val="both"/>
                            <w:rPr>
                              <w:rFonts w:eastAsia="Calibri"/>
                              <w:szCs w:val="24"/>
                            </w:rPr>
                          </w:pPr>
                        </w:p>
                      </w:sdtContent>
                    </w:sdt>
                  </w:sdtContent>
                </w:sdt>
              </w:sdtContent>
            </w:sdt>
          </w:sdtContent>
        </w:sdt>
        <w:sdt>
          <w:sdtPr>
            <w:alias w:val="3 str."/>
            <w:tag w:val="part_66018e7d3287456bb3427701ebf89abd"/>
            <w:lock w:val="sdtLocked"/>
            <w:richText/>
          </w:sdtPr>
          <w:sdtContent>
            <w:p>
              <w:pPr>
                <w:shd w:val="clear" w:color="auto" w:fill="FFFFFF"/>
                <w:ind w:firstLine="720"/>
                <w:jc w:val="both"/>
                <w:rPr>
                  <w:b/>
                  <w:bCs/>
                  <w:color w:val="000000"/>
                  <w:szCs w:val="24"/>
                </w:rPr>
              </w:pPr>
              <w:sdt>
                <w:sdtPr>
                  <w:alias w:val="Numeris"/>
                  <w:tag w:val="nr_66018e7d3287456bb3427701ebf89abd"/>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66018e7d3287456bb3427701ebf89abd"/>
                  <w:lock w:val="sdtLocked"/>
                  <w:richText/>
                </w:sdtPr>
                <w:sdtContent>
                  <w:r>
                    <w:rPr>
                      <w:b/>
                      <w:bCs/>
                      <w:color w:val="000000"/>
                      <w:szCs w:val="24"/>
                    </w:rPr>
                    <w:t>Įstatymo 2 priedo pakeitimas</w:t>
                  </w:r>
                </w:sdtContent>
              </w:sdt>
            </w:p>
            <w:sdt>
              <w:sdtPr>
                <w:alias w:val="3 str. 1 d."/>
                <w:tag w:val="part_1aa967d89c8841adb589f3ce390930e5"/>
                <w:lock w:val="sdtLocked"/>
                <w:richText/>
              </w:sdtPr>
              <w:sdtContent>
                <w:p>
                  <w:pPr>
                    <w:shd w:val="clear" w:color="auto" w:fill="FFFFFF"/>
                    <w:ind w:firstLine="720"/>
                    <w:jc w:val="both"/>
                    <w:rPr>
                      <w:bCs/>
                      <w:color w:val="000000"/>
                      <w:szCs w:val="24"/>
                    </w:rPr>
                  </w:pPr>
                  <w:r>
                    <w:rPr>
                      <w:bCs/>
                      <w:color w:val="000000"/>
                      <w:szCs w:val="24"/>
                    </w:rPr>
                    <w:t>Pakeisti Įstatymo 2 priedą ir jį išdėstyti taip:</w:t>
                  </w:r>
                </w:p>
                <w:sdt>
                  <w:sdtPr>
                    <w:alias w:val="citata"/>
                    <w:tag w:val="part_4e3dc72293e84679bcc0c6158c4ddb97"/>
                    <w:lock w:val="sdtLocked"/>
                    <w:richText/>
                  </w:sdtPr>
                  <w:sdtContent>
                    <w:sdt>
                      <w:sdtPr>
                        <w:alias w:val="2 pr."/>
                        <w:tag w:val="part_a6fadd1bff8f49cc88e84815c9d0dcec"/>
                        <w:lock w:val="sdtLocked"/>
                        <w:richText/>
                      </w:sdtPr>
                      <w:sdtContent>
                        <w:p>
                          <w:pPr>
                            <w:ind w:left="6663"/>
                            <w:rPr>
                              <w:szCs w:val="24"/>
                            </w:rPr>
                          </w:pPr>
                          <w:r>
                            <w:rPr>
                              <w:bCs/>
                              <w:color w:val="000000"/>
                              <w:szCs w:val="24"/>
                            </w:rPr>
                            <w:t>„</w:t>
                          </w:r>
                          <w:r>
                            <w:rPr>
                              <w:szCs w:val="24"/>
                            </w:rPr>
                            <w:t>Lietuvos Respublikos</w:t>
                          </w:r>
                        </w:p>
                        <w:p>
                          <w:pPr>
                            <w:ind w:left="6663"/>
                            <w:rPr>
                              <w:szCs w:val="24"/>
                            </w:rPr>
                          </w:pPr>
                          <w:r>
                            <w:rPr>
                              <w:szCs w:val="24"/>
                            </w:rPr>
                            <w:t xml:space="preserve">saugomų gyvūnų, augalų, grybų rūšių įstatymo </w:t>
                          </w:r>
                        </w:p>
                        <w:p>
                          <w:pPr>
                            <w:ind w:left="6663"/>
                            <w:rPr>
                              <w:szCs w:val="24"/>
                            </w:rPr>
                          </w:pPr>
                          <w:sdt>
                            <w:sdtPr>
                              <w:alias w:val="Numeris"/>
                              <w:tag w:val="nr_a6fadd1bff8f49cc88e84815c9d0dcec"/>
                              <w:lock w:val="sdtLocked"/>
                              <w:richText/>
                            </w:sdtPr>
                            <w:sdtContent>
                              <w:r>
                                <w:rPr>
                                  <w:szCs w:val="24"/>
                                  <w:lang w:val="en-US"/>
                                </w:rPr>
                                <w:t>2</w:t>
                              </w:r>
                            </w:sdtContent>
                          </w:sdt>
                          <w:r>
                            <w:rPr>
                              <w:szCs w:val="24"/>
                              <w:lang w:val="en-US"/>
                            </w:rPr>
                            <w:t xml:space="preserve"> </w:t>
                          </w:r>
                          <w:r>
                            <w:rPr>
                              <w:szCs w:val="24"/>
                            </w:rPr>
                            <w:t>priedas</w:t>
                          </w:r>
                        </w:p>
                        <w:p>
                          <w:pPr>
                            <w:ind w:firstLine="720"/>
                            <w:rPr>
                              <w:szCs w:val="24"/>
                            </w:rPr>
                          </w:pPr>
                        </w:p>
                        <w:p>
                          <w:pPr>
                            <w:jc w:val="center"/>
                            <w:rPr>
                              <w:b/>
                              <w:szCs w:val="24"/>
                            </w:rPr>
                          </w:pPr>
                          <w:sdt>
                            <w:sdtPr>
                              <w:alias w:val="Pavadinimas"/>
                              <w:tag w:val="title_a6fadd1bff8f49cc88e84815c9d0dcec"/>
                              <w:lock w:val="sdtLocked"/>
                              <w:richText/>
                            </w:sdtPr>
                            <w:sdtContent>
                              <w:r>
                                <w:rPr>
                                  <w:b/>
                                  <w:szCs w:val="24"/>
                                </w:rPr>
                                <w:t>ĮGYVENDINAMI EUROPOS SĄJUNGOS TEISĖS AKTAI</w:t>
                              </w:r>
                            </w:sdtContent>
                          </w:sdt>
                        </w:p>
                        <w:p>
                          <w:pPr>
                            <w:ind w:firstLine="720"/>
                            <w:jc w:val="center"/>
                            <w:rPr>
                              <w:szCs w:val="24"/>
                            </w:rPr>
                          </w:pPr>
                        </w:p>
                        <w:sdt>
                          <w:sdtPr>
                            <w:alias w:val="2 pr. 1 p."/>
                            <w:tag w:val="part_3454497af89e43239967a13942af5bf1"/>
                            <w:lock w:val="sdtLocked"/>
                            <w:richText/>
                          </w:sdtPr>
                          <w:sdtContent>
                            <w:p>
                              <w:pPr>
                                <w:ind w:firstLine="782"/>
                                <w:jc w:val="both"/>
                                <w:rPr>
                                  <w:szCs w:val="24"/>
                                </w:rPr>
                              </w:pPr>
                              <w:sdt>
                                <w:sdtPr>
                                  <w:alias w:val="Numeris"/>
                                  <w:tag w:val="nr_3454497af89e43239967a13942af5bf1"/>
                                  <w:lock w:val="sdtLocked"/>
                                  <w:richText/>
                                </w:sdtPr>
                                <w:sdtContent>
                                  <w:r>
                                    <w:rPr>
                                      <w:szCs w:val="24"/>
                                    </w:rPr>
                                    <w:t>1</w:t>
                                  </w:r>
                                </w:sdtContent>
                              </w:sdt>
                              <w:r>
                                <w:rPr>
                                  <w:szCs w:val="24"/>
                                </w:rPr>
                                <w:t>. 1992 m. gegužės 21 d. Tarybos direktyva 92/43/EEB dėl natūralių buveinių ir laukinės faunos bei floros apsaugos (OL 2004 m.</w:t>
                              </w:r>
                              <w:r>
                                <w:rPr>
                                  <w:i/>
                                  <w:szCs w:val="24"/>
                                </w:rPr>
                                <w:t xml:space="preserve"> specialusis leidimas</w:t>
                              </w:r>
                              <w:r>
                                <w:rPr>
                                  <w:szCs w:val="24"/>
                                </w:rPr>
                                <w:t xml:space="preserve">, 15 skyrius, 2 tomas, p. 102) su paskutiniais pakeitimais, padarytais 1997 m. spalio 27 d. Tarybos direktyva 97/62/EB (OL </w:t>
                              </w:r>
                              <w:r>
                                <w:rPr>
                                  <w:i/>
                                  <w:szCs w:val="24"/>
                                </w:rPr>
                                <w:t xml:space="preserve">2004 m. </w:t>
                              </w:r>
                              <w:r>
                                <w:rPr>
                                  <w:szCs w:val="24"/>
                                </w:rPr>
                                <w:t>specialusis leidimas, 15 skyrius, 4 tomas, p. 3).</w:t>
                              </w:r>
                            </w:p>
                          </w:sdtContent>
                        </w:sdt>
                        <w:sdt>
                          <w:sdtPr>
                            <w:alias w:val="2 pr. 2 p."/>
                            <w:tag w:val="part_2b96bd8dc5a449259474a58f8608caf6"/>
                            <w:lock w:val="sdtLocked"/>
                            <w:richText/>
                          </w:sdtPr>
                          <w:sdtContent>
                            <w:p>
                              <w:pPr>
                                <w:ind w:firstLine="720"/>
                                <w:jc w:val="both"/>
                                <w:rPr>
                                  <w:szCs w:val="24"/>
                                </w:rPr>
                              </w:pPr>
                              <w:sdt>
                                <w:sdtPr>
                                  <w:alias w:val="Numeris"/>
                                  <w:tag w:val="nr_2b96bd8dc5a449259474a58f8608caf6"/>
                                  <w:lock w:val="sdtLocked"/>
                                  <w:richText/>
                                </w:sdtPr>
                                <w:sdtContent>
                                  <w:r>
                                    <w:rPr>
                                      <w:szCs w:val="24"/>
                                    </w:rPr>
                                    <w:t>2</w:t>
                                  </w:r>
                                </w:sdtContent>
                              </w:sdt>
                              <w:r>
                                <w:rPr>
                                  <w:szCs w:val="24"/>
                                </w:rPr>
                                <w:t xml:space="preserve">. </w:t>
                              </w:r>
                              <w:r>
                                <w:rPr>
                                  <w:bCs/>
                                  <w:color w:val="000000"/>
                                  <w:szCs w:val="24"/>
                                </w:rPr>
                                <w:t xml:space="preserve">2004 m. balandžio 21 d. Europos Parlamento ir Tarybos direktyva 2004/35/EB dėl atsakomybės už aplinkos apsaugą siekiant išvengti žalos aplinkai ir ją ištaisyti (atlyginti) (OL 2004 m. </w:t>
                              </w:r>
                              <w:r>
                                <w:rPr>
                                  <w:bCs/>
                                  <w:i/>
                                  <w:color w:val="000000"/>
                                  <w:szCs w:val="24"/>
                                </w:rPr>
                                <w:t>specialusis leidimas</w:t>
                              </w:r>
                              <w:r>
                                <w:rPr>
                                  <w:bCs/>
                                  <w:color w:val="000000"/>
                                  <w:szCs w:val="24"/>
                                </w:rPr>
                                <w:t>, 15 skyrius, 8 tomas, p. 357) su paskutiniais pakeitimais, padarytais 2009 m. balandžio 23 d. Europos Parlamento ir Tarybos direktyva 2009/31/EB (OL 2009 L 140, p. 114).</w:t>
                              </w:r>
                            </w:p>
                          </w:sdtContent>
                        </w:sdt>
                        <w:sdt>
                          <w:sdtPr>
                            <w:alias w:val="2 pr. 3 p."/>
                            <w:tag w:val="part_d6f91d7626d5454293abf63f37bfa674"/>
                            <w:lock w:val="sdtLocked"/>
                            <w:richText/>
                          </w:sdtPr>
                          <w:sdtContent>
                            <w:p>
                              <w:pPr>
                                <w:ind w:firstLine="720"/>
                                <w:jc w:val="both"/>
                                <w:rPr>
                                  <w:szCs w:val="24"/>
                                </w:rPr>
                              </w:pPr>
                              <w:sdt>
                                <w:sdtPr>
                                  <w:alias w:val="Numeris"/>
                                  <w:tag w:val="nr_d6f91d7626d5454293abf63f37bfa674"/>
                                  <w:lock w:val="sdtLocked"/>
                                  <w:richText/>
                                </w:sdtPr>
                                <w:sdtContent>
                                  <w:r>
                                    <w:rPr>
                                      <w:szCs w:val="24"/>
                                    </w:rPr>
                                    <w:t>3</w:t>
                                  </w:r>
                                </w:sdtContent>
                              </w:sdt>
                              <w:r>
                                <w:rPr>
                                  <w:szCs w:val="24"/>
                                </w:rPr>
                                <w:t xml:space="preserve">. </w:t>
                              </w:r>
                              <w:r>
                                <w:rPr>
                                  <w:bCs/>
                                  <w:color w:val="000000"/>
                                  <w:szCs w:val="24"/>
                                </w:rPr>
                                <w:t>2009 m. lapkričio 30 d. Europos Parlamento ir Tarybos direktyva 2009/147/EB dėl laukinių paukščių apsaugos (kodifikuota redakcija) (OL 2010 L 20, p. 7) su paskutiniais pakeitimais, padarytais 2013 m. gegužės 13 d. Tarybos direktyva 2013/17/ES (OL 2013 L, p. 193).“</w:t>
                              </w:r>
                            </w:p>
                            <w:p>
                              <w:pPr>
                                <w:ind w:firstLine="709"/>
                                <w:jc w:val="both"/>
                                <w:rPr>
                                  <w:rFonts w:eastAsia="Calibri"/>
                                  <w:b/>
                                  <w:bCs/>
                                  <w:color w:val="000000"/>
                                  <w:szCs w:val="24"/>
                                </w:rPr>
                              </w:pPr>
                            </w:p>
                            <w:p>
                              <w:pPr>
                                <w:ind w:firstLine="709"/>
                                <w:jc w:val="both"/>
                                <w:rPr>
                                  <w:rFonts w:eastAsia="Calibri"/>
                                  <w:b/>
                                  <w:bCs/>
                                  <w:color w:val="000000"/>
                                  <w:szCs w:val="24"/>
                                </w:rPr>
                              </w:pPr>
                            </w:p>
                          </w:sdtContent>
                        </w:sdt>
                      </w:sdtContent>
                    </w:sdt>
                  </w:sdtContent>
                </w:sdt>
              </w:sdtContent>
            </w:sdt>
          </w:sdtContent>
        </w:sdt>
        <w:sdt>
          <w:sdtPr>
            <w:alias w:val="4 str."/>
            <w:tag w:val="part_8bf2e7ea1117483b8679358d17978b0b"/>
            <w:lock w:val="sdtLocked"/>
            <w:richText/>
          </w:sdtPr>
          <w:sdtContent>
            <w:p>
              <w:pPr>
                <w:ind w:firstLine="709"/>
                <w:jc w:val="both"/>
                <w:rPr>
                  <w:rFonts w:eastAsia="Calibri"/>
                  <w:b/>
                  <w:bCs/>
                  <w:color w:val="000000"/>
                  <w:szCs w:val="24"/>
                </w:rPr>
              </w:pPr>
              <w:sdt>
                <w:sdtPr>
                  <w:alias w:val="Numeris"/>
                  <w:tag w:val="nr_8bf2e7ea1117483b8679358d17978b0b"/>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8bf2e7ea1117483b8679358d17978b0b"/>
                  <w:lock w:val="sdtLocked"/>
                  <w:richText/>
                </w:sdtPr>
                <w:sdtContent>
                  <w:r>
                    <w:rPr>
                      <w:rFonts w:eastAsia="Calibri"/>
                      <w:b/>
                      <w:bCs/>
                      <w:color w:val="000000"/>
                      <w:szCs w:val="24"/>
                    </w:rPr>
                    <w:t>Įstatymo įsigaliojimas ir įgyvendinimas</w:t>
                  </w:r>
                </w:sdtContent>
              </w:sdt>
            </w:p>
            <w:sdt>
              <w:sdtPr>
                <w:alias w:val="4 str. 1 d."/>
                <w:tag w:val="part_41deebb6e15d4d01b832e193002b1d68"/>
                <w:lock w:val="sdtLocked"/>
                <w:richText/>
              </w:sdtPr>
              <w:sdtContent>
                <w:p>
                  <w:pPr>
                    <w:shd w:val="clear" w:color="auto" w:fill="FFFFFF"/>
                    <w:ind w:firstLine="720"/>
                    <w:jc w:val="both"/>
                    <w:rPr>
                      <w:rFonts w:eastAsia="Calibri"/>
                      <w:iCs/>
                      <w:szCs w:val="24"/>
                    </w:rPr>
                  </w:pPr>
                  <w:sdt>
                    <w:sdtPr>
                      <w:alias w:val="Numeris"/>
                      <w:tag w:val="nr_41deebb6e15d4d01b832e193002b1d68"/>
                      <w:lock w:val="sdtLocked"/>
                      <w:richText/>
                    </w:sdtPr>
                    <w:sdtContent>
                      <w:r>
                        <w:rPr>
                          <w:rFonts w:eastAsia="Calibri"/>
                          <w:color w:val="000000"/>
                          <w:szCs w:val="24"/>
                        </w:rPr>
                        <w:t>1</w:t>
                      </w:r>
                    </w:sdtContent>
                  </w:sdt>
                  <w:r>
                    <w:rPr>
                      <w:rFonts w:eastAsia="Calibri"/>
                      <w:color w:val="000000"/>
                      <w:szCs w:val="24"/>
                    </w:rPr>
                    <w:t xml:space="preserve">. Šis įstatymas, išskyrus šio straipsnio 2  dalį, </w:t>
                  </w:r>
                  <w:r>
                    <w:rPr>
                      <w:rFonts w:eastAsia="Calibri"/>
                      <w:iCs/>
                      <w:szCs w:val="24"/>
                    </w:rPr>
                    <w:t>įsigalioja 2016 m. spalio 1 d.</w:t>
                  </w:r>
                </w:p>
              </w:sdtContent>
            </w:sdt>
            <w:sdt>
              <w:sdtPr>
                <w:alias w:val="4 str. 2 d."/>
                <w:tag w:val="part_3c7c7bee0b86448fbe4d08feab33d945"/>
                <w:lock w:val="sdtLocked"/>
                <w:richText/>
              </w:sdtPr>
              <w:sdtContent>
                <w:p>
                  <w:pPr>
                    <w:shd w:val="clear" w:color="auto" w:fill="FFFFFF"/>
                    <w:ind w:firstLine="720"/>
                    <w:jc w:val="both"/>
                    <w:rPr>
                      <w:rFonts w:eastAsia="Calibri"/>
                      <w:iCs/>
                      <w:szCs w:val="24"/>
                    </w:rPr>
                  </w:pPr>
                  <w:sdt>
                    <w:sdtPr>
                      <w:alias w:val="Numeris"/>
                      <w:tag w:val="nr_3c7c7bee0b86448fbe4d08feab33d945"/>
                      <w:lock w:val="sdtLocked"/>
                      <w:richText/>
                    </w:sdtPr>
                    <w:sdtContent>
                      <w:r>
                        <w:rPr>
                          <w:rFonts w:eastAsia="Calibri"/>
                          <w:color w:val="000000"/>
                          <w:szCs w:val="24"/>
                        </w:rPr>
                        <w:t>2</w:t>
                      </w:r>
                    </w:sdtContent>
                  </w:sdt>
                  <w:r>
                    <w:rPr>
                      <w:rFonts w:eastAsia="Calibri"/>
                      <w:color w:val="000000"/>
                      <w:szCs w:val="24"/>
                    </w:rPr>
                    <w:t>. Lietuvos Respublikos aplinkos ministras iki šio įstatymo įsigaliojimo priima šio įstatymo įgyvendinamuosius teisės aktus.</w:t>
                  </w:r>
                </w:p>
                <w:p>
                  <w:pPr>
                    <w:shd w:val="clear" w:color="auto" w:fill="FFFFFF"/>
                    <w:ind w:firstLine="720"/>
                    <w:jc w:val="both"/>
                    <w:rPr>
                      <w:rFonts w:eastAsia="Calibri"/>
                      <w:iCs/>
                      <w:szCs w:val="24"/>
                    </w:rPr>
                  </w:pPr>
                </w:p>
                <w:p>
                  <w:pPr>
                    <w:shd w:val="clear" w:color="auto" w:fill="FFFFFF"/>
                    <w:ind w:firstLine="720"/>
                    <w:jc w:val="both"/>
                    <w:rPr>
                      <w:rFonts w:eastAsia="Calibri"/>
                      <w:iCs/>
                      <w:szCs w:val="24"/>
                    </w:rPr>
                  </w:pPr>
                </w:p>
                <w:p>
                  <w:pPr>
                    <w:shd w:val="clear" w:color="auto" w:fill="FFFFFF"/>
                    <w:ind w:firstLine="720"/>
                    <w:jc w:val="both"/>
                    <w:rPr>
                      <w:rFonts w:eastAsia="Calibri"/>
                      <w:iCs/>
                      <w:szCs w:val="24"/>
                    </w:rPr>
                  </w:pPr>
                </w:p>
              </w:sdtContent>
            </w:sdt>
          </w:sdtContent>
        </w:sdt>
        <w:sdt>
          <w:sdtPr>
            <w:alias w:val="signatura"/>
            <w:tag w:val="part_e8d407632a284754bd6f7d7810fb1a16"/>
            <w:lock w:val="sdtLocked"/>
            <w:richText/>
          </w:sdtPr>
          <w:sdtContent>
            <w:p>
              <w:pPr>
                <w:shd w:val="clear" w:color="auto" w:fill="FFFFFF"/>
                <w:ind w:firstLine="720"/>
                <w:jc w:val="both"/>
                <w:rPr>
                  <w:rFonts w:eastAsia="Calibri"/>
                  <w:szCs w:val="24"/>
                </w:rPr>
              </w:pPr>
              <w:r>
                <w:rPr>
                  <w:rFonts w:eastAsia="Calibri"/>
                  <w:i/>
                  <w:iCs/>
                  <w:szCs w:val="24"/>
                </w:rPr>
                <w:t>Skelbiu šį Lietuvos Respublikos Seimo priimtą įstatymą</w:t>
              </w:r>
              <w:r>
                <w:rPr>
                  <w:rFonts w:eastAsia="Calibri"/>
                  <w:szCs w:val="24"/>
                </w:rPr>
                <w:t xml:space="preserve">. </w:t>
              </w:r>
            </w:p>
            <w:p>
              <w:pPr>
                <w:shd w:val="clear" w:color="auto" w:fill="FFFFFF"/>
                <w:ind w:firstLine="720"/>
                <w:jc w:val="both"/>
                <w:rPr>
                  <w:rFonts w:eastAsia="Calibri"/>
                  <w:szCs w:val="24"/>
                </w:rPr>
              </w:pPr>
            </w:p>
            <w:p>
              <w:pPr>
                <w:shd w:val="clear" w:color="auto" w:fill="FFFFFF"/>
                <w:ind w:firstLine="720"/>
                <w:jc w:val="both"/>
                <w:rPr>
                  <w:rFonts w:eastAsia="Calibri"/>
                  <w:szCs w:val="24"/>
                </w:rPr>
              </w:pPr>
            </w:p>
            <w:p>
              <w:pPr>
                <w:shd w:val="clear" w:color="auto" w:fill="FFFFFF"/>
                <w:ind w:firstLine="720"/>
                <w:jc w:val="both"/>
                <w:rPr>
                  <w:rFonts w:eastAsia="Calibri"/>
                  <w:szCs w:val="24"/>
                </w:rPr>
              </w:pPr>
              <w:r>
                <w:rPr>
                  <w:rFonts w:eastAsia="Calibri"/>
                  <w:szCs w:val="24"/>
                </w:rPr>
                <w:t>Respublikos Prezidentas</w:t>
              </w:r>
            </w:p>
            <w:p>
              <w:pPr>
                <w:shd w:val="clear" w:color="auto" w:fill="FFFFFF"/>
                <w:ind w:firstLine="720"/>
                <w:jc w:val="both"/>
                <w:rPr>
                  <w:rFonts w:ascii="Calibri" w:eastAsia="Calibri" w:hAnsi="Calibri"/>
                  <w:szCs w:val="24"/>
                </w:rPr>
              </w:pPr>
            </w:p>
            <w:p>
              <w:pPr>
                <w:shd w:val="clear" w:color="auto" w:fill="FFFFFF"/>
                <w:ind w:firstLine="720"/>
                <w:jc w:val="both"/>
                <w:rPr>
                  <w:rFonts w:eastAsia="Calibri"/>
                  <w:szCs w:val="24"/>
                </w:rPr>
              </w:pPr>
              <w:r>
                <w:rPr>
                  <w:rFonts w:eastAsia="Calibri"/>
                  <w:szCs w:val="24"/>
                </w:rPr>
                <w:t>Teikia</w:t>
              </w:r>
            </w:p>
            <w:p>
              <w:pPr>
                <w:shd w:val="clear" w:color="auto" w:fill="FFFFFF"/>
                <w:ind w:firstLine="720"/>
                <w:jc w:val="both"/>
                <w:rPr>
                  <w:rFonts w:eastAsia="Calibri"/>
                  <w:szCs w:val="24"/>
                </w:rPr>
              </w:pPr>
            </w:p>
            <w:p>
              <w:pPr>
                <w:shd w:val="clear" w:color="auto" w:fill="FFFFFF"/>
                <w:ind w:firstLine="720"/>
                <w:jc w:val="both"/>
                <w:rPr>
                  <w:rFonts w:eastAsia="Calibri"/>
                  <w:szCs w:val="24"/>
                </w:rPr>
              </w:pPr>
              <w:r>
                <w:rPr>
                  <w:rFonts w:eastAsia="Calibri"/>
                  <w:szCs w:val="24"/>
                </w:rPr>
                <w:t>Aplinkos apsaugos komiteto pirmininkas</w:t>
                <w:tab/>
                <w:tab/>
                <w:t>Algimantas Salamakinas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oNotTrackFormatting/>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4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946236149">
      <w:bodyDiv w:val="1"/>
      <w:marLeft w:val="0"/>
      <w:marRight w:val="0"/>
      <w:marTop w:val="0"/>
      <w:marBottom w:val="0"/>
      <w:divBdr>
        <w:top w:val="none" w:sz="0" w:space="0" w:color="auto"/>
        <w:left w:val="none" w:sz="0" w:space="0" w:color="auto"/>
        <w:bottom w:val="none" w:sz="0" w:space="0" w:color="auto"/>
        <w:right w:val="none" w:sz="0" w:space="0" w:color="auto"/>
      </w:divBdr>
      <w:divsChild>
        <w:div w:id="1447457638">
          <w:marLeft w:val="0"/>
          <w:marRight w:val="0"/>
          <w:marTop w:val="0"/>
          <w:marBottom w:val="0"/>
          <w:divBdr>
            <w:top w:val="none" w:sz="0" w:space="0" w:color="auto"/>
            <w:left w:val="none" w:sz="0" w:space="0" w:color="auto"/>
            <w:bottom w:val="none" w:sz="0" w:space="0" w:color="auto"/>
            <w:right w:val="none" w:sz="0" w:space="0" w:color="auto"/>
          </w:divBdr>
          <w:divsChild>
            <w:div w:id="1762018861">
              <w:marLeft w:val="0"/>
              <w:marRight w:val="0"/>
              <w:marTop w:val="0"/>
              <w:marBottom w:val="0"/>
              <w:divBdr>
                <w:top w:val="none" w:sz="0" w:space="0" w:color="auto"/>
                <w:left w:val="none" w:sz="0" w:space="0" w:color="auto"/>
                <w:bottom w:val="none" w:sz="0" w:space="0" w:color="auto"/>
                <w:right w:val="none" w:sz="0" w:space="0" w:color="auto"/>
              </w:divBdr>
              <w:divsChild>
                <w:div w:id="64031790">
                  <w:marLeft w:val="0"/>
                  <w:marRight w:val="0"/>
                  <w:marTop w:val="0"/>
                  <w:marBottom w:val="0"/>
                  <w:divBdr>
                    <w:top w:val="none" w:sz="0" w:space="0" w:color="auto"/>
                    <w:left w:val="none" w:sz="0" w:space="0" w:color="auto"/>
                    <w:bottom w:val="none" w:sz="0" w:space="0" w:color="auto"/>
                    <w:right w:val="none" w:sz="0" w:space="0" w:color="auto"/>
                  </w:divBdr>
                </w:div>
                <w:div w:id="1217735969">
                  <w:marLeft w:val="0"/>
                  <w:marRight w:val="0"/>
                  <w:marTop w:val="0"/>
                  <w:marBottom w:val="0"/>
                  <w:divBdr>
                    <w:top w:val="none" w:sz="0" w:space="0" w:color="auto"/>
                    <w:left w:val="none" w:sz="0" w:space="0" w:color="auto"/>
                    <w:bottom w:val="none" w:sz="0" w:space="0" w:color="auto"/>
                    <w:right w:val="none" w:sz="0" w:space="0" w:color="auto"/>
                  </w:divBdr>
                  <w:divsChild>
                    <w:div w:id="1671634601">
                      <w:marLeft w:val="0"/>
                      <w:marRight w:val="0"/>
                      <w:marTop w:val="0"/>
                      <w:marBottom w:val="0"/>
                      <w:divBdr>
                        <w:top w:val="none" w:sz="0" w:space="0" w:color="auto"/>
                        <w:left w:val="none" w:sz="0" w:space="0" w:color="auto"/>
                        <w:bottom w:val="none" w:sz="0" w:space="0" w:color="auto"/>
                        <w:right w:val="none" w:sz="0" w:space="0" w:color="auto"/>
                      </w:divBdr>
                      <w:divsChild>
                        <w:div w:id="592588782">
                          <w:marLeft w:val="0"/>
                          <w:marRight w:val="0"/>
                          <w:marTop w:val="0"/>
                          <w:marBottom w:val="0"/>
                          <w:divBdr>
                            <w:top w:val="none" w:sz="0" w:space="0" w:color="auto"/>
                            <w:left w:val="none" w:sz="0" w:space="0" w:color="auto"/>
                            <w:bottom w:val="none" w:sz="0" w:space="0" w:color="auto"/>
                            <w:right w:val="none" w:sz="0" w:space="0" w:color="auto"/>
                          </w:divBdr>
                        </w:div>
                      </w:divsChild>
                    </w:div>
                    <w:div w:id="1712269519">
                      <w:marLeft w:val="0"/>
                      <w:marRight w:val="0"/>
                      <w:marTop w:val="0"/>
                      <w:marBottom w:val="0"/>
                      <w:divBdr>
                        <w:top w:val="none" w:sz="0" w:space="0" w:color="auto"/>
                        <w:left w:val="none" w:sz="0" w:space="0" w:color="auto"/>
                        <w:bottom w:val="none" w:sz="0" w:space="0" w:color="auto"/>
                        <w:right w:val="none" w:sz="0" w:space="0" w:color="auto"/>
                      </w:divBdr>
                    </w:div>
                  </w:divsChild>
                </w:div>
                <w:div w:id="126099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024963">
      <w:bodyDiv w:val="1"/>
      <w:marLeft w:val="0"/>
      <w:marRight w:val="0"/>
      <w:marTop w:val="0"/>
      <w:marBottom w:val="0"/>
      <w:divBdr>
        <w:top w:val="none" w:sz="0" w:space="0" w:color="auto"/>
        <w:left w:val="none" w:sz="0" w:space="0" w:color="auto"/>
        <w:bottom w:val="none" w:sz="0" w:space="0" w:color="auto"/>
        <w:right w:val="none" w:sz="0" w:space="0" w:color="auto"/>
      </w:divBdr>
      <w:divsChild>
        <w:div w:id="1957983222">
          <w:marLeft w:val="0"/>
          <w:marRight w:val="0"/>
          <w:marTop w:val="0"/>
          <w:marBottom w:val="0"/>
          <w:divBdr>
            <w:top w:val="none" w:sz="0" w:space="0" w:color="auto"/>
            <w:left w:val="none" w:sz="0" w:space="0" w:color="auto"/>
            <w:bottom w:val="none" w:sz="0" w:space="0" w:color="auto"/>
            <w:right w:val="none" w:sz="0" w:space="0" w:color="auto"/>
          </w:divBdr>
          <w:divsChild>
            <w:div w:id="600139613">
              <w:marLeft w:val="75"/>
              <w:marRight w:val="0"/>
              <w:marTop w:val="0"/>
              <w:marBottom w:val="0"/>
              <w:divBdr>
                <w:top w:val="none" w:sz="0" w:space="0" w:color="auto"/>
                <w:left w:val="none" w:sz="0" w:space="0" w:color="auto"/>
                <w:bottom w:val="none" w:sz="0" w:space="0" w:color="auto"/>
                <w:right w:val="none" w:sz="0" w:space="0" w:color="auto"/>
              </w:divBdr>
              <w:divsChild>
                <w:div w:id="1245381496">
                  <w:marLeft w:val="0"/>
                  <w:marRight w:val="0"/>
                  <w:marTop w:val="0"/>
                  <w:marBottom w:val="0"/>
                  <w:divBdr>
                    <w:top w:val="none" w:sz="0" w:space="0" w:color="auto"/>
                    <w:left w:val="none" w:sz="0" w:space="0" w:color="auto"/>
                    <w:bottom w:val="none" w:sz="0" w:space="0" w:color="auto"/>
                    <w:right w:val="none" w:sz="0" w:space="0" w:color="auto"/>
                  </w:divBdr>
                  <w:divsChild>
                    <w:div w:id="1096294341">
                      <w:marLeft w:val="0"/>
                      <w:marRight w:val="0"/>
                      <w:marTop w:val="0"/>
                      <w:marBottom w:val="0"/>
                      <w:divBdr>
                        <w:top w:val="none" w:sz="0" w:space="0" w:color="auto"/>
                        <w:left w:val="none" w:sz="0" w:space="0" w:color="auto"/>
                        <w:bottom w:val="none" w:sz="0" w:space="0" w:color="auto"/>
                        <w:right w:val="none" w:sz="0" w:space="0" w:color="auto"/>
                      </w:divBdr>
                      <w:divsChild>
                        <w:div w:id="1496993646">
                          <w:marLeft w:val="0"/>
                          <w:marRight w:val="0"/>
                          <w:marTop w:val="0"/>
                          <w:marBottom w:val="0"/>
                          <w:divBdr>
                            <w:top w:val="none" w:sz="0" w:space="0" w:color="auto"/>
                            <w:left w:val="none" w:sz="0" w:space="0" w:color="auto"/>
                            <w:bottom w:val="none" w:sz="0" w:space="0" w:color="auto"/>
                            <w:right w:val="none" w:sz="0" w:space="0" w:color="auto"/>
                          </w:divBdr>
                          <w:divsChild>
                            <w:div w:id="1466240420">
                              <w:marLeft w:val="0"/>
                              <w:marRight w:val="0"/>
                              <w:marTop w:val="0"/>
                              <w:marBottom w:val="0"/>
                              <w:divBdr>
                                <w:top w:val="none" w:sz="0" w:space="0" w:color="auto"/>
                                <w:left w:val="none" w:sz="0" w:space="0" w:color="auto"/>
                                <w:bottom w:val="none" w:sz="0" w:space="0" w:color="auto"/>
                                <w:right w:val="none" w:sz="0" w:space="0" w:color="auto"/>
                              </w:divBdr>
                              <w:divsChild>
                                <w:div w:id="735780161">
                                  <w:marLeft w:val="0"/>
                                  <w:marRight w:val="0"/>
                                  <w:marTop w:val="0"/>
                                  <w:marBottom w:val="0"/>
                                  <w:divBdr>
                                    <w:top w:val="none" w:sz="0" w:space="0" w:color="auto"/>
                                    <w:left w:val="none" w:sz="0" w:space="0" w:color="auto"/>
                                    <w:bottom w:val="none" w:sz="0" w:space="0" w:color="auto"/>
                                    <w:right w:val="none" w:sz="0" w:space="0" w:color="auto"/>
                                  </w:divBdr>
                                  <w:divsChild>
                                    <w:div w:id="379676235">
                                      <w:marLeft w:val="0"/>
                                      <w:marRight w:val="0"/>
                                      <w:marTop w:val="0"/>
                                      <w:marBottom w:val="0"/>
                                      <w:divBdr>
                                        <w:top w:val="none" w:sz="0" w:space="0" w:color="auto"/>
                                        <w:left w:val="none" w:sz="0" w:space="0" w:color="auto"/>
                                        <w:bottom w:val="none" w:sz="0" w:space="0" w:color="auto"/>
                                        <w:right w:val="none" w:sz="0" w:space="0" w:color="auto"/>
                                      </w:divBdr>
                                      <w:divsChild>
                                        <w:div w:id="1983457647">
                                          <w:marLeft w:val="0"/>
                                          <w:marRight w:val="0"/>
                                          <w:marTop w:val="0"/>
                                          <w:marBottom w:val="0"/>
                                          <w:divBdr>
                                            <w:top w:val="none" w:sz="0" w:space="0" w:color="auto"/>
                                            <w:left w:val="none" w:sz="0" w:space="0" w:color="auto"/>
                                            <w:bottom w:val="none" w:sz="0" w:space="0" w:color="auto"/>
                                            <w:right w:val="none" w:sz="0" w:space="0" w:color="auto"/>
                                          </w:divBdr>
                                          <w:divsChild>
                                            <w:div w:id="98481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959687">
                                      <w:marLeft w:val="0"/>
                                      <w:marRight w:val="0"/>
                                      <w:marTop w:val="0"/>
                                      <w:marBottom w:val="0"/>
                                      <w:divBdr>
                                        <w:top w:val="none" w:sz="0" w:space="0" w:color="auto"/>
                                        <w:left w:val="none" w:sz="0" w:space="0" w:color="auto"/>
                                        <w:bottom w:val="none" w:sz="0" w:space="0" w:color="auto"/>
                                        <w:right w:val="none" w:sz="0" w:space="0" w:color="auto"/>
                                      </w:divBdr>
                                    </w:div>
                                    <w:div w:id="1020007810">
                                      <w:marLeft w:val="0"/>
                                      <w:marRight w:val="0"/>
                                      <w:marTop w:val="0"/>
                                      <w:marBottom w:val="0"/>
                                      <w:divBdr>
                                        <w:top w:val="none" w:sz="0" w:space="0" w:color="auto"/>
                                        <w:left w:val="none" w:sz="0" w:space="0" w:color="auto"/>
                                        <w:bottom w:val="none" w:sz="0" w:space="0" w:color="auto"/>
                                        <w:right w:val="none" w:sz="0" w:space="0" w:color="auto"/>
                                      </w:divBdr>
                                    </w:div>
                                    <w:div w:id="1152258964">
                                      <w:marLeft w:val="0"/>
                                      <w:marRight w:val="0"/>
                                      <w:marTop w:val="0"/>
                                      <w:marBottom w:val="0"/>
                                      <w:divBdr>
                                        <w:top w:val="none" w:sz="0" w:space="0" w:color="auto"/>
                                        <w:left w:val="none" w:sz="0" w:space="0" w:color="auto"/>
                                        <w:bottom w:val="none" w:sz="0" w:space="0" w:color="auto"/>
                                        <w:right w:val="none" w:sz="0" w:space="0" w:color="auto"/>
                                      </w:divBdr>
                                      <w:divsChild>
                                        <w:div w:id="693967572">
                                          <w:marLeft w:val="0"/>
                                          <w:marRight w:val="0"/>
                                          <w:marTop w:val="0"/>
                                          <w:marBottom w:val="0"/>
                                          <w:divBdr>
                                            <w:top w:val="none" w:sz="0" w:space="0" w:color="auto"/>
                                            <w:left w:val="none" w:sz="0" w:space="0" w:color="auto"/>
                                            <w:bottom w:val="none" w:sz="0" w:space="0" w:color="auto"/>
                                            <w:right w:val="none" w:sz="0" w:space="0" w:color="auto"/>
                                          </w:divBdr>
                                        </w:div>
                                      </w:divsChild>
                                    </w:div>
                                    <w:div w:id="1798713845">
                                      <w:marLeft w:val="0"/>
                                      <w:marRight w:val="0"/>
                                      <w:marTop w:val="0"/>
                                      <w:marBottom w:val="0"/>
                                      <w:divBdr>
                                        <w:top w:val="none" w:sz="0" w:space="0" w:color="auto"/>
                                        <w:left w:val="none" w:sz="0" w:space="0" w:color="auto"/>
                                        <w:bottom w:val="none" w:sz="0" w:space="0" w:color="auto"/>
                                        <w:right w:val="none" w:sz="0" w:space="0" w:color="auto"/>
                                      </w:divBdr>
                                      <w:divsChild>
                                        <w:div w:id="60635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1335383">
      <w:bodyDiv w:val="1"/>
      <w:marLeft w:val="0"/>
      <w:marRight w:val="0"/>
      <w:marTop w:val="0"/>
      <w:marBottom w:val="0"/>
      <w:divBdr>
        <w:top w:val="none" w:sz="0" w:space="0" w:color="auto"/>
        <w:left w:val="none" w:sz="0" w:space="0" w:color="auto"/>
        <w:bottom w:val="none" w:sz="0" w:space="0" w:color="auto"/>
        <w:right w:val="none" w:sz="0" w:space="0" w:color="auto"/>
      </w:divBdr>
    </w:div>
    <w:div w:id="1356611692">
      <w:bodyDiv w:val="1"/>
      <w:marLeft w:val="0"/>
      <w:marRight w:val="0"/>
      <w:marTop w:val="0"/>
      <w:marBottom w:val="0"/>
      <w:divBdr>
        <w:top w:val="none" w:sz="0" w:space="0" w:color="auto"/>
        <w:left w:val="none" w:sz="0" w:space="0" w:color="auto"/>
        <w:bottom w:val="none" w:sz="0" w:space="0" w:color="auto"/>
        <w:right w:val="none" w:sz="0" w:space="0" w:color="auto"/>
      </w:divBdr>
      <w:divsChild>
        <w:div w:id="438184188">
          <w:marLeft w:val="0"/>
          <w:marRight w:val="0"/>
          <w:marTop w:val="0"/>
          <w:marBottom w:val="0"/>
          <w:divBdr>
            <w:top w:val="none" w:sz="0" w:space="0" w:color="auto"/>
            <w:left w:val="none" w:sz="0" w:space="0" w:color="auto"/>
            <w:bottom w:val="none" w:sz="0" w:space="0" w:color="auto"/>
            <w:right w:val="none" w:sz="0" w:space="0" w:color="auto"/>
          </w:divBdr>
          <w:divsChild>
            <w:div w:id="1073158977">
              <w:marLeft w:val="0"/>
              <w:marRight w:val="0"/>
              <w:marTop w:val="0"/>
              <w:marBottom w:val="0"/>
              <w:divBdr>
                <w:top w:val="none" w:sz="0" w:space="0" w:color="auto"/>
                <w:left w:val="none" w:sz="0" w:space="0" w:color="auto"/>
                <w:bottom w:val="none" w:sz="0" w:space="0" w:color="auto"/>
                <w:right w:val="none" w:sz="0" w:space="0" w:color="auto"/>
              </w:divBdr>
              <w:divsChild>
                <w:div w:id="354313718">
                  <w:marLeft w:val="150"/>
                  <w:marRight w:val="150"/>
                  <w:marTop w:val="150"/>
                  <w:marBottom w:val="150"/>
                  <w:divBdr>
                    <w:top w:val="none" w:sz="0" w:space="0" w:color="auto"/>
                    <w:left w:val="none" w:sz="0" w:space="0" w:color="auto"/>
                    <w:bottom w:val="none" w:sz="0" w:space="0" w:color="auto"/>
                    <w:right w:val="none" w:sz="0" w:space="0" w:color="auto"/>
                  </w:divBdr>
                  <w:divsChild>
                    <w:div w:id="1282109388">
                      <w:marLeft w:val="0"/>
                      <w:marRight w:val="0"/>
                      <w:marTop w:val="0"/>
                      <w:marBottom w:val="0"/>
                      <w:divBdr>
                        <w:top w:val="single" w:sz="6" w:space="0" w:color="999999"/>
                        <w:left w:val="single" w:sz="6" w:space="0" w:color="999999"/>
                        <w:bottom w:val="single" w:sz="6" w:space="0" w:color="999999"/>
                        <w:right w:val="single" w:sz="6" w:space="0" w:color="999999"/>
                      </w:divBdr>
                      <w:divsChild>
                        <w:div w:id="1076391859">
                          <w:marLeft w:val="0"/>
                          <w:marRight w:val="0"/>
                          <w:marTop w:val="0"/>
                          <w:marBottom w:val="0"/>
                          <w:divBdr>
                            <w:top w:val="none" w:sz="0" w:space="0" w:color="auto"/>
                            <w:left w:val="none" w:sz="0" w:space="0" w:color="auto"/>
                            <w:bottom w:val="none" w:sz="0" w:space="0" w:color="auto"/>
                            <w:right w:val="none" w:sz="0" w:space="0" w:color="auto"/>
                          </w:divBdr>
                          <w:divsChild>
                            <w:div w:id="1329596341">
                              <w:marLeft w:val="0"/>
                              <w:marRight w:val="0"/>
                              <w:marTop w:val="0"/>
                              <w:marBottom w:val="0"/>
                              <w:divBdr>
                                <w:top w:val="none" w:sz="0" w:space="0" w:color="auto"/>
                                <w:left w:val="none" w:sz="0" w:space="0" w:color="auto"/>
                                <w:bottom w:val="none" w:sz="0" w:space="0" w:color="auto"/>
                                <w:right w:val="none" w:sz="0" w:space="0" w:color="auto"/>
                              </w:divBdr>
                              <w:divsChild>
                                <w:div w:id="487333426">
                                  <w:marLeft w:val="-150"/>
                                  <w:marRight w:val="-150"/>
                                  <w:marTop w:val="0"/>
                                  <w:marBottom w:val="0"/>
                                  <w:divBdr>
                                    <w:top w:val="none" w:sz="0" w:space="0" w:color="auto"/>
                                    <w:left w:val="none" w:sz="0" w:space="0" w:color="auto"/>
                                    <w:bottom w:val="none" w:sz="0" w:space="0" w:color="auto"/>
                                    <w:right w:val="none" w:sz="0" w:space="0" w:color="auto"/>
                                  </w:divBdr>
                                  <w:divsChild>
                                    <w:div w:id="775057533">
                                      <w:marLeft w:val="0"/>
                                      <w:marRight w:val="0"/>
                                      <w:marTop w:val="0"/>
                                      <w:marBottom w:val="0"/>
                                      <w:divBdr>
                                        <w:top w:val="none" w:sz="0" w:space="0" w:color="auto"/>
                                        <w:left w:val="none" w:sz="0" w:space="0" w:color="auto"/>
                                        <w:bottom w:val="none" w:sz="0" w:space="0" w:color="auto"/>
                                        <w:right w:val="none" w:sz="0" w:space="0" w:color="auto"/>
                                      </w:divBdr>
                                    </w:div>
                                    <w:div w:id="1925262200">
                                      <w:marLeft w:val="0"/>
                                      <w:marRight w:val="0"/>
                                      <w:marTop w:val="0"/>
                                      <w:marBottom w:val="0"/>
                                      <w:divBdr>
                                        <w:top w:val="none" w:sz="0" w:space="0" w:color="auto"/>
                                        <w:left w:val="none" w:sz="0" w:space="0" w:color="auto"/>
                                        <w:bottom w:val="none" w:sz="0" w:space="0" w:color="auto"/>
                                        <w:right w:val="none" w:sz="0" w:space="0" w:color="auto"/>
                                      </w:divBdr>
                                    </w:div>
                                    <w:div w:id="2015642231">
                                      <w:marLeft w:val="0"/>
                                      <w:marRight w:val="0"/>
                                      <w:marTop w:val="0"/>
                                      <w:marBottom w:val="0"/>
                                      <w:divBdr>
                                        <w:top w:val="none" w:sz="0" w:space="0" w:color="auto"/>
                                        <w:left w:val="none" w:sz="0" w:space="0" w:color="auto"/>
                                        <w:bottom w:val="none" w:sz="0" w:space="0" w:color="auto"/>
                                        <w:right w:val="none" w:sz="0" w:space="0" w:color="auto"/>
                                      </w:divBdr>
                                    </w:div>
                                  </w:divsChild>
                                </w:div>
                                <w:div w:id="772437990">
                                  <w:marLeft w:val="0"/>
                                  <w:marRight w:val="0"/>
                                  <w:marTop w:val="0"/>
                                  <w:marBottom w:val="0"/>
                                  <w:divBdr>
                                    <w:top w:val="none" w:sz="0" w:space="0" w:color="auto"/>
                                    <w:left w:val="none" w:sz="0" w:space="0" w:color="auto"/>
                                    <w:bottom w:val="none" w:sz="0" w:space="0" w:color="auto"/>
                                    <w:right w:val="none" w:sz="0" w:space="0" w:color="auto"/>
                                  </w:divBdr>
                                  <w:divsChild>
                                    <w:div w:id="1806655532">
                                      <w:marLeft w:val="-150"/>
                                      <w:marRight w:val="-150"/>
                                      <w:marTop w:val="0"/>
                                      <w:marBottom w:val="0"/>
                                      <w:divBdr>
                                        <w:top w:val="none" w:sz="0" w:space="0" w:color="auto"/>
                                        <w:left w:val="none" w:sz="0" w:space="0" w:color="auto"/>
                                        <w:bottom w:val="none" w:sz="0" w:space="0" w:color="auto"/>
                                        <w:right w:val="none" w:sz="0" w:space="0" w:color="auto"/>
                                      </w:divBdr>
                                      <w:divsChild>
                                        <w:div w:id="402532760">
                                          <w:marLeft w:val="0"/>
                                          <w:marRight w:val="0"/>
                                          <w:marTop w:val="0"/>
                                          <w:marBottom w:val="0"/>
                                          <w:divBdr>
                                            <w:top w:val="none" w:sz="0" w:space="0" w:color="auto"/>
                                            <w:left w:val="none" w:sz="0" w:space="0" w:color="auto"/>
                                            <w:bottom w:val="none" w:sz="0" w:space="0" w:color="auto"/>
                                            <w:right w:val="none" w:sz="0" w:space="0" w:color="auto"/>
                                          </w:divBdr>
                                        </w:div>
                                        <w:div w:id="733747395">
                                          <w:marLeft w:val="0"/>
                                          <w:marRight w:val="0"/>
                                          <w:marTop w:val="0"/>
                                          <w:marBottom w:val="0"/>
                                          <w:divBdr>
                                            <w:top w:val="none" w:sz="0" w:space="0" w:color="auto"/>
                                            <w:left w:val="none" w:sz="0" w:space="0" w:color="auto"/>
                                            <w:bottom w:val="none" w:sz="0" w:space="0" w:color="auto"/>
                                            <w:right w:val="none" w:sz="0" w:space="0" w:color="auto"/>
                                          </w:divBdr>
                                          <w:divsChild>
                                            <w:div w:id="1875802515">
                                              <w:marLeft w:val="0"/>
                                              <w:marRight w:val="0"/>
                                              <w:marTop w:val="0"/>
                                              <w:marBottom w:val="0"/>
                                              <w:divBdr>
                                                <w:top w:val="none" w:sz="0" w:space="0" w:color="auto"/>
                                                <w:left w:val="none" w:sz="0" w:space="0" w:color="auto"/>
                                                <w:bottom w:val="none" w:sz="0" w:space="0" w:color="auto"/>
                                                <w:right w:val="none" w:sz="0" w:space="0" w:color="auto"/>
                                              </w:divBdr>
                                            </w:div>
                                          </w:divsChild>
                                        </w:div>
                                        <w:div w:id="1077172116">
                                          <w:marLeft w:val="0"/>
                                          <w:marRight w:val="0"/>
                                          <w:marTop w:val="0"/>
                                          <w:marBottom w:val="0"/>
                                          <w:divBdr>
                                            <w:top w:val="none" w:sz="0" w:space="0" w:color="auto"/>
                                            <w:left w:val="none" w:sz="0" w:space="0" w:color="auto"/>
                                            <w:bottom w:val="none" w:sz="0" w:space="0" w:color="auto"/>
                                            <w:right w:val="none" w:sz="0" w:space="0" w:color="auto"/>
                                          </w:divBdr>
                                        </w:div>
                                        <w:div w:id="1303971220">
                                          <w:marLeft w:val="0"/>
                                          <w:marRight w:val="0"/>
                                          <w:marTop w:val="0"/>
                                          <w:marBottom w:val="0"/>
                                          <w:divBdr>
                                            <w:top w:val="none" w:sz="0" w:space="0" w:color="auto"/>
                                            <w:left w:val="none" w:sz="0" w:space="0" w:color="auto"/>
                                            <w:bottom w:val="none" w:sz="0" w:space="0" w:color="auto"/>
                                            <w:right w:val="none" w:sz="0" w:space="0" w:color="auto"/>
                                          </w:divBdr>
                                        </w:div>
                                        <w:div w:id="2010525079">
                                          <w:marLeft w:val="0"/>
                                          <w:marRight w:val="0"/>
                                          <w:marTop w:val="0"/>
                                          <w:marBottom w:val="0"/>
                                          <w:divBdr>
                                            <w:top w:val="none" w:sz="0" w:space="0" w:color="auto"/>
                                            <w:left w:val="none" w:sz="0" w:space="0" w:color="auto"/>
                                            <w:bottom w:val="none" w:sz="0" w:space="0" w:color="auto"/>
                                            <w:right w:val="none" w:sz="0" w:space="0" w:color="auto"/>
                                          </w:divBdr>
                                        </w:div>
                                        <w:div w:id="2084791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261981">
                              <w:marLeft w:val="-150"/>
                              <w:marRight w:val="-150"/>
                              <w:marTop w:val="0"/>
                              <w:marBottom w:val="0"/>
                              <w:divBdr>
                                <w:top w:val="none" w:sz="0" w:space="0" w:color="auto"/>
                                <w:left w:val="none" w:sz="0" w:space="0" w:color="auto"/>
                                <w:bottom w:val="none" w:sz="0" w:space="0" w:color="auto"/>
                                <w:right w:val="none" w:sz="0" w:space="0" w:color="auto"/>
                              </w:divBdr>
                              <w:divsChild>
                                <w:div w:id="423454646">
                                  <w:marLeft w:val="0"/>
                                  <w:marRight w:val="0"/>
                                  <w:marTop w:val="0"/>
                                  <w:marBottom w:val="0"/>
                                  <w:divBdr>
                                    <w:top w:val="none" w:sz="0" w:space="0" w:color="auto"/>
                                    <w:left w:val="none" w:sz="0" w:space="0" w:color="auto"/>
                                    <w:bottom w:val="none" w:sz="0" w:space="0" w:color="auto"/>
                                    <w:right w:val="none" w:sz="0" w:space="0" w:color="auto"/>
                                  </w:divBdr>
                                  <w:divsChild>
                                    <w:div w:id="67071821">
                                      <w:marLeft w:val="0"/>
                                      <w:marRight w:val="0"/>
                                      <w:marTop w:val="150"/>
                                      <w:marBottom w:val="0"/>
                                      <w:divBdr>
                                        <w:top w:val="none" w:sz="0" w:space="0" w:color="auto"/>
                                        <w:left w:val="none" w:sz="0" w:space="0" w:color="auto"/>
                                        <w:bottom w:val="none" w:sz="0" w:space="0" w:color="auto"/>
                                        <w:right w:val="none" w:sz="0" w:space="0" w:color="auto"/>
                                      </w:divBdr>
                                    </w:div>
                                    <w:div w:id="637761538">
                                      <w:marLeft w:val="0"/>
                                      <w:marRight w:val="0"/>
                                      <w:marTop w:val="150"/>
                                      <w:marBottom w:val="0"/>
                                      <w:divBdr>
                                        <w:top w:val="none" w:sz="0" w:space="0" w:color="auto"/>
                                        <w:left w:val="none" w:sz="0" w:space="0" w:color="auto"/>
                                        <w:bottom w:val="none" w:sz="0" w:space="0" w:color="auto"/>
                                        <w:right w:val="none" w:sz="0" w:space="0" w:color="auto"/>
                                      </w:divBdr>
                                    </w:div>
                                  </w:divsChild>
                                </w:div>
                                <w:div w:id="538082211">
                                  <w:marLeft w:val="0"/>
                                  <w:marRight w:val="0"/>
                                  <w:marTop w:val="0"/>
                                  <w:marBottom w:val="0"/>
                                  <w:divBdr>
                                    <w:top w:val="none" w:sz="0" w:space="0" w:color="auto"/>
                                    <w:left w:val="none" w:sz="0" w:space="0" w:color="auto"/>
                                    <w:bottom w:val="none" w:sz="0" w:space="0" w:color="auto"/>
                                    <w:right w:val="none" w:sz="0" w:space="0" w:color="auto"/>
                                  </w:divBdr>
                                  <w:divsChild>
                                    <w:div w:id="174306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208446">
                          <w:marLeft w:val="0"/>
                          <w:marRight w:val="0"/>
                          <w:marTop w:val="0"/>
                          <w:marBottom w:val="0"/>
                          <w:divBdr>
                            <w:top w:val="none" w:sz="0" w:space="0" w:color="auto"/>
                            <w:left w:val="none" w:sz="0" w:space="0" w:color="auto"/>
                            <w:bottom w:val="single" w:sz="6" w:space="11" w:color="E5E5E5"/>
                            <w:right w:val="none" w:sz="0" w:space="0" w:color="auto"/>
                          </w:divBdr>
                        </w:div>
                        <w:div w:id="1333148091">
                          <w:marLeft w:val="0"/>
                          <w:marRight w:val="0"/>
                          <w:marTop w:val="0"/>
                          <w:marBottom w:val="0"/>
                          <w:divBdr>
                            <w:top w:val="single" w:sz="6" w:space="11" w:color="E5E5E5"/>
                            <w:left w:val="none" w:sz="0" w:space="0" w:color="auto"/>
                            <w:bottom w:val="none" w:sz="0" w:space="0" w:color="auto"/>
                            <w:right w:val="none" w:sz="0" w:space="0" w:color="auto"/>
                          </w:divBdr>
                          <w:divsChild>
                            <w:div w:id="17127576">
                              <w:marLeft w:val="135"/>
                              <w:marRight w:val="135"/>
                              <w:marTop w:val="135"/>
                              <w:marBottom w:val="135"/>
                              <w:divBdr>
                                <w:top w:val="single" w:sz="6" w:space="0" w:color="C30010"/>
                                <w:left w:val="single" w:sz="6" w:space="0" w:color="C30010"/>
                                <w:bottom w:val="single" w:sz="6" w:space="0" w:color="C30010"/>
                                <w:right w:val="single" w:sz="6" w:space="0" w:color="C30010"/>
                              </w:divBdr>
                              <w:divsChild>
                                <w:div w:id="35154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397285">
                          <w:marLeft w:val="0"/>
                          <w:marRight w:val="0"/>
                          <w:marTop w:val="0"/>
                          <w:marBottom w:val="0"/>
                          <w:divBdr>
                            <w:top w:val="none" w:sz="0" w:space="0" w:color="auto"/>
                            <w:left w:val="none" w:sz="0" w:space="0" w:color="auto"/>
                            <w:bottom w:val="single" w:sz="6" w:space="11" w:color="E5E5E5"/>
                            <w:right w:val="none" w:sz="0" w:space="0" w:color="auto"/>
                          </w:divBdr>
                        </w:div>
                        <w:div w:id="2122331640">
                          <w:marLeft w:val="0"/>
                          <w:marRight w:val="0"/>
                          <w:marTop w:val="0"/>
                          <w:marBottom w:val="0"/>
                          <w:divBdr>
                            <w:top w:val="none" w:sz="0" w:space="0" w:color="auto"/>
                            <w:left w:val="none" w:sz="0" w:space="0" w:color="auto"/>
                            <w:bottom w:val="none" w:sz="0" w:space="0" w:color="auto"/>
                            <w:right w:val="none" w:sz="0" w:space="0" w:color="auto"/>
                          </w:divBdr>
                          <w:divsChild>
                            <w:div w:id="320471383">
                              <w:marLeft w:val="0"/>
                              <w:marRight w:val="0"/>
                              <w:marTop w:val="0"/>
                              <w:marBottom w:val="0"/>
                              <w:divBdr>
                                <w:top w:val="none" w:sz="0" w:space="0" w:color="auto"/>
                                <w:left w:val="none" w:sz="0" w:space="0" w:color="auto"/>
                                <w:bottom w:val="none" w:sz="0" w:space="0" w:color="auto"/>
                                <w:right w:val="none" w:sz="0" w:space="0" w:color="auto"/>
                              </w:divBdr>
                              <w:divsChild>
                                <w:div w:id="1800685944">
                                  <w:marLeft w:val="0"/>
                                  <w:marRight w:val="0"/>
                                  <w:marTop w:val="0"/>
                                  <w:marBottom w:val="300"/>
                                  <w:divBdr>
                                    <w:top w:val="none" w:sz="0" w:space="0" w:color="auto"/>
                                    <w:left w:val="none" w:sz="0" w:space="0" w:color="auto"/>
                                    <w:bottom w:val="none" w:sz="0" w:space="0" w:color="auto"/>
                                    <w:right w:val="none" w:sz="0" w:space="0" w:color="auto"/>
                                  </w:divBdr>
                                </w:div>
                              </w:divsChild>
                            </w:div>
                            <w:div w:id="825434134">
                              <w:marLeft w:val="0"/>
                              <w:marRight w:val="0"/>
                              <w:marTop w:val="0"/>
                              <w:marBottom w:val="0"/>
                              <w:divBdr>
                                <w:top w:val="none" w:sz="0" w:space="0" w:color="auto"/>
                                <w:left w:val="none" w:sz="0" w:space="0" w:color="auto"/>
                                <w:bottom w:val="none" w:sz="0" w:space="0" w:color="auto"/>
                                <w:right w:val="none" w:sz="0" w:space="0" w:color="auto"/>
                              </w:divBdr>
                            </w:div>
                            <w:div w:id="1361667064">
                              <w:marLeft w:val="0"/>
                              <w:marRight w:val="0"/>
                              <w:marTop w:val="0"/>
                              <w:marBottom w:val="0"/>
                              <w:divBdr>
                                <w:top w:val="none" w:sz="0" w:space="0" w:color="auto"/>
                                <w:left w:val="none" w:sz="0" w:space="0" w:color="auto"/>
                                <w:bottom w:val="none" w:sz="0" w:space="0" w:color="auto"/>
                                <w:right w:val="none" w:sz="0" w:space="0" w:color="auto"/>
                              </w:divBdr>
                              <w:divsChild>
                                <w:div w:id="467433226">
                                  <w:marLeft w:val="0"/>
                                  <w:marRight w:val="0"/>
                                  <w:marTop w:val="0"/>
                                  <w:marBottom w:val="225"/>
                                  <w:divBdr>
                                    <w:top w:val="none" w:sz="0" w:space="0" w:color="auto"/>
                                    <w:left w:val="none" w:sz="0" w:space="0" w:color="auto"/>
                                    <w:bottom w:val="none" w:sz="0" w:space="0" w:color="auto"/>
                                    <w:right w:val="none" w:sz="0" w:space="0" w:color="auto"/>
                                  </w:divBdr>
                                </w:div>
                                <w:div w:id="680356665">
                                  <w:marLeft w:val="0"/>
                                  <w:marRight w:val="0"/>
                                  <w:marTop w:val="0"/>
                                  <w:marBottom w:val="225"/>
                                  <w:divBdr>
                                    <w:top w:val="none" w:sz="0" w:space="0" w:color="auto"/>
                                    <w:left w:val="none" w:sz="0" w:space="0" w:color="auto"/>
                                    <w:bottom w:val="none" w:sz="0" w:space="0" w:color="auto"/>
                                    <w:right w:val="none" w:sz="0" w:space="0" w:color="auto"/>
                                  </w:divBdr>
                                </w:div>
                                <w:div w:id="1348872857">
                                  <w:marLeft w:val="0"/>
                                  <w:marRight w:val="0"/>
                                  <w:marTop w:val="0"/>
                                  <w:marBottom w:val="225"/>
                                  <w:divBdr>
                                    <w:top w:val="none" w:sz="0" w:space="0" w:color="auto"/>
                                    <w:left w:val="none" w:sz="0" w:space="0" w:color="auto"/>
                                    <w:bottom w:val="none" w:sz="0" w:space="0" w:color="auto"/>
                                    <w:right w:val="none" w:sz="0" w:space="0" w:color="auto"/>
                                  </w:divBdr>
                                </w:div>
                                <w:div w:id="1520511698">
                                  <w:marLeft w:val="0"/>
                                  <w:marRight w:val="0"/>
                                  <w:marTop w:val="0"/>
                                  <w:marBottom w:val="225"/>
                                  <w:divBdr>
                                    <w:top w:val="none" w:sz="0" w:space="0" w:color="auto"/>
                                    <w:left w:val="none" w:sz="0" w:space="0" w:color="auto"/>
                                    <w:bottom w:val="none" w:sz="0" w:space="0" w:color="auto"/>
                                    <w:right w:val="none" w:sz="0" w:space="0" w:color="auto"/>
                                  </w:divBdr>
                                </w:div>
                                <w:div w:id="1665550993">
                                  <w:marLeft w:val="0"/>
                                  <w:marRight w:val="0"/>
                                  <w:marTop w:val="0"/>
                                  <w:marBottom w:val="0"/>
                                  <w:divBdr>
                                    <w:top w:val="none" w:sz="0" w:space="0" w:color="auto"/>
                                    <w:left w:val="none" w:sz="0" w:space="0" w:color="auto"/>
                                    <w:bottom w:val="none" w:sz="0" w:space="0" w:color="auto"/>
                                    <w:right w:val="none" w:sz="0" w:space="0" w:color="auto"/>
                                  </w:divBdr>
                                  <w:divsChild>
                                    <w:div w:id="103030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917988">
                              <w:marLeft w:val="0"/>
                              <w:marRight w:val="0"/>
                              <w:marTop w:val="0"/>
                              <w:marBottom w:val="0"/>
                              <w:divBdr>
                                <w:top w:val="none" w:sz="0" w:space="0" w:color="auto"/>
                                <w:left w:val="none" w:sz="0" w:space="0" w:color="auto"/>
                                <w:bottom w:val="none" w:sz="0" w:space="0" w:color="auto"/>
                                <w:right w:val="none" w:sz="0" w:space="0" w:color="auto"/>
                              </w:divBdr>
                              <w:divsChild>
                                <w:div w:id="367145679">
                                  <w:marLeft w:val="0"/>
                                  <w:marRight w:val="0"/>
                                  <w:marTop w:val="0"/>
                                  <w:marBottom w:val="225"/>
                                  <w:divBdr>
                                    <w:top w:val="none" w:sz="0" w:space="0" w:color="auto"/>
                                    <w:left w:val="none" w:sz="0" w:space="0" w:color="auto"/>
                                    <w:bottom w:val="none" w:sz="0" w:space="0" w:color="auto"/>
                                    <w:right w:val="none" w:sz="0" w:space="0" w:color="auto"/>
                                  </w:divBdr>
                                </w:div>
                                <w:div w:id="1199707690">
                                  <w:marLeft w:val="0"/>
                                  <w:marRight w:val="0"/>
                                  <w:marTop w:val="0"/>
                                  <w:marBottom w:val="225"/>
                                  <w:divBdr>
                                    <w:top w:val="none" w:sz="0" w:space="0" w:color="auto"/>
                                    <w:left w:val="none" w:sz="0" w:space="0" w:color="auto"/>
                                    <w:bottom w:val="none" w:sz="0" w:space="0" w:color="auto"/>
                                    <w:right w:val="none" w:sz="0" w:space="0" w:color="auto"/>
                                  </w:divBdr>
                                </w:div>
                                <w:div w:id="1225868672">
                                  <w:marLeft w:val="0"/>
                                  <w:marRight w:val="0"/>
                                  <w:marTop w:val="0"/>
                                  <w:marBottom w:val="0"/>
                                  <w:divBdr>
                                    <w:top w:val="none" w:sz="0" w:space="0" w:color="auto"/>
                                    <w:left w:val="none" w:sz="0" w:space="0" w:color="auto"/>
                                    <w:bottom w:val="none" w:sz="0" w:space="0" w:color="auto"/>
                                    <w:right w:val="none" w:sz="0" w:space="0" w:color="auto"/>
                                  </w:divBdr>
                                  <w:divsChild>
                                    <w:div w:id="2144232764">
                                      <w:marLeft w:val="0"/>
                                      <w:marRight w:val="0"/>
                                      <w:marTop w:val="0"/>
                                      <w:marBottom w:val="0"/>
                                      <w:divBdr>
                                        <w:top w:val="none" w:sz="0" w:space="0" w:color="auto"/>
                                        <w:left w:val="none" w:sz="0" w:space="0" w:color="auto"/>
                                        <w:bottom w:val="none" w:sz="0" w:space="0" w:color="auto"/>
                                        <w:right w:val="none" w:sz="0" w:space="0" w:color="auto"/>
                                      </w:divBdr>
                                    </w:div>
                                  </w:divsChild>
                                </w:div>
                                <w:div w:id="1309870001">
                                  <w:marLeft w:val="0"/>
                                  <w:marRight w:val="0"/>
                                  <w:marTop w:val="0"/>
                                  <w:marBottom w:val="225"/>
                                  <w:divBdr>
                                    <w:top w:val="none" w:sz="0" w:space="0" w:color="auto"/>
                                    <w:left w:val="none" w:sz="0" w:space="0" w:color="auto"/>
                                    <w:bottom w:val="none" w:sz="0" w:space="0" w:color="auto"/>
                                    <w:right w:val="none" w:sz="0" w:space="0" w:color="auto"/>
                                  </w:divBdr>
                                </w:div>
                              </w:divsChild>
                            </w:div>
                            <w:div w:id="1845586265">
                              <w:marLeft w:val="0"/>
                              <w:marRight w:val="0"/>
                              <w:marTop w:val="0"/>
                              <w:marBottom w:val="0"/>
                              <w:divBdr>
                                <w:top w:val="none" w:sz="0" w:space="0" w:color="auto"/>
                                <w:left w:val="none" w:sz="0" w:space="0" w:color="auto"/>
                                <w:bottom w:val="none" w:sz="0" w:space="0" w:color="auto"/>
                                <w:right w:val="none" w:sz="0" w:space="0" w:color="auto"/>
                              </w:divBdr>
                              <w:divsChild>
                                <w:div w:id="848562246">
                                  <w:marLeft w:val="0"/>
                                  <w:marRight w:val="0"/>
                                  <w:marTop w:val="0"/>
                                  <w:marBottom w:val="0"/>
                                  <w:divBdr>
                                    <w:top w:val="none" w:sz="0" w:space="0" w:color="auto"/>
                                    <w:left w:val="none" w:sz="0" w:space="0" w:color="auto"/>
                                    <w:bottom w:val="none" w:sz="0" w:space="0" w:color="auto"/>
                                    <w:right w:val="none" w:sz="0" w:space="0" w:color="auto"/>
                                  </w:divBdr>
                                  <w:divsChild>
                                    <w:div w:id="304161723">
                                      <w:marLeft w:val="0"/>
                                      <w:marRight w:val="0"/>
                                      <w:marTop w:val="0"/>
                                      <w:marBottom w:val="225"/>
                                      <w:divBdr>
                                        <w:top w:val="none" w:sz="0" w:space="0" w:color="auto"/>
                                        <w:left w:val="none" w:sz="0" w:space="0" w:color="auto"/>
                                        <w:bottom w:val="none" w:sz="0" w:space="0" w:color="auto"/>
                                        <w:right w:val="none" w:sz="0" w:space="0" w:color="auto"/>
                                      </w:divBdr>
                                      <w:divsChild>
                                        <w:div w:id="314992688">
                                          <w:marLeft w:val="0"/>
                                          <w:marRight w:val="0"/>
                                          <w:marTop w:val="0"/>
                                          <w:marBottom w:val="0"/>
                                          <w:divBdr>
                                            <w:top w:val="none" w:sz="0" w:space="0" w:color="auto"/>
                                            <w:left w:val="none" w:sz="0" w:space="0" w:color="auto"/>
                                            <w:bottom w:val="none" w:sz="0" w:space="0" w:color="auto"/>
                                            <w:right w:val="none" w:sz="0" w:space="0" w:color="auto"/>
                                          </w:divBdr>
                                          <w:divsChild>
                                            <w:div w:id="506021113">
                                              <w:marLeft w:val="0"/>
                                              <w:marRight w:val="0"/>
                                              <w:marTop w:val="0"/>
                                              <w:marBottom w:val="0"/>
                                              <w:divBdr>
                                                <w:top w:val="single" w:sz="6" w:space="5" w:color="CCCCCC"/>
                                                <w:left w:val="single" w:sz="6" w:space="9" w:color="CCCCCC"/>
                                                <w:bottom w:val="single" w:sz="6" w:space="5" w:color="CCCCCC"/>
                                                <w:right w:val="single" w:sz="6" w:space="9" w:color="CCCCCC"/>
                                              </w:divBdr>
                                            </w:div>
                                          </w:divsChild>
                                        </w:div>
                                      </w:divsChild>
                                    </w:div>
                                    <w:div w:id="1249773803">
                                      <w:marLeft w:val="0"/>
                                      <w:marRight w:val="0"/>
                                      <w:marTop w:val="0"/>
                                      <w:marBottom w:val="225"/>
                                      <w:divBdr>
                                        <w:top w:val="none" w:sz="0" w:space="0" w:color="auto"/>
                                        <w:left w:val="none" w:sz="0" w:space="0" w:color="auto"/>
                                        <w:bottom w:val="none" w:sz="0" w:space="0" w:color="auto"/>
                                        <w:right w:val="none" w:sz="0" w:space="0" w:color="auto"/>
                                      </w:divBdr>
                                    </w:div>
                                    <w:div w:id="1780642972">
                                      <w:marLeft w:val="0"/>
                                      <w:marRight w:val="0"/>
                                      <w:marTop w:val="0"/>
                                      <w:marBottom w:val="225"/>
                                      <w:divBdr>
                                        <w:top w:val="none" w:sz="0" w:space="0" w:color="auto"/>
                                        <w:left w:val="none" w:sz="0" w:space="0" w:color="auto"/>
                                        <w:bottom w:val="none" w:sz="0" w:space="0" w:color="auto"/>
                                        <w:right w:val="none" w:sz="0" w:space="0" w:color="auto"/>
                                      </w:divBdr>
                                      <w:divsChild>
                                        <w:div w:id="1948734976">
                                          <w:marLeft w:val="0"/>
                                          <w:marRight w:val="0"/>
                                          <w:marTop w:val="0"/>
                                          <w:marBottom w:val="0"/>
                                          <w:divBdr>
                                            <w:top w:val="none" w:sz="0" w:space="0" w:color="auto"/>
                                            <w:left w:val="none" w:sz="0" w:space="0" w:color="auto"/>
                                            <w:bottom w:val="none" w:sz="0" w:space="0" w:color="auto"/>
                                            <w:right w:val="none" w:sz="0" w:space="0" w:color="auto"/>
                                          </w:divBdr>
                                          <w:divsChild>
                                            <w:div w:id="1423338026">
                                              <w:marLeft w:val="0"/>
                                              <w:marRight w:val="0"/>
                                              <w:marTop w:val="0"/>
                                              <w:marBottom w:val="0"/>
                                              <w:divBdr>
                                                <w:top w:val="single" w:sz="6" w:space="5" w:color="CCCCCC"/>
                                                <w:left w:val="single" w:sz="6" w:space="9" w:color="CCCCCC"/>
                                                <w:bottom w:val="single" w:sz="6" w:space="5" w:color="CCCCCC"/>
                                                <w:right w:val="single" w:sz="6" w:space="9" w:color="CCCCCC"/>
                                              </w:divBdr>
                                            </w:div>
                                          </w:divsChild>
                                        </w:div>
                                      </w:divsChild>
                                    </w:div>
                                  </w:divsChild>
                                </w:div>
                              </w:divsChild>
                            </w:div>
                          </w:divsChild>
                        </w:div>
                      </w:divsChild>
                    </w:div>
                  </w:divsChild>
                </w:div>
              </w:divsChild>
            </w:div>
          </w:divsChild>
        </w:div>
      </w:divsChild>
    </w:div>
    <w:div w:id="1369405269">
      <w:bodyDiv w:val="1"/>
      <w:marLeft w:val="0"/>
      <w:marRight w:val="0"/>
      <w:marTop w:val="0"/>
      <w:marBottom w:val="0"/>
      <w:divBdr>
        <w:top w:val="none" w:sz="0" w:space="0" w:color="auto"/>
        <w:left w:val="none" w:sz="0" w:space="0" w:color="auto"/>
        <w:bottom w:val="none" w:sz="0" w:space="0" w:color="auto"/>
        <w:right w:val="none" w:sz="0" w:space="0" w:color="auto"/>
      </w:divBdr>
      <w:divsChild>
        <w:div w:id="287400468">
          <w:marLeft w:val="0"/>
          <w:marRight w:val="0"/>
          <w:marTop w:val="0"/>
          <w:marBottom w:val="0"/>
          <w:divBdr>
            <w:top w:val="none" w:sz="0" w:space="0" w:color="auto"/>
            <w:left w:val="none" w:sz="0" w:space="0" w:color="auto"/>
            <w:bottom w:val="none" w:sz="0" w:space="0" w:color="auto"/>
            <w:right w:val="none" w:sz="0" w:space="0" w:color="auto"/>
          </w:divBdr>
          <w:divsChild>
            <w:div w:id="483010639">
              <w:marLeft w:val="0"/>
              <w:marRight w:val="0"/>
              <w:marTop w:val="0"/>
              <w:marBottom w:val="0"/>
              <w:divBdr>
                <w:top w:val="none" w:sz="0" w:space="0" w:color="auto"/>
                <w:left w:val="none" w:sz="0" w:space="0" w:color="auto"/>
                <w:bottom w:val="none" w:sz="0" w:space="0" w:color="auto"/>
                <w:right w:val="none" w:sz="0" w:space="0" w:color="auto"/>
              </w:divBdr>
              <w:divsChild>
                <w:div w:id="1426458939">
                  <w:marLeft w:val="0"/>
                  <w:marRight w:val="0"/>
                  <w:marTop w:val="0"/>
                  <w:marBottom w:val="0"/>
                  <w:divBdr>
                    <w:top w:val="none" w:sz="0" w:space="0" w:color="auto"/>
                    <w:left w:val="none" w:sz="0" w:space="0" w:color="auto"/>
                    <w:bottom w:val="none" w:sz="0" w:space="0" w:color="auto"/>
                    <w:right w:val="none" w:sz="0" w:space="0" w:color="auto"/>
                  </w:divBdr>
                  <w:divsChild>
                    <w:div w:id="979726743">
                      <w:marLeft w:val="0"/>
                      <w:marRight w:val="0"/>
                      <w:marTop w:val="0"/>
                      <w:marBottom w:val="0"/>
                      <w:divBdr>
                        <w:top w:val="none" w:sz="0" w:space="0" w:color="auto"/>
                        <w:left w:val="none" w:sz="0" w:space="0" w:color="auto"/>
                        <w:bottom w:val="none" w:sz="0" w:space="0" w:color="auto"/>
                        <w:right w:val="none" w:sz="0" w:space="0" w:color="auto"/>
                      </w:divBdr>
                    </w:div>
                    <w:div w:id="1747651727">
                      <w:marLeft w:val="0"/>
                      <w:marRight w:val="0"/>
                      <w:marTop w:val="0"/>
                      <w:marBottom w:val="0"/>
                      <w:divBdr>
                        <w:top w:val="none" w:sz="0" w:space="0" w:color="auto"/>
                        <w:left w:val="none" w:sz="0" w:space="0" w:color="auto"/>
                        <w:bottom w:val="none" w:sz="0" w:space="0" w:color="auto"/>
                        <w:right w:val="none" w:sz="0" w:space="0" w:color="auto"/>
                      </w:divBdr>
                    </w:div>
                  </w:divsChild>
                </w:div>
                <w:div w:id="2065790218">
                  <w:marLeft w:val="0"/>
                  <w:marRight w:val="0"/>
                  <w:marTop w:val="0"/>
                  <w:marBottom w:val="0"/>
                  <w:divBdr>
                    <w:top w:val="none" w:sz="0" w:space="0" w:color="auto"/>
                    <w:left w:val="none" w:sz="0" w:space="0" w:color="auto"/>
                    <w:bottom w:val="none" w:sz="0" w:space="0" w:color="auto"/>
                    <w:right w:val="none" w:sz="0" w:space="0" w:color="auto"/>
                  </w:divBdr>
                  <w:divsChild>
                    <w:div w:id="944001139">
                      <w:marLeft w:val="0"/>
                      <w:marRight w:val="0"/>
                      <w:marTop w:val="0"/>
                      <w:marBottom w:val="0"/>
                      <w:divBdr>
                        <w:top w:val="none" w:sz="0" w:space="0" w:color="auto"/>
                        <w:left w:val="none" w:sz="0" w:space="0" w:color="auto"/>
                        <w:bottom w:val="none" w:sz="0" w:space="0" w:color="auto"/>
                        <w:right w:val="none" w:sz="0" w:space="0" w:color="auto"/>
                      </w:divBdr>
                    </w:div>
                    <w:div w:id="132200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648991">
              <w:marLeft w:val="0"/>
              <w:marRight w:val="0"/>
              <w:marTop w:val="0"/>
              <w:marBottom w:val="0"/>
              <w:divBdr>
                <w:top w:val="none" w:sz="0" w:space="0" w:color="auto"/>
                <w:left w:val="none" w:sz="0" w:space="0" w:color="auto"/>
                <w:bottom w:val="none" w:sz="0" w:space="0" w:color="auto"/>
                <w:right w:val="none" w:sz="0" w:space="0" w:color="auto"/>
              </w:divBdr>
              <w:divsChild>
                <w:div w:id="1504053492">
                  <w:marLeft w:val="0"/>
                  <w:marRight w:val="0"/>
                  <w:marTop w:val="0"/>
                  <w:marBottom w:val="0"/>
                  <w:divBdr>
                    <w:top w:val="none" w:sz="0" w:space="0" w:color="auto"/>
                    <w:left w:val="none" w:sz="0" w:space="0" w:color="auto"/>
                    <w:bottom w:val="none" w:sz="0" w:space="0" w:color="auto"/>
                    <w:right w:val="none" w:sz="0" w:space="0" w:color="auto"/>
                  </w:divBdr>
                  <w:divsChild>
                    <w:div w:id="73479420">
                      <w:marLeft w:val="0"/>
                      <w:marRight w:val="0"/>
                      <w:marTop w:val="0"/>
                      <w:marBottom w:val="0"/>
                      <w:divBdr>
                        <w:top w:val="none" w:sz="0" w:space="0" w:color="auto"/>
                        <w:left w:val="none" w:sz="0" w:space="0" w:color="auto"/>
                        <w:bottom w:val="none" w:sz="0" w:space="0" w:color="auto"/>
                        <w:right w:val="none" w:sz="0" w:space="0" w:color="auto"/>
                      </w:divBdr>
                    </w:div>
                    <w:div w:id="187186706">
                      <w:marLeft w:val="0"/>
                      <w:marRight w:val="0"/>
                      <w:marTop w:val="0"/>
                      <w:marBottom w:val="0"/>
                      <w:divBdr>
                        <w:top w:val="none" w:sz="0" w:space="0" w:color="auto"/>
                        <w:left w:val="none" w:sz="0" w:space="0" w:color="auto"/>
                        <w:bottom w:val="none" w:sz="0" w:space="0" w:color="auto"/>
                        <w:right w:val="none" w:sz="0" w:space="0" w:color="auto"/>
                      </w:divBdr>
                    </w:div>
                    <w:div w:id="342123095">
                      <w:marLeft w:val="0"/>
                      <w:marRight w:val="0"/>
                      <w:marTop w:val="0"/>
                      <w:marBottom w:val="0"/>
                      <w:divBdr>
                        <w:top w:val="none" w:sz="0" w:space="0" w:color="auto"/>
                        <w:left w:val="none" w:sz="0" w:space="0" w:color="auto"/>
                        <w:bottom w:val="none" w:sz="0" w:space="0" w:color="auto"/>
                        <w:right w:val="none" w:sz="0" w:space="0" w:color="auto"/>
                      </w:divBdr>
                    </w:div>
                    <w:div w:id="679625446">
                      <w:marLeft w:val="0"/>
                      <w:marRight w:val="0"/>
                      <w:marTop w:val="0"/>
                      <w:marBottom w:val="0"/>
                      <w:divBdr>
                        <w:top w:val="none" w:sz="0" w:space="0" w:color="auto"/>
                        <w:left w:val="none" w:sz="0" w:space="0" w:color="auto"/>
                        <w:bottom w:val="none" w:sz="0" w:space="0" w:color="auto"/>
                        <w:right w:val="none" w:sz="0" w:space="0" w:color="auto"/>
                      </w:divBdr>
                    </w:div>
                    <w:div w:id="850098687">
                      <w:marLeft w:val="0"/>
                      <w:marRight w:val="0"/>
                      <w:marTop w:val="0"/>
                      <w:marBottom w:val="0"/>
                      <w:divBdr>
                        <w:top w:val="none" w:sz="0" w:space="0" w:color="auto"/>
                        <w:left w:val="none" w:sz="0" w:space="0" w:color="auto"/>
                        <w:bottom w:val="none" w:sz="0" w:space="0" w:color="auto"/>
                        <w:right w:val="none" w:sz="0" w:space="0" w:color="auto"/>
                      </w:divBdr>
                    </w:div>
                    <w:div w:id="930088448">
                      <w:marLeft w:val="0"/>
                      <w:marRight w:val="0"/>
                      <w:marTop w:val="0"/>
                      <w:marBottom w:val="0"/>
                      <w:divBdr>
                        <w:top w:val="none" w:sz="0" w:space="0" w:color="auto"/>
                        <w:left w:val="none" w:sz="0" w:space="0" w:color="auto"/>
                        <w:bottom w:val="none" w:sz="0" w:space="0" w:color="auto"/>
                        <w:right w:val="none" w:sz="0" w:space="0" w:color="auto"/>
                      </w:divBdr>
                    </w:div>
                    <w:div w:id="1005593012">
                      <w:marLeft w:val="0"/>
                      <w:marRight w:val="0"/>
                      <w:marTop w:val="0"/>
                      <w:marBottom w:val="0"/>
                      <w:divBdr>
                        <w:top w:val="none" w:sz="0" w:space="0" w:color="auto"/>
                        <w:left w:val="none" w:sz="0" w:space="0" w:color="auto"/>
                        <w:bottom w:val="none" w:sz="0" w:space="0" w:color="auto"/>
                        <w:right w:val="none" w:sz="0" w:space="0" w:color="auto"/>
                      </w:divBdr>
                      <w:divsChild>
                        <w:div w:id="403987387">
                          <w:marLeft w:val="0"/>
                          <w:marRight w:val="0"/>
                          <w:marTop w:val="0"/>
                          <w:marBottom w:val="0"/>
                          <w:divBdr>
                            <w:top w:val="none" w:sz="0" w:space="0" w:color="auto"/>
                            <w:left w:val="none" w:sz="0" w:space="0" w:color="auto"/>
                            <w:bottom w:val="none" w:sz="0" w:space="0" w:color="auto"/>
                            <w:right w:val="none" w:sz="0" w:space="0" w:color="auto"/>
                          </w:divBdr>
                        </w:div>
                        <w:div w:id="1179151234">
                          <w:marLeft w:val="0"/>
                          <w:marRight w:val="0"/>
                          <w:marTop w:val="0"/>
                          <w:marBottom w:val="0"/>
                          <w:divBdr>
                            <w:top w:val="none" w:sz="0" w:space="0" w:color="auto"/>
                            <w:left w:val="none" w:sz="0" w:space="0" w:color="auto"/>
                            <w:bottom w:val="none" w:sz="0" w:space="0" w:color="auto"/>
                            <w:right w:val="none" w:sz="0" w:space="0" w:color="auto"/>
                          </w:divBdr>
                        </w:div>
                        <w:div w:id="2128544091">
                          <w:marLeft w:val="0"/>
                          <w:marRight w:val="0"/>
                          <w:marTop w:val="0"/>
                          <w:marBottom w:val="0"/>
                          <w:divBdr>
                            <w:top w:val="none" w:sz="0" w:space="0" w:color="auto"/>
                            <w:left w:val="none" w:sz="0" w:space="0" w:color="auto"/>
                            <w:bottom w:val="none" w:sz="0" w:space="0" w:color="auto"/>
                            <w:right w:val="none" w:sz="0" w:space="0" w:color="auto"/>
                          </w:divBdr>
                        </w:div>
                      </w:divsChild>
                    </w:div>
                    <w:div w:id="1174227368">
                      <w:marLeft w:val="0"/>
                      <w:marRight w:val="0"/>
                      <w:marTop w:val="0"/>
                      <w:marBottom w:val="0"/>
                      <w:divBdr>
                        <w:top w:val="none" w:sz="0" w:space="0" w:color="auto"/>
                        <w:left w:val="none" w:sz="0" w:space="0" w:color="auto"/>
                        <w:bottom w:val="none" w:sz="0" w:space="0" w:color="auto"/>
                        <w:right w:val="none" w:sz="0" w:space="0" w:color="auto"/>
                      </w:divBdr>
                    </w:div>
                    <w:div w:id="1463622097">
                      <w:marLeft w:val="0"/>
                      <w:marRight w:val="0"/>
                      <w:marTop w:val="0"/>
                      <w:marBottom w:val="0"/>
                      <w:divBdr>
                        <w:top w:val="none" w:sz="0" w:space="0" w:color="auto"/>
                        <w:left w:val="none" w:sz="0" w:space="0" w:color="auto"/>
                        <w:bottom w:val="none" w:sz="0" w:space="0" w:color="auto"/>
                        <w:right w:val="none" w:sz="0" w:space="0" w:color="auto"/>
                      </w:divBdr>
                    </w:div>
                    <w:div w:id="1690984121">
                      <w:marLeft w:val="0"/>
                      <w:marRight w:val="0"/>
                      <w:marTop w:val="0"/>
                      <w:marBottom w:val="0"/>
                      <w:divBdr>
                        <w:top w:val="none" w:sz="0" w:space="0" w:color="auto"/>
                        <w:left w:val="none" w:sz="0" w:space="0" w:color="auto"/>
                        <w:bottom w:val="none" w:sz="0" w:space="0" w:color="auto"/>
                        <w:right w:val="none" w:sz="0" w:space="0" w:color="auto"/>
                      </w:divBdr>
                    </w:div>
                    <w:div w:id="2066294841">
                      <w:marLeft w:val="0"/>
                      <w:marRight w:val="0"/>
                      <w:marTop w:val="0"/>
                      <w:marBottom w:val="0"/>
                      <w:divBdr>
                        <w:top w:val="none" w:sz="0" w:space="0" w:color="auto"/>
                        <w:left w:val="none" w:sz="0" w:space="0" w:color="auto"/>
                        <w:bottom w:val="none" w:sz="0" w:space="0" w:color="auto"/>
                        <w:right w:val="none" w:sz="0" w:space="0" w:color="auto"/>
                      </w:divBdr>
                    </w:div>
                  </w:divsChild>
                </w:div>
                <w:div w:id="1671758689">
                  <w:marLeft w:val="0"/>
                  <w:marRight w:val="0"/>
                  <w:marTop w:val="0"/>
                  <w:marBottom w:val="0"/>
                  <w:divBdr>
                    <w:top w:val="none" w:sz="0" w:space="0" w:color="auto"/>
                    <w:left w:val="none" w:sz="0" w:space="0" w:color="auto"/>
                    <w:bottom w:val="none" w:sz="0" w:space="0" w:color="auto"/>
                    <w:right w:val="none" w:sz="0" w:space="0" w:color="auto"/>
                  </w:divBdr>
                  <w:divsChild>
                    <w:div w:id="228810483">
                      <w:marLeft w:val="0"/>
                      <w:marRight w:val="0"/>
                      <w:marTop w:val="0"/>
                      <w:marBottom w:val="0"/>
                      <w:divBdr>
                        <w:top w:val="none" w:sz="0" w:space="0" w:color="auto"/>
                        <w:left w:val="none" w:sz="0" w:space="0" w:color="auto"/>
                        <w:bottom w:val="none" w:sz="0" w:space="0" w:color="auto"/>
                        <w:right w:val="none" w:sz="0" w:space="0" w:color="auto"/>
                      </w:divBdr>
                      <w:divsChild>
                        <w:div w:id="240221558">
                          <w:marLeft w:val="0"/>
                          <w:marRight w:val="0"/>
                          <w:marTop w:val="0"/>
                          <w:marBottom w:val="0"/>
                          <w:divBdr>
                            <w:top w:val="none" w:sz="0" w:space="0" w:color="auto"/>
                            <w:left w:val="none" w:sz="0" w:space="0" w:color="auto"/>
                            <w:bottom w:val="none" w:sz="0" w:space="0" w:color="auto"/>
                            <w:right w:val="none" w:sz="0" w:space="0" w:color="auto"/>
                          </w:divBdr>
                        </w:div>
                        <w:div w:id="726800893">
                          <w:marLeft w:val="0"/>
                          <w:marRight w:val="0"/>
                          <w:marTop w:val="0"/>
                          <w:marBottom w:val="0"/>
                          <w:divBdr>
                            <w:top w:val="none" w:sz="0" w:space="0" w:color="auto"/>
                            <w:left w:val="none" w:sz="0" w:space="0" w:color="auto"/>
                            <w:bottom w:val="none" w:sz="0" w:space="0" w:color="auto"/>
                            <w:right w:val="none" w:sz="0" w:space="0" w:color="auto"/>
                          </w:divBdr>
                        </w:div>
                        <w:div w:id="1112439601">
                          <w:marLeft w:val="0"/>
                          <w:marRight w:val="0"/>
                          <w:marTop w:val="0"/>
                          <w:marBottom w:val="0"/>
                          <w:divBdr>
                            <w:top w:val="none" w:sz="0" w:space="0" w:color="auto"/>
                            <w:left w:val="none" w:sz="0" w:space="0" w:color="auto"/>
                            <w:bottom w:val="none" w:sz="0" w:space="0" w:color="auto"/>
                            <w:right w:val="none" w:sz="0" w:space="0" w:color="auto"/>
                          </w:divBdr>
                        </w:div>
                      </w:divsChild>
                    </w:div>
                    <w:div w:id="995645659">
                      <w:marLeft w:val="0"/>
                      <w:marRight w:val="0"/>
                      <w:marTop w:val="0"/>
                      <w:marBottom w:val="0"/>
                      <w:divBdr>
                        <w:top w:val="none" w:sz="0" w:space="0" w:color="auto"/>
                        <w:left w:val="none" w:sz="0" w:space="0" w:color="auto"/>
                        <w:bottom w:val="none" w:sz="0" w:space="0" w:color="auto"/>
                        <w:right w:val="none" w:sz="0" w:space="0" w:color="auto"/>
                      </w:divBdr>
                    </w:div>
                    <w:div w:id="1315063463">
                      <w:marLeft w:val="0"/>
                      <w:marRight w:val="0"/>
                      <w:marTop w:val="0"/>
                      <w:marBottom w:val="0"/>
                      <w:divBdr>
                        <w:top w:val="none" w:sz="0" w:space="0" w:color="auto"/>
                        <w:left w:val="none" w:sz="0" w:space="0" w:color="auto"/>
                        <w:bottom w:val="none" w:sz="0" w:space="0" w:color="auto"/>
                        <w:right w:val="none" w:sz="0" w:space="0" w:color="auto"/>
                      </w:divBdr>
                      <w:divsChild>
                        <w:div w:id="625428360">
                          <w:marLeft w:val="0"/>
                          <w:marRight w:val="0"/>
                          <w:marTop w:val="0"/>
                          <w:marBottom w:val="0"/>
                          <w:divBdr>
                            <w:top w:val="none" w:sz="0" w:space="0" w:color="auto"/>
                            <w:left w:val="none" w:sz="0" w:space="0" w:color="auto"/>
                            <w:bottom w:val="none" w:sz="0" w:space="0" w:color="auto"/>
                            <w:right w:val="none" w:sz="0" w:space="0" w:color="auto"/>
                          </w:divBdr>
                        </w:div>
                        <w:div w:id="813445043">
                          <w:marLeft w:val="0"/>
                          <w:marRight w:val="0"/>
                          <w:marTop w:val="0"/>
                          <w:marBottom w:val="0"/>
                          <w:divBdr>
                            <w:top w:val="none" w:sz="0" w:space="0" w:color="auto"/>
                            <w:left w:val="none" w:sz="0" w:space="0" w:color="auto"/>
                            <w:bottom w:val="none" w:sz="0" w:space="0" w:color="auto"/>
                            <w:right w:val="none" w:sz="0" w:space="0" w:color="auto"/>
                          </w:divBdr>
                        </w:div>
                        <w:div w:id="959646128">
                          <w:marLeft w:val="0"/>
                          <w:marRight w:val="0"/>
                          <w:marTop w:val="0"/>
                          <w:marBottom w:val="0"/>
                          <w:divBdr>
                            <w:top w:val="none" w:sz="0" w:space="0" w:color="auto"/>
                            <w:left w:val="none" w:sz="0" w:space="0" w:color="auto"/>
                            <w:bottom w:val="none" w:sz="0" w:space="0" w:color="auto"/>
                            <w:right w:val="none" w:sz="0" w:space="0" w:color="auto"/>
                          </w:divBdr>
                        </w:div>
                        <w:div w:id="1035228024">
                          <w:marLeft w:val="0"/>
                          <w:marRight w:val="0"/>
                          <w:marTop w:val="0"/>
                          <w:marBottom w:val="0"/>
                          <w:divBdr>
                            <w:top w:val="none" w:sz="0" w:space="0" w:color="auto"/>
                            <w:left w:val="none" w:sz="0" w:space="0" w:color="auto"/>
                            <w:bottom w:val="none" w:sz="0" w:space="0" w:color="auto"/>
                            <w:right w:val="none" w:sz="0" w:space="0" w:color="auto"/>
                          </w:divBdr>
                        </w:div>
                        <w:div w:id="1068384425">
                          <w:marLeft w:val="0"/>
                          <w:marRight w:val="0"/>
                          <w:marTop w:val="0"/>
                          <w:marBottom w:val="0"/>
                          <w:divBdr>
                            <w:top w:val="none" w:sz="0" w:space="0" w:color="auto"/>
                            <w:left w:val="none" w:sz="0" w:space="0" w:color="auto"/>
                            <w:bottom w:val="none" w:sz="0" w:space="0" w:color="auto"/>
                            <w:right w:val="none" w:sz="0" w:space="0" w:color="auto"/>
                          </w:divBdr>
                        </w:div>
                        <w:div w:id="1830319496">
                          <w:marLeft w:val="0"/>
                          <w:marRight w:val="0"/>
                          <w:marTop w:val="0"/>
                          <w:marBottom w:val="0"/>
                          <w:divBdr>
                            <w:top w:val="none" w:sz="0" w:space="0" w:color="auto"/>
                            <w:left w:val="none" w:sz="0" w:space="0" w:color="auto"/>
                            <w:bottom w:val="none" w:sz="0" w:space="0" w:color="auto"/>
                            <w:right w:val="none" w:sz="0" w:space="0" w:color="auto"/>
                          </w:divBdr>
                        </w:div>
                        <w:div w:id="2092385724">
                          <w:marLeft w:val="0"/>
                          <w:marRight w:val="0"/>
                          <w:marTop w:val="0"/>
                          <w:marBottom w:val="0"/>
                          <w:divBdr>
                            <w:top w:val="none" w:sz="0" w:space="0" w:color="auto"/>
                            <w:left w:val="none" w:sz="0" w:space="0" w:color="auto"/>
                            <w:bottom w:val="none" w:sz="0" w:space="0" w:color="auto"/>
                            <w:right w:val="none" w:sz="0" w:space="0" w:color="auto"/>
                          </w:divBdr>
                        </w:div>
                        <w:div w:id="2116245314">
                          <w:marLeft w:val="0"/>
                          <w:marRight w:val="0"/>
                          <w:marTop w:val="0"/>
                          <w:marBottom w:val="0"/>
                          <w:divBdr>
                            <w:top w:val="none" w:sz="0" w:space="0" w:color="auto"/>
                            <w:left w:val="none" w:sz="0" w:space="0" w:color="auto"/>
                            <w:bottom w:val="none" w:sz="0" w:space="0" w:color="auto"/>
                            <w:right w:val="none" w:sz="0" w:space="0" w:color="auto"/>
                          </w:divBdr>
                        </w:div>
                      </w:divsChild>
                    </w:div>
                    <w:div w:id="1700619507">
                      <w:marLeft w:val="0"/>
                      <w:marRight w:val="0"/>
                      <w:marTop w:val="0"/>
                      <w:marBottom w:val="0"/>
                      <w:divBdr>
                        <w:top w:val="none" w:sz="0" w:space="0" w:color="auto"/>
                        <w:left w:val="none" w:sz="0" w:space="0" w:color="auto"/>
                        <w:bottom w:val="none" w:sz="0" w:space="0" w:color="auto"/>
                        <w:right w:val="none" w:sz="0" w:space="0" w:color="auto"/>
                      </w:divBdr>
                    </w:div>
                    <w:div w:id="1994794886">
                      <w:marLeft w:val="0"/>
                      <w:marRight w:val="0"/>
                      <w:marTop w:val="0"/>
                      <w:marBottom w:val="0"/>
                      <w:divBdr>
                        <w:top w:val="none" w:sz="0" w:space="0" w:color="auto"/>
                        <w:left w:val="none" w:sz="0" w:space="0" w:color="auto"/>
                        <w:bottom w:val="none" w:sz="0" w:space="0" w:color="auto"/>
                        <w:right w:val="none" w:sz="0" w:space="0" w:color="auto"/>
                      </w:divBdr>
                    </w:div>
                  </w:divsChild>
                </w:div>
                <w:div w:id="1891384907">
                  <w:marLeft w:val="0"/>
                  <w:marRight w:val="0"/>
                  <w:marTop w:val="0"/>
                  <w:marBottom w:val="0"/>
                  <w:divBdr>
                    <w:top w:val="none" w:sz="0" w:space="0" w:color="auto"/>
                    <w:left w:val="none" w:sz="0" w:space="0" w:color="auto"/>
                    <w:bottom w:val="none" w:sz="0" w:space="0" w:color="auto"/>
                    <w:right w:val="none" w:sz="0" w:space="0" w:color="auto"/>
                  </w:divBdr>
                  <w:divsChild>
                    <w:div w:id="572473771">
                      <w:marLeft w:val="0"/>
                      <w:marRight w:val="0"/>
                      <w:marTop w:val="0"/>
                      <w:marBottom w:val="0"/>
                      <w:divBdr>
                        <w:top w:val="none" w:sz="0" w:space="0" w:color="auto"/>
                        <w:left w:val="none" w:sz="0" w:space="0" w:color="auto"/>
                        <w:bottom w:val="none" w:sz="0" w:space="0" w:color="auto"/>
                        <w:right w:val="none" w:sz="0" w:space="0" w:color="auto"/>
                      </w:divBdr>
                    </w:div>
                    <w:div w:id="821703752">
                      <w:marLeft w:val="0"/>
                      <w:marRight w:val="0"/>
                      <w:marTop w:val="0"/>
                      <w:marBottom w:val="0"/>
                      <w:divBdr>
                        <w:top w:val="none" w:sz="0" w:space="0" w:color="auto"/>
                        <w:left w:val="none" w:sz="0" w:space="0" w:color="auto"/>
                        <w:bottom w:val="none" w:sz="0" w:space="0" w:color="auto"/>
                        <w:right w:val="none" w:sz="0" w:space="0" w:color="auto"/>
                      </w:divBdr>
                    </w:div>
                    <w:div w:id="1018312274">
                      <w:marLeft w:val="0"/>
                      <w:marRight w:val="0"/>
                      <w:marTop w:val="0"/>
                      <w:marBottom w:val="0"/>
                      <w:divBdr>
                        <w:top w:val="none" w:sz="0" w:space="0" w:color="auto"/>
                        <w:left w:val="none" w:sz="0" w:space="0" w:color="auto"/>
                        <w:bottom w:val="none" w:sz="0" w:space="0" w:color="auto"/>
                        <w:right w:val="none" w:sz="0" w:space="0" w:color="auto"/>
                      </w:divBdr>
                    </w:div>
                    <w:div w:id="1113744838">
                      <w:marLeft w:val="0"/>
                      <w:marRight w:val="0"/>
                      <w:marTop w:val="0"/>
                      <w:marBottom w:val="0"/>
                      <w:divBdr>
                        <w:top w:val="none" w:sz="0" w:space="0" w:color="auto"/>
                        <w:left w:val="none" w:sz="0" w:space="0" w:color="auto"/>
                        <w:bottom w:val="none" w:sz="0" w:space="0" w:color="auto"/>
                        <w:right w:val="none" w:sz="0" w:space="0" w:color="auto"/>
                      </w:divBdr>
                    </w:div>
                    <w:div w:id="1345745105">
                      <w:marLeft w:val="0"/>
                      <w:marRight w:val="0"/>
                      <w:marTop w:val="0"/>
                      <w:marBottom w:val="0"/>
                      <w:divBdr>
                        <w:top w:val="none" w:sz="0" w:space="0" w:color="auto"/>
                        <w:left w:val="none" w:sz="0" w:space="0" w:color="auto"/>
                        <w:bottom w:val="none" w:sz="0" w:space="0" w:color="auto"/>
                        <w:right w:val="none" w:sz="0" w:space="0" w:color="auto"/>
                      </w:divBdr>
                    </w:div>
                    <w:div w:id="1490748278">
                      <w:marLeft w:val="0"/>
                      <w:marRight w:val="0"/>
                      <w:marTop w:val="0"/>
                      <w:marBottom w:val="0"/>
                      <w:divBdr>
                        <w:top w:val="none" w:sz="0" w:space="0" w:color="auto"/>
                        <w:left w:val="none" w:sz="0" w:space="0" w:color="auto"/>
                        <w:bottom w:val="none" w:sz="0" w:space="0" w:color="auto"/>
                        <w:right w:val="none" w:sz="0" w:space="0" w:color="auto"/>
                      </w:divBdr>
                    </w:div>
                    <w:div w:id="1531650628">
                      <w:marLeft w:val="0"/>
                      <w:marRight w:val="0"/>
                      <w:marTop w:val="0"/>
                      <w:marBottom w:val="0"/>
                      <w:divBdr>
                        <w:top w:val="none" w:sz="0" w:space="0" w:color="auto"/>
                        <w:left w:val="none" w:sz="0" w:space="0" w:color="auto"/>
                        <w:bottom w:val="none" w:sz="0" w:space="0" w:color="auto"/>
                        <w:right w:val="none" w:sz="0" w:space="0" w:color="auto"/>
                      </w:divBdr>
                    </w:div>
                    <w:div w:id="1578128665">
                      <w:marLeft w:val="0"/>
                      <w:marRight w:val="0"/>
                      <w:marTop w:val="0"/>
                      <w:marBottom w:val="0"/>
                      <w:divBdr>
                        <w:top w:val="none" w:sz="0" w:space="0" w:color="auto"/>
                        <w:left w:val="none" w:sz="0" w:space="0" w:color="auto"/>
                        <w:bottom w:val="none" w:sz="0" w:space="0" w:color="auto"/>
                        <w:right w:val="none" w:sz="0" w:space="0" w:color="auto"/>
                      </w:divBdr>
                    </w:div>
                    <w:div w:id="1845391791">
                      <w:marLeft w:val="0"/>
                      <w:marRight w:val="0"/>
                      <w:marTop w:val="0"/>
                      <w:marBottom w:val="0"/>
                      <w:divBdr>
                        <w:top w:val="none" w:sz="0" w:space="0" w:color="auto"/>
                        <w:left w:val="none" w:sz="0" w:space="0" w:color="auto"/>
                        <w:bottom w:val="none" w:sz="0" w:space="0" w:color="auto"/>
                        <w:right w:val="none" w:sz="0" w:space="0" w:color="auto"/>
                      </w:divBdr>
                    </w:div>
                    <w:div w:id="1856066534">
                      <w:marLeft w:val="0"/>
                      <w:marRight w:val="0"/>
                      <w:marTop w:val="0"/>
                      <w:marBottom w:val="0"/>
                      <w:divBdr>
                        <w:top w:val="none" w:sz="0" w:space="0" w:color="auto"/>
                        <w:left w:val="none" w:sz="0" w:space="0" w:color="auto"/>
                        <w:bottom w:val="none" w:sz="0" w:space="0" w:color="auto"/>
                        <w:right w:val="none" w:sz="0" w:space="0" w:color="auto"/>
                      </w:divBdr>
                    </w:div>
                    <w:div w:id="2017614340">
                      <w:marLeft w:val="0"/>
                      <w:marRight w:val="0"/>
                      <w:marTop w:val="0"/>
                      <w:marBottom w:val="0"/>
                      <w:divBdr>
                        <w:top w:val="none" w:sz="0" w:space="0" w:color="auto"/>
                        <w:left w:val="none" w:sz="0" w:space="0" w:color="auto"/>
                        <w:bottom w:val="none" w:sz="0" w:space="0" w:color="auto"/>
                        <w:right w:val="none" w:sz="0" w:space="0" w:color="auto"/>
                      </w:divBdr>
                    </w:div>
                    <w:div w:id="2101025746">
                      <w:marLeft w:val="0"/>
                      <w:marRight w:val="0"/>
                      <w:marTop w:val="0"/>
                      <w:marBottom w:val="0"/>
                      <w:divBdr>
                        <w:top w:val="none" w:sz="0" w:space="0" w:color="auto"/>
                        <w:left w:val="none" w:sz="0" w:space="0" w:color="auto"/>
                        <w:bottom w:val="none" w:sz="0" w:space="0" w:color="auto"/>
                        <w:right w:val="none" w:sz="0" w:space="0" w:color="auto"/>
                      </w:divBdr>
                    </w:div>
                  </w:divsChild>
                </w:div>
                <w:div w:id="2141457434">
                  <w:marLeft w:val="0"/>
                  <w:marRight w:val="0"/>
                  <w:marTop w:val="0"/>
                  <w:marBottom w:val="0"/>
                  <w:divBdr>
                    <w:top w:val="none" w:sz="0" w:space="0" w:color="auto"/>
                    <w:left w:val="none" w:sz="0" w:space="0" w:color="auto"/>
                    <w:bottom w:val="none" w:sz="0" w:space="0" w:color="auto"/>
                    <w:right w:val="none" w:sz="0" w:space="0" w:color="auto"/>
                  </w:divBdr>
                  <w:divsChild>
                    <w:div w:id="184034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499326">
              <w:marLeft w:val="0"/>
              <w:marRight w:val="0"/>
              <w:marTop w:val="0"/>
              <w:marBottom w:val="0"/>
              <w:divBdr>
                <w:top w:val="none" w:sz="0" w:space="0" w:color="auto"/>
                <w:left w:val="none" w:sz="0" w:space="0" w:color="auto"/>
                <w:bottom w:val="none" w:sz="0" w:space="0" w:color="auto"/>
                <w:right w:val="none" w:sz="0" w:space="0" w:color="auto"/>
              </w:divBdr>
              <w:divsChild>
                <w:div w:id="724642785">
                  <w:marLeft w:val="0"/>
                  <w:marRight w:val="0"/>
                  <w:marTop w:val="0"/>
                  <w:marBottom w:val="0"/>
                  <w:divBdr>
                    <w:top w:val="none" w:sz="0" w:space="0" w:color="auto"/>
                    <w:left w:val="none" w:sz="0" w:space="0" w:color="auto"/>
                    <w:bottom w:val="none" w:sz="0" w:space="0" w:color="auto"/>
                    <w:right w:val="none" w:sz="0" w:space="0" w:color="auto"/>
                  </w:divBdr>
                  <w:divsChild>
                    <w:div w:id="39476535">
                      <w:marLeft w:val="0"/>
                      <w:marRight w:val="0"/>
                      <w:marTop w:val="0"/>
                      <w:marBottom w:val="0"/>
                      <w:divBdr>
                        <w:top w:val="none" w:sz="0" w:space="0" w:color="auto"/>
                        <w:left w:val="none" w:sz="0" w:space="0" w:color="auto"/>
                        <w:bottom w:val="none" w:sz="0" w:space="0" w:color="auto"/>
                        <w:right w:val="none" w:sz="0" w:space="0" w:color="auto"/>
                      </w:divBdr>
                    </w:div>
                    <w:div w:id="343820284">
                      <w:marLeft w:val="0"/>
                      <w:marRight w:val="0"/>
                      <w:marTop w:val="0"/>
                      <w:marBottom w:val="0"/>
                      <w:divBdr>
                        <w:top w:val="none" w:sz="0" w:space="0" w:color="auto"/>
                        <w:left w:val="none" w:sz="0" w:space="0" w:color="auto"/>
                        <w:bottom w:val="none" w:sz="0" w:space="0" w:color="auto"/>
                        <w:right w:val="none" w:sz="0" w:space="0" w:color="auto"/>
                      </w:divBdr>
                    </w:div>
                    <w:div w:id="1008480606">
                      <w:marLeft w:val="0"/>
                      <w:marRight w:val="0"/>
                      <w:marTop w:val="0"/>
                      <w:marBottom w:val="0"/>
                      <w:divBdr>
                        <w:top w:val="none" w:sz="0" w:space="0" w:color="auto"/>
                        <w:left w:val="none" w:sz="0" w:space="0" w:color="auto"/>
                        <w:bottom w:val="none" w:sz="0" w:space="0" w:color="auto"/>
                        <w:right w:val="none" w:sz="0" w:space="0" w:color="auto"/>
                      </w:divBdr>
                      <w:divsChild>
                        <w:div w:id="1124035443">
                          <w:marLeft w:val="0"/>
                          <w:marRight w:val="0"/>
                          <w:marTop w:val="0"/>
                          <w:marBottom w:val="0"/>
                          <w:divBdr>
                            <w:top w:val="none" w:sz="0" w:space="0" w:color="auto"/>
                            <w:left w:val="none" w:sz="0" w:space="0" w:color="auto"/>
                            <w:bottom w:val="none" w:sz="0" w:space="0" w:color="auto"/>
                            <w:right w:val="none" w:sz="0" w:space="0" w:color="auto"/>
                          </w:divBdr>
                        </w:div>
                        <w:div w:id="1250046314">
                          <w:marLeft w:val="0"/>
                          <w:marRight w:val="0"/>
                          <w:marTop w:val="0"/>
                          <w:marBottom w:val="0"/>
                          <w:divBdr>
                            <w:top w:val="none" w:sz="0" w:space="0" w:color="auto"/>
                            <w:left w:val="none" w:sz="0" w:space="0" w:color="auto"/>
                            <w:bottom w:val="none" w:sz="0" w:space="0" w:color="auto"/>
                            <w:right w:val="none" w:sz="0" w:space="0" w:color="auto"/>
                          </w:divBdr>
                        </w:div>
                        <w:div w:id="1358771048">
                          <w:marLeft w:val="0"/>
                          <w:marRight w:val="0"/>
                          <w:marTop w:val="0"/>
                          <w:marBottom w:val="0"/>
                          <w:divBdr>
                            <w:top w:val="none" w:sz="0" w:space="0" w:color="auto"/>
                            <w:left w:val="none" w:sz="0" w:space="0" w:color="auto"/>
                            <w:bottom w:val="none" w:sz="0" w:space="0" w:color="auto"/>
                            <w:right w:val="none" w:sz="0" w:space="0" w:color="auto"/>
                          </w:divBdr>
                        </w:div>
                      </w:divsChild>
                    </w:div>
                    <w:div w:id="1734966832">
                      <w:marLeft w:val="0"/>
                      <w:marRight w:val="0"/>
                      <w:marTop w:val="0"/>
                      <w:marBottom w:val="0"/>
                      <w:divBdr>
                        <w:top w:val="none" w:sz="0" w:space="0" w:color="auto"/>
                        <w:left w:val="none" w:sz="0" w:space="0" w:color="auto"/>
                        <w:bottom w:val="none" w:sz="0" w:space="0" w:color="auto"/>
                        <w:right w:val="none" w:sz="0" w:space="0" w:color="auto"/>
                      </w:divBdr>
                    </w:div>
                    <w:div w:id="1914855599">
                      <w:marLeft w:val="0"/>
                      <w:marRight w:val="0"/>
                      <w:marTop w:val="0"/>
                      <w:marBottom w:val="0"/>
                      <w:divBdr>
                        <w:top w:val="none" w:sz="0" w:space="0" w:color="auto"/>
                        <w:left w:val="none" w:sz="0" w:space="0" w:color="auto"/>
                        <w:bottom w:val="none" w:sz="0" w:space="0" w:color="auto"/>
                        <w:right w:val="none" w:sz="0" w:space="0" w:color="auto"/>
                      </w:divBdr>
                      <w:divsChild>
                        <w:div w:id="2368811">
                          <w:marLeft w:val="0"/>
                          <w:marRight w:val="0"/>
                          <w:marTop w:val="0"/>
                          <w:marBottom w:val="0"/>
                          <w:divBdr>
                            <w:top w:val="none" w:sz="0" w:space="0" w:color="auto"/>
                            <w:left w:val="none" w:sz="0" w:space="0" w:color="auto"/>
                            <w:bottom w:val="none" w:sz="0" w:space="0" w:color="auto"/>
                            <w:right w:val="none" w:sz="0" w:space="0" w:color="auto"/>
                          </w:divBdr>
                        </w:div>
                        <w:div w:id="93212611">
                          <w:marLeft w:val="0"/>
                          <w:marRight w:val="0"/>
                          <w:marTop w:val="0"/>
                          <w:marBottom w:val="0"/>
                          <w:divBdr>
                            <w:top w:val="none" w:sz="0" w:space="0" w:color="auto"/>
                            <w:left w:val="none" w:sz="0" w:space="0" w:color="auto"/>
                            <w:bottom w:val="none" w:sz="0" w:space="0" w:color="auto"/>
                            <w:right w:val="none" w:sz="0" w:space="0" w:color="auto"/>
                          </w:divBdr>
                        </w:div>
                        <w:div w:id="301427809">
                          <w:marLeft w:val="0"/>
                          <w:marRight w:val="0"/>
                          <w:marTop w:val="0"/>
                          <w:marBottom w:val="0"/>
                          <w:divBdr>
                            <w:top w:val="none" w:sz="0" w:space="0" w:color="auto"/>
                            <w:left w:val="none" w:sz="0" w:space="0" w:color="auto"/>
                            <w:bottom w:val="none" w:sz="0" w:space="0" w:color="auto"/>
                            <w:right w:val="none" w:sz="0" w:space="0" w:color="auto"/>
                          </w:divBdr>
                        </w:div>
                        <w:div w:id="685446915">
                          <w:marLeft w:val="0"/>
                          <w:marRight w:val="0"/>
                          <w:marTop w:val="0"/>
                          <w:marBottom w:val="0"/>
                          <w:divBdr>
                            <w:top w:val="none" w:sz="0" w:space="0" w:color="auto"/>
                            <w:left w:val="none" w:sz="0" w:space="0" w:color="auto"/>
                            <w:bottom w:val="none" w:sz="0" w:space="0" w:color="auto"/>
                            <w:right w:val="none" w:sz="0" w:space="0" w:color="auto"/>
                          </w:divBdr>
                        </w:div>
                        <w:div w:id="745882679">
                          <w:marLeft w:val="0"/>
                          <w:marRight w:val="0"/>
                          <w:marTop w:val="0"/>
                          <w:marBottom w:val="0"/>
                          <w:divBdr>
                            <w:top w:val="none" w:sz="0" w:space="0" w:color="auto"/>
                            <w:left w:val="none" w:sz="0" w:space="0" w:color="auto"/>
                            <w:bottom w:val="none" w:sz="0" w:space="0" w:color="auto"/>
                            <w:right w:val="none" w:sz="0" w:space="0" w:color="auto"/>
                          </w:divBdr>
                        </w:div>
                        <w:div w:id="1525287587">
                          <w:marLeft w:val="0"/>
                          <w:marRight w:val="0"/>
                          <w:marTop w:val="0"/>
                          <w:marBottom w:val="0"/>
                          <w:divBdr>
                            <w:top w:val="none" w:sz="0" w:space="0" w:color="auto"/>
                            <w:left w:val="none" w:sz="0" w:space="0" w:color="auto"/>
                            <w:bottom w:val="none" w:sz="0" w:space="0" w:color="auto"/>
                            <w:right w:val="none" w:sz="0" w:space="0" w:color="auto"/>
                          </w:divBdr>
                        </w:div>
                        <w:div w:id="1788697600">
                          <w:marLeft w:val="0"/>
                          <w:marRight w:val="0"/>
                          <w:marTop w:val="0"/>
                          <w:marBottom w:val="0"/>
                          <w:divBdr>
                            <w:top w:val="none" w:sz="0" w:space="0" w:color="auto"/>
                            <w:left w:val="none" w:sz="0" w:space="0" w:color="auto"/>
                            <w:bottom w:val="none" w:sz="0" w:space="0" w:color="auto"/>
                            <w:right w:val="none" w:sz="0" w:space="0" w:color="auto"/>
                          </w:divBdr>
                        </w:div>
                        <w:div w:id="2119836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aff2cb748b49b68dbb709914d6ca30" PartId="6aa19686924a4a03be5878cedcd02081">
    <Part Type="straipsnis" Nr="1" Abbr="1 str." Title="2 straipsnio pakeitimas" DocPartId="66404b115b0842c298862dcf722a4565" PartId="fc5973caa06944388d01de9effed8cec">
      <Part Type="strDalis" Nr="1" Abbr="1 str. 1 d." DocPartId="c69b4cc2bce3414195db739f4d4b0b02" PartId="558a5d79c0604a689c27fc7763fb01d3">
        <Part Type="citata" DocPartId="50274ba9ef634c8faa651dbfd4c9d0f1" PartId="948bf558d8ca4a3d8c93d21dd4a8d4a7">
          <Part Type="strDalis" Nr="3" Abbr="3 d." DocPartId="1f26227292104b8ca0cca549de3499e3" PartId="21772c7e1789473c989c6aac629d5683">
            <Part Type="strPunktas" Nr="1" Abbr="3 d. 1 p." DocPartId="60e8cd19088e42199022a21033e57234" PartId="59c62c10a09242b5a1bcfdba611a51a1"/>
            <Part Type="strPunktas" Nr="2" Abbr="3 d. 2 p." DocPartId="fbc2bb4785094538b2d95ee4aae4d74e" PartId="31cdaec76afe465b8da4f69c0a317bfc"/>
            <Part Type="strPunktas" Nr="3" Abbr="3 d. 3 p." DocPartId="5ac6276c49574daeb84281dc2082dd16" PartId="934d9ec768c74aaea91390b73cc6d815"/>
            <Part Type="strPunktas" Nr="4" Abbr="3 d. 4 p." DocPartId="c042334dd723474c89e061a0835c63ef" PartId="1c5b53a9270645649bacffd6baf3b71c"/>
            <Part Type="strPunktas" Nr="5" Abbr="3 d. 5 p." DocPartId="559aa3541ce0490ab9846791ce6d57d5" PartId="8f1f1d0541ee4fa2bb9252005d34cb41"/>
          </Part>
        </Part>
      </Part>
      <Part Type="strDalis" Nr="2" Abbr="1 str. 2 d." DocPartId="4f936dc4044d4438ad6f5c359e43cad1" PartId="faf730f8bd034fb4952ed43a3c8c8b88">
        <Part Type="citata" DocPartId="d5b9901be5ab4987b6d622d0a4967e9f" PartId="a1cad50af69e404d97654e6e8b4639bb">
          <Part Type="strDalis" Nr="11" Abbr="11 d." DocPartId="085c776031ce4750b90c64d8f97c30eb" PartId="66e40b533f2645d79fe4d60974dd7c63"/>
        </Part>
      </Part>
      <Part Type="strDalis" Nr="3" Abbr="1 str. 3 d." DocPartId="0e7b790a505d4c838e5b53d186e8d4a9" PartId="b4812b05c06f4059834c6af4f7923c64">
        <Part Type="citata" DocPartId="3ed4e1da7b9b47ddb3e3b997b4cbbcca" PartId="9df85dc257974e7393b2a3d6c41c3a1d">
          <Part Type="strDalis" Nr="14" Abbr="14 d." DocPartId="95077a000e4a4cd39d1b89b48c0c7599" PartId="6b29550414bd4a28ba042f4b358211c2"/>
        </Part>
      </Part>
    </Part>
    <Part Type="straipsnis" Nr="2" Abbr="2 str." Title="15 straipsnio pakeitimas" DocPartId="a2c50fb529674deebf6cc3b469b66a32" PartId="f3627de8b1b94911aaa75bff875fffac">
      <Part Type="strDalis" Nr="1" Abbr="2 str. 1 d." DocPartId="6c8a558013e24a1cba050174fbe635f9" PartId="1e10a24797e34af0a15c0d6d3afceff9">
        <Part Type="citata" DocPartId="bcbd343ed4854d5ea4aa28c0813a7fe1" PartId="bee5104f1a4a49aabb0ddaa9fd246a14">
          <Part Type="strPunktas" Nr="3" Abbr="3 p." DocPartId="ffa75e6c74ae4373b72ec35665170c10" PartId="6421195613ae4430aa4931353deb5178"/>
        </Part>
      </Part>
      <Part Type="strDalis" Nr="2" Abbr="2 str. 2 d." DocPartId="26a8aaa29635447084769b4dbc58f2d5" PartId="7a49c156cfb9463093986d1d44ff602a">
        <Part Type="citata" DocPartId="b6856bc1604d4768abcdbe137f4d54c2" PartId="8cb4d609da6d4d87a63a1d3b46ceac2c">
          <Part Type="strDalis" Nr="4" Abbr="4 d." DocPartId="e5063a22acfb468f9a7eda5ccbfb27df" PartId="8aeb2ae6060c4f76bbd660263450ac30"/>
        </Part>
      </Part>
    </Part>
    <Part Type="straipsnis" Nr="3" Abbr="3 str." Title="Įstatymo 2 priedo pakeitimas" DocPartId="488ae96d5a464bd4b9b298b568c21d8d" PartId="66018e7d3287456bb3427701ebf89abd">
      <Part Type="strDalis" Nr="1" Abbr="3 str. 1 d." DocPartId="72466143050140ea9d9931da8a13bdb6" PartId="1aa967d89c8841adb589f3ce390930e5">
        <Part Type="citata" DocPartId="b3770665df0c4da1b7ab6466f8c20a98" PartId="4e3dc72293e84679bcc0c6158c4ddb97">
          <Part Type="priedas" Nr="2" Abbr="2 pr." Title="ĮGYVENDINAMI EUROPOS SĄJUNGOS TEISĖS AKTAI" DocPartId="ec04c3fa02994af4a3af16416ccbb21f" PartId="a6fadd1bff8f49cc88e84815c9d0dcec">
            <Part Type="punktas" Nr="1" Abbr="2 pr. 1 p." DocPartId="ae5e21ca09b444debfd3f0d1d5769baa" PartId="3454497af89e43239967a13942af5bf1"/>
            <Part Type="punktas" Nr="2" Abbr="2 pr. 2 p." DocPartId="0dff19386fb1436896bd600af63858bb" PartId="2b96bd8dc5a449259474a58f8608caf6"/>
            <Part Type="punktas" Nr="3" Abbr="2 pr. 3 p." DocPartId="5a0773795d4c413685908b1c1816a1a4" PartId="d6f91d7626d5454293abf63f37bfa674"/>
          </Part>
        </Part>
      </Part>
    </Part>
    <Part Type="straipsnis" Nr="4" Abbr="4 str." Title="Įstatymo įsigaliojimas ir įgyvendinimas" DocPartId="2a8280c74a2a476ea1b69142ae952ed0" PartId="8bf2e7ea1117483b8679358d17978b0b">
      <Part Type="strDalis" Nr="1" Abbr="4 str. 1 d." DocPartId="872d31d9532441259da3610409a86cef" PartId="41deebb6e15d4d01b832e193002b1d68"/>
      <Part Type="strDalis" Nr="2" Abbr="4 str. 2 d." DocPartId="23ffbd07735e4553b6c9a310c49953f0" PartId="3c7c7bee0b86448fbe4d08feab33d945"/>
    </Part>
    <Part Type="signatura" DocPartId="57818b9e094246e4919ad7ce3ecdcaa9" PartId="e8d407632a284754bd6f7d7810fb1a16"/>
  </Part>
</Parts>
</file>

<file path=customXml/itemProps1.xml><?xml version="1.0" encoding="utf-8"?>
<ds:datastoreItem xmlns:ds="http://schemas.openxmlformats.org/officeDocument/2006/customXml" ds:itemID="{28945465-8E28-470A-9938-2EF2F495F3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656</Words>
  <Characters>3947</Characters>
  <Application>Microsoft Office Word</Application>
  <DocSecurity>4</DocSecurity>
  <Lines>89</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2016-09-13T12:39:00Z</dcterms:created>
  <dc:creator>JAKUČIONYTĖ Jolita</dc:creator>
  <lastModifiedBy>CLUSadmin</lastModifiedBy>
  <lastPrinted>2016-09-13T10:38:00Z</lastPrinted>
  <dcterms:modified xsi:type="dcterms:W3CDTF">2016-09-13T12:39:00Z</dcterms:modified>
  <revision>2</revision>
</coreProperties>
</file>