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d8cbbae2fbd4e49bcda14a74764009b"/>
        <w:lock w:val="sdtLocked"/>
        <w:richText/>
      </w:sdtPr>
      <w:sdtContent>
        <w:p>
          <w:pPr>
            <w:ind w:left="2127" w:firstLine="6520"/>
            <w:jc w:val="both"/>
            <w:rPr>
              <w:rFonts w:eastAsia="Calibri"/>
              <w:b/>
              <w:szCs w:val="24"/>
            </w:rPr>
          </w:pPr>
          <w:r>
            <w:rPr>
              <w:rFonts w:eastAsia="Calibri"/>
              <w:b/>
              <w:szCs w:val="24"/>
            </w:rPr>
            <w:t>Projektas</w:t>
          </w:r>
        </w:p>
        <w:p>
          <w:pPr>
            <w:shd w:val="clear" w:color="auto" w:fill="FFFFFF"/>
            <w:ind w:firstLine="682"/>
            <w:jc w:val="center"/>
            <w:rPr>
              <w:b/>
              <w:color w:val="000000"/>
              <w:szCs w:val="24"/>
              <w:lang w:eastAsia="lt-LT"/>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KORUPCIJOS PREVENCIJOS ĮSTATYMO NR. IX-904 6 STRAIPSNIO PAKEITIMO </w:t>
          </w:r>
        </w:p>
        <w:p>
          <w:pPr>
            <w:jc w:val="center"/>
            <w:rPr>
              <w:szCs w:val="24"/>
              <w:lang w:eastAsia="lt-LT"/>
            </w:rPr>
          </w:pPr>
          <w:r>
            <w:rPr>
              <w:b/>
              <w:bCs/>
              <w:szCs w:val="24"/>
              <w:lang w:eastAsia="lt-LT"/>
            </w:rPr>
            <w:t>ĮSTATYMAS</w:t>
          </w:r>
        </w:p>
        <w:p>
          <w:pPr>
            <w:ind w:firstLine="62"/>
            <w:jc w:val="center"/>
            <w:rPr>
              <w:szCs w:val="24"/>
              <w:lang w:eastAsia="lt-LT"/>
            </w:rPr>
          </w:pPr>
        </w:p>
        <w:p>
          <w:pPr>
            <w:jc w:val="center"/>
            <w:rPr>
              <w:rFonts w:eastAsia="Calibri"/>
              <w:szCs w:val="24"/>
            </w:rPr>
          </w:pPr>
          <w:r>
            <w:rPr>
              <w:rFonts w:eastAsia="Calibri"/>
              <w:szCs w:val="24"/>
            </w:rPr>
            <w:t>2015 m.</w:t>
            <w:tab/>
            <w:tab/>
            <w:t xml:space="preserve">d. Nr. </w:t>
          </w:r>
        </w:p>
        <w:p>
          <w:pPr>
            <w:jc w:val="center"/>
            <w:rPr>
              <w:rFonts w:eastAsia="Calibri"/>
              <w:szCs w:val="24"/>
            </w:rPr>
          </w:pPr>
          <w:r>
            <w:rPr>
              <w:rFonts w:eastAsia="Calibri"/>
              <w:szCs w:val="24"/>
            </w:rPr>
            <w:t>Vilnius</w:t>
          </w:r>
        </w:p>
        <w:p>
          <w:pPr>
            <w:ind w:firstLine="62"/>
            <w:jc w:val="center"/>
            <w:rPr>
              <w:szCs w:val="24"/>
              <w:lang w:eastAsia="lt-LT"/>
            </w:rPr>
          </w:pPr>
        </w:p>
        <w:p>
          <w:pPr>
            <w:ind w:firstLine="782"/>
            <w:rPr>
              <w:szCs w:val="24"/>
              <w:lang w:eastAsia="lt-LT"/>
            </w:rPr>
          </w:pPr>
        </w:p>
        <w:sdt>
          <w:sdtPr>
            <w:alias w:val="1 str."/>
            <w:tag w:val="part_cd1cc7cf83de47e08ffb7d05ee1c9b7a"/>
            <w:lock w:val="sdtLocked"/>
            <w:richText/>
          </w:sdtPr>
          <w:sdtContent>
            <w:p>
              <w:pPr>
                <w:ind w:firstLine="720"/>
                <w:jc w:val="both"/>
                <w:rPr>
                  <w:szCs w:val="24"/>
                  <w:lang w:eastAsia="lt-LT"/>
                </w:rPr>
              </w:pPr>
              <w:sdt>
                <w:sdtPr>
                  <w:alias w:val="Numeris"/>
                  <w:tag w:val="nr_cd1cc7cf83de47e08ffb7d05ee1c9b7a"/>
                  <w:lock w:val="sdtLocked"/>
                  <w:richText/>
                </w:sdtPr>
                <w:sdtContent>
                  <w:r>
                    <w:rPr>
                      <w:b/>
                      <w:bCs/>
                      <w:szCs w:val="24"/>
                      <w:lang w:eastAsia="lt-LT"/>
                    </w:rPr>
                    <w:t>1</w:t>
                  </w:r>
                </w:sdtContent>
              </w:sdt>
              <w:r>
                <w:rPr>
                  <w:b/>
                  <w:bCs/>
                  <w:szCs w:val="24"/>
                  <w:lang w:eastAsia="lt-LT"/>
                </w:rPr>
                <w:t xml:space="preserve"> straipsnis. </w:t>
              </w:r>
              <w:sdt>
                <w:sdtPr>
                  <w:alias w:val="Pavadinimas"/>
                  <w:tag w:val="title_cd1cc7cf83de47e08ffb7d05ee1c9b7a"/>
                  <w:lock w:val="sdtLocked"/>
                  <w:richText/>
                </w:sdtPr>
                <w:sdtContent>
                  <w:r>
                    <w:rPr>
                      <w:b/>
                      <w:bCs/>
                      <w:szCs w:val="24"/>
                      <w:lang w:eastAsia="lt-LT"/>
                    </w:rPr>
                    <w:t>6 straipsnio pakeitimas</w:t>
                  </w:r>
                </w:sdtContent>
              </w:sdt>
            </w:p>
            <w:sdt>
              <w:sdtPr>
                <w:alias w:val="1 str. 1 d."/>
                <w:tag w:val="part_84b32601c5714111abaeae66e03a1e03"/>
                <w:lock w:val="sdtLocked"/>
                <w:richText/>
              </w:sdtPr>
              <w:sdtContent>
                <w:p>
                  <w:pPr>
                    <w:ind w:firstLine="720"/>
                    <w:jc w:val="both"/>
                    <w:rPr>
                      <w:szCs w:val="24"/>
                      <w:lang w:eastAsia="lt-LT"/>
                    </w:rPr>
                  </w:pPr>
                  <w:r>
                    <w:rPr>
                      <w:szCs w:val="24"/>
                      <w:lang w:eastAsia="lt-LT"/>
                    </w:rPr>
                    <w:t>Pakeisti 6 straipsnio 1 dalį ir ją išdėstyti taip:</w:t>
                  </w:r>
                </w:p>
                <w:sdt>
                  <w:sdtPr>
                    <w:alias w:val="citata"/>
                    <w:tag w:val="part_0663e5db4b8445cb88b231fc02a71f2d"/>
                    <w:lock w:val="sdtLocked"/>
                    <w:richText/>
                  </w:sdtPr>
                  <w:sdtContent>
                    <w:sdt>
                      <w:sdtPr>
                        <w:alias w:val="1 d."/>
                        <w:tag w:val="part_b44572be7afb4e3b9f6014d9fbc1f879"/>
                        <w:lock w:val="sdtLocked"/>
                        <w:richText/>
                      </w:sdtPr>
                      <w:sdtContent>
                        <w:p>
                          <w:pPr>
                            <w:ind w:firstLine="720"/>
                            <w:jc w:val="both"/>
                            <w:rPr>
                              <w:szCs w:val="24"/>
                              <w:lang w:eastAsia="lt-LT"/>
                            </w:rPr>
                          </w:pPr>
                          <w:r>
                            <w:rPr>
                              <w:szCs w:val="24"/>
                              <w:lang w:eastAsia="lt-LT"/>
                            </w:rPr>
                            <w:t>„</w:t>
                          </w:r>
                          <w:sdt>
                            <w:sdtPr>
                              <w:alias w:val="Numeris"/>
                              <w:tag w:val="nr_b44572be7afb4e3b9f6014d9fbc1f879"/>
                              <w:lock w:val="sdtLocked"/>
                              <w:richText/>
                            </w:sdtPr>
                            <w:sdtContent>
                              <w:r>
                                <w:rPr>
                                  <w:color w:val="000000"/>
                                  <w:szCs w:val="24"/>
                                  <w:lang w:eastAsia="lt-LT"/>
                                </w:rPr>
                                <w:t>1</w:t>
                              </w:r>
                            </w:sdtContent>
                          </w:sdt>
                          <w:r>
                            <w:rPr>
                              <w:color w:val="000000"/>
                              <w:szCs w:val="24"/>
                              <w:lang w:eastAsia="lt-LT"/>
                            </w:rPr>
                            <w:t xml:space="preserve">. </w:t>
                          </w:r>
                          <w:r>
                            <w:rPr>
                              <w:szCs w:val="24"/>
                              <w:lang w:eastAsia="lt-LT"/>
                            </w:rPr>
                            <w:t>Korupcijos rizikos analizė – valstybės ar savivaldybės įstaigos, valstybės ar savivaldybės įmonės, taip pat įmonių, kuriose valstybei ar savivaldybei nuosavybės teise priklausančios akcijos visuotiniame akcininkų susirinkime suteikia daugiau kaip 50 procentų balsų,</w:t>
                          </w:r>
                          <w:r>
                            <w:rPr>
                              <w:b/>
                              <w:szCs w:val="24"/>
                              <w:lang w:eastAsia="lt-LT"/>
                            </w:rPr>
                            <w:t xml:space="preserve"> </w:t>
                          </w:r>
                          <w:r>
                            <w:rPr>
                              <w:szCs w:val="24"/>
                              <w:lang w:eastAsia="lt-LT"/>
                            </w:rPr>
                            <w:t>veiklos analizė antikorupciniu požiūriu Vyriausybės nustatyta tvarka bei motyvuotos išvados dėl korupcijos mažinimo, kovos su korupcija programos parengimo ir pasiūlymų dėl programos turinio pateikimas, taip pat kitų korupcijos prevencijos priemonių rekomendavimas</w:t>
                          </w:r>
                          <w:r>
                            <w:rPr>
                              <w:color w:val="000000"/>
                              <w:szCs w:val="24"/>
                              <w:lang w:eastAsia="lt-LT"/>
                            </w:rPr>
                            <w:t xml:space="preserve"> už jų įgyvendinimą atsakingoms valstybės ar savivaldybių įstaigoms, valstybės ar savivaldybės įmonėms, taip pat įmonėms, kuriose valstybei ar savivaldybei nuosavybės teise priklausančios akcijos visuotiniame akcininkų susirinkime suteikia daugiau kaip 50 procentų balsų.</w:t>
                          </w:r>
                          <w:r>
                            <w:rPr>
                              <w:szCs w:val="24"/>
                              <w:lang w:eastAsia="lt-LT"/>
                            </w:rPr>
                            <w:t>“</w:t>
                          </w:r>
                        </w:p>
                        <w:p>
                          <w:pPr>
                            <w:ind w:firstLine="720"/>
                            <w:jc w:val="both"/>
                            <w:rPr>
                              <w:szCs w:val="24"/>
                              <w:lang w:eastAsia="lt-LT"/>
                            </w:rPr>
                          </w:pPr>
                        </w:p>
                        <w:p>
                          <w:pPr>
                            <w:ind w:firstLine="720"/>
                            <w:jc w:val="both"/>
                            <w:rPr>
                              <w:szCs w:val="24"/>
                              <w:lang w:eastAsia="lt-LT"/>
                            </w:rPr>
                          </w:pPr>
                        </w:p>
                        <w:p>
                          <w:pPr>
                            <w:rPr>
                              <w:sz w:val="8"/>
                              <w:szCs w:val="8"/>
                            </w:rPr>
                          </w:pPr>
                        </w:p>
                      </w:sdtContent>
                    </w:sdt>
                  </w:sdtContent>
                </w:sdt>
              </w:sdtContent>
            </w:sdt>
          </w:sdtContent>
        </w:sdt>
        <w:sdt>
          <w:sdtPr>
            <w:alias w:val="signatura"/>
            <w:tag w:val="part_b2cd671459024262a0d8849f6d38477f"/>
            <w:lock w:val="sdtLocked"/>
            <w:richText/>
          </w:sdtPr>
          <w:sdtContent>
            <w:p>
              <w:pPr>
                <w:jc w:val="both"/>
                <w:rPr>
                  <w:rFonts w:eastAsia="Calibri"/>
                  <w:i/>
                  <w:szCs w:val="24"/>
                  <w:lang w:eastAsia="lt-LT"/>
                </w:rPr>
              </w:pPr>
              <w:r>
                <w:rPr>
                  <w:rFonts w:eastAsia="Calibri"/>
                  <w:i/>
                  <w:szCs w:val="24"/>
                  <w:lang w:eastAsia="lt-LT"/>
                </w:rPr>
                <w:t>Skelbiu šį Lietuvos Respublikos Seimo priimtą įstatymą.</w:t>
              </w:r>
            </w:p>
            <w:p>
              <w:pPr>
                <w:rPr>
                  <w:sz w:val="8"/>
                  <w:szCs w:val="8"/>
                </w:rPr>
              </w:pPr>
            </w:p>
            <w:p>
              <w:pPr>
                <w:jc w:val="both"/>
                <w:rPr>
                  <w:rFonts w:eastAsia="Calibri"/>
                  <w:szCs w:val="24"/>
                  <w:lang w:eastAsia="lt-LT"/>
                </w:rPr>
              </w:pPr>
            </w:p>
            <w:p>
              <w:pPr>
                <w:rPr>
                  <w:sz w:val="8"/>
                  <w:szCs w:val="8"/>
                </w:rPr>
              </w:pPr>
            </w:p>
            <w:p>
              <w:pPr>
                <w:jc w:val="both"/>
                <w:rPr>
                  <w:rFonts w:eastAsia="Calibri"/>
                  <w:szCs w:val="24"/>
                  <w:lang w:eastAsia="lt-LT"/>
                </w:rPr>
              </w:pPr>
            </w:p>
            <w:p>
              <w:pPr>
                <w:rPr>
                  <w:sz w:val="8"/>
                  <w:szCs w:val="8"/>
                </w:rPr>
              </w:pPr>
            </w:p>
            <w:p>
              <w:pPr>
                <w:rPr>
                  <w:rFonts w:eastAsia="Calibri"/>
                  <w:szCs w:val="24"/>
                  <w:lang w:eastAsia="lt-LT"/>
                </w:rPr>
              </w:pPr>
              <w:r>
                <w:rPr>
                  <w:rFonts w:eastAsia="Calibri"/>
                  <w:szCs w:val="24"/>
                  <w:lang w:eastAsia="lt-LT"/>
                </w:rPr>
                <w:t xml:space="preserve">Respublikos Prezidentas </w:t>
              </w:r>
            </w:p>
            <w:p>
              <w:pPr>
                <w:spacing w:line="276" w:lineRule="auto"/>
                <w:rPr>
                  <w:rFonts w:eastAsia="Calibri"/>
                  <w:szCs w:val="24"/>
                  <w:lang w:eastAsia="lt-LT"/>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5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9bb579d11d419aaac768dd6123d7e6" PartId="2d8cbbae2fbd4e49bcda14a74764009b">
    <Part Type="straipsnis" Nr="1" Abbr="1 str." Title="6 straipsnio pakeitimas" DocPartId="f148fdc0b742423193f1c3fbe1a6114a" PartId="cd1cc7cf83de47e08ffb7d05ee1c9b7a">
      <Part Type="strDalis" Nr="1" Abbr="1 str. 1 d." DocPartId="5f4135c10d81478e995d17e3b4bc949a" PartId="84b32601c5714111abaeae66e03a1e03">
        <Part Type="citata" DocPartId="d7816064347b4886ae01b90f6977cf97" PartId="0663e5db4b8445cb88b231fc02a71f2d">
          <Part Type="strDalis" Nr="1" Abbr="1 d." DocPartId="19785b604f1443c2b4806be7ce7bc195" PartId="b44572be7afb4e3b9f6014d9fbc1f879"/>
        </Part>
      </Part>
    </Part>
    <Part Type="signatura" DocPartId="1ebf38278f6042d3b7bf68681b04e72a" PartId="b2cd671459024262a0d8849f6d38477f"/>
  </Part>
</Parts>
</file>

<file path=customXml/itemProps1.xml><?xml version="1.0" encoding="utf-8"?>
<ds:datastoreItem xmlns:ds="http://schemas.openxmlformats.org/officeDocument/2006/customXml" ds:itemID="{FC59856D-61D2-4522-9D93-CF497FC8F1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137</Words>
  <Characters>986</Characters>
  <Application>Microsoft Office Word</Application>
  <DocSecurity>4</DocSecurity>
  <Lines>28</Lines>
  <Paragraphs>12</Paragraphs>
  <ScaleCrop>false</ScaleCrop>
  <HeadingPairs>
    <vt:vector size="2" baseType="variant">
      <vt:variant>
        <vt:lpstr>Title</vt:lpstr>
      </vt:variant>
      <vt:variant>
        <vt:i4>1</vt:i4>
      </vt:variant>
    </vt:vector>
  </HeadingPairs>
  <TitlesOfParts>
    <vt:vector size="1" baseType="lpstr">
      <vt:lpstr/>
    </vt:vector>
  </TitlesOfParts>
  <Company>LR Prezidento kanceliarija</Company>
  <LinksUpToDate>false</LinksUpToDate>
  <CharactersWithSpaces>1111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2015-11-24T11:18:00Z</dcterms:created>
  <dc:creator>Tadas Varapnickas</dc:creator>
  <lastModifiedBy>CLUSadmin</lastModifiedBy>
  <lastPrinted>2015-11-23T12:33:00Z</lastPrinted>
  <dcterms:modified xsi:type="dcterms:W3CDTF">2015-11-24T11:18:00Z</dcterms:modified>
  <revision>2</revision>
</coreProperties>
</file>