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framePr w:w="6324" w:h="1804" w:hRule="exact" w:hSpace="181" w:wrap="auto" w:vAnchor="page" w:hAnchor="page" w:x="3345" w:y="826"/>
        <w:ind w:right="-2"/>
        <w:jc w:val="center"/>
        <w:rPr>
          <w:sz w:val="18"/>
          <w:szCs w:val="24"/>
          <w:lang w:eastAsia="lt-LT"/>
        </w:rPr>
      </w:pPr>
    </w:p>
    <w:p>
      <w:pPr>
        <w:framePr w:w="6324" w:h="1804" w:hRule="exact" w:hSpace="181" w:wrap="auto" w:vAnchor="page" w:hAnchor="page" w:x="3345" w:y="826"/>
        <w:ind w:right="-2" w:firstLine="3596"/>
        <w:jc w:val="right"/>
        <w:rPr>
          <w:b/>
          <w:szCs w:val="24"/>
          <w:lang w:eastAsia="lt-LT"/>
        </w:rPr>
      </w:pPr>
    </w:p>
    <w:p>
      <w:pPr>
        <w:framePr w:w="6324" w:h="1804" w:hRule="exact" w:hSpace="181" w:wrap="auto" w:vAnchor="page" w:hAnchor="page" w:x="3345" w:y="826"/>
        <w:ind w:right="-2"/>
        <w:jc w:val="center"/>
        <w:rPr>
          <w:sz w:val="18"/>
          <w:szCs w:val="24"/>
          <w:lang w:eastAsia="lt-LT"/>
        </w:rPr>
      </w:pPr>
    </w:p>
    <w:p>
      <w:pPr>
        <w:framePr w:w="6324" w:h="1804" w:hRule="exact" w:hSpace="181" w:wrap="auto" w:vAnchor="page" w:hAnchor="page" w:x="3345" w:y="826"/>
        <w:ind w:right="-2"/>
        <w:jc w:val="center"/>
        <w:rPr>
          <w:sz w:val="18"/>
          <w:szCs w:val="24"/>
          <w:lang w:val="en-US"/>
        </w:rPr>
      </w:pPr>
    </w:p>
    <w:p>
      <w:pPr>
        <w:framePr w:w="6324" w:h="1804" w:hRule="exact" w:hSpace="181" w:wrap="auto" w:vAnchor="page" w:hAnchor="page" w:x="3345" w:y="826"/>
        <w:jc w:val="center"/>
        <w:rPr>
          <w:sz w:val="10"/>
          <w:szCs w:val="24"/>
          <w:lang w:val="en-US"/>
        </w:rPr>
      </w:pPr>
    </w:p>
    <w:p>
      <w:pPr>
        <w:framePr w:w="6324" w:h="1804" w:hRule="exact" w:hSpace="181" w:wrap="auto" w:vAnchor="page" w:hAnchor="page" w:x="3345" w:y="826"/>
        <w:jc w:val="center"/>
        <w:rPr>
          <w:b/>
          <w:sz w:val="28"/>
          <w:szCs w:val="24"/>
          <w:lang w:val="es-ES_tradnl"/>
        </w:rPr>
      </w:pPr>
      <w:r>
        <w:rPr>
          <w:b/>
          <w:sz w:val="28"/>
          <w:szCs w:val="24"/>
          <w:lang w:val="es-ES_tradnl"/>
        </w:rPr>
        <w:t>PRIENŲ RAJONO SAVIVALDYBĖS TARYBA</w:t>
      </w:r>
    </w:p>
    <w:p>
      <w:pPr>
        <w:tabs>
          <w:tab w:val="center" w:pos="4153"/>
          <w:tab w:val="right" w:pos="8306"/>
        </w:tabs>
        <w:rPr>
          <w:szCs w:val="24"/>
          <w:lang w:val="es-ES"/>
        </w:rPr>
      </w:pPr>
    </w:p>
    <w:p>
      <w:pPr>
        <w:ind w:firstLine="1488"/>
        <w:jc w:val="both"/>
        <w:rPr>
          <w:b/>
          <w:bCs/>
          <w:szCs w:val="24"/>
        </w:rPr>
      </w:pPr>
      <w:r>
        <w:rPr>
          <w:b/>
          <w:bCs/>
          <w:szCs w:val="24"/>
        </w:rPr>
        <w:t>Projektas</w:t>
        <w:tab/>
        <w:tab/>
      </w:r>
    </w:p>
    <w:p>
      <w:pPr>
        <w:tabs>
          <w:tab w:val="center" w:pos="4153"/>
          <w:tab w:val="right" w:pos="8306"/>
        </w:tabs>
        <w:jc w:val="center"/>
        <w:rPr>
          <w:b/>
          <w:bCs/>
          <w:szCs w:val="24"/>
        </w:rPr>
      </w:pPr>
    </w:p>
    <w:p>
      <w:pPr>
        <w:tabs>
          <w:tab w:val="center" w:pos="4153"/>
          <w:tab w:val="right" w:pos="8306"/>
        </w:tabs>
        <w:jc w:val="center"/>
        <w:rPr>
          <w:b/>
          <w:bCs/>
          <w:szCs w:val="24"/>
        </w:rPr>
      </w:pPr>
    </w:p>
    <w:p>
      <w:pPr>
        <w:tabs>
          <w:tab w:val="center" w:pos="4153"/>
          <w:tab w:val="right" w:pos="8306"/>
        </w:tabs>
        <w:jc w:val="center"/>
        <w:rPr>
          <w:b/>
          <w:bCs/>
          <w:szCs w:val="24"/>
        </w:rPr>
      </w:pPr>
    </w:p>
    <w:p>
      <w:pPr>
        <w:tabs>
          <w:tab w:val="center" w:pos="4153"/>
          <w:tab w:val="right" w:pos="8306"/>
        </w:tabs>
        <w:jc w:val="center"/>
        <w:rPr>
          <w:b/>
          <w:bCs/>
          <w:szCs w:val="24"/>
        </w:rPr>
      </w:pPr>
    </w:p>
    <w:p>
      <w:pPr>
        <w:spacing w:line="360" w:lineRule="auto"/>
        <w:jc w:val="center"/>
        <w:rPr>
          <w:b/>
          <w:szCs w:val="24"/>
        </w:rPr>
      </w:pPr>
    </w:p>
    <w:p>
      <w:pPr>
        <w:spacing w:line="276" w:lineRule="auto"/>
        <w:jc w:val="center"/>
        <w:rPr>
          <w:b/>
          <w:szCs w:val="24"/>
        </w:rPr>
      </w:pPr>
      <w:r>
        <w:rPr>
          <w:b/>
          <w:szCs w:val="24"/>
        </w:rPr>
        <w:t>SPRENDIMAS</w:t>
      </w:r>
    </w:p>
    <w:p>
      <w:pPr>
        <w:spacing w:line="276" w:lineRule="auto"/>
        <w:jc w:val="center"/>
        <w:rPr>
          <w:b/>
          <w:bCs/>
          <w:szCs w:val="24"/>
        </w:rPr>
      </w:pPr>
      <w:r>
        <w:rPr>
          <w:b/>
          <w:szCs w:val="24"/>
        </w:rPr>
        <w:t>DĖL PRITARIMO VIETOS PLĖTROS PROJEKTAMS</w:t>
      </w:r>
    </w:p>
    <w:p>
      <w:pPr>
        <w:spacing w:line="276" w:lineRule="auto"/>
        <w:jc w:val="center"/>
        <w:rPr>
          <w:szCs w:val="24"/>
        </w:rPr>
      </w:pPr>
    </w:p>
    <w:p>
      <w:pPr>
        <w:spacing w:line="276" w:lineRule="auto"/>
        <w:jc w:val="center"/>
        <w:rPr>
          <w:szCs w:val="24"/>
        </w:rPr>
      </w:pPr>
      <w:r>
        <w:rPr>
          <w:szCs w:val="24"/>
        </w:rPr>
        <w:t>2019 m. gruodžio 18 d. Nr. T1-334</w:t>
      </w:r>
    </w:p>
    <w:p>
      <w:pPr>
        <w:spacing w:line="276" w:lineRule="auto"/>
        <w:jc w:val="center"/>
        <w:rPr>
          <w:szCs w:val="24"/>
        </w:rPr>
      </w:pPr>
      <w:r>
        <w:rPr>
          <w:szCs w:val="24"/>
        </w:rPr>
        <w:t>Prienai</w:t>
      </w:r>
    </w:p>
    <w:p>
      <w:pPr>
        <w:spacing w:line="276" w:lineRule="auto"/>
        <w:jc w:val="center"/>
        <w:rPr>
          <w:szCs w:val="24"/>
        </w:rPr>
      </w:pPr>
    </w:p>
    <w:p>
      <w:pPr>
        <w:spacing w:line="276" w:lineRule="auto"/>
        <w:ind w:firstLine="1134"/>
        <w:jc w:val="both"/>
        <w:rPr>
          <w:szCs w:val="24"/>
        </w:rPr>
      </w:pPr>
      <w:r>
        <w:rPr>
          <w:szCs w:val="24"/>
        </w:rPr>
        <w:t xml:space="preserve">Vadovaudamasi 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32.3 papunkčiu ir atsižvelgdama į Vietos plėtros strategijos „Prienų rajono vietos veiklos grupės teritorijos 2015–2023 m. vietos plėtros strategija“ priemonės „NVO socialinės veiklos skatinimas ir įvairinimas“ Nr. LEADER-19.2-SAVA-5 vietos projektų finansavimo sąlygų aprašą, patvirtintą Prienų rajono vietos veiklos grupės valdybos 2019 m. lapkričio 6 d. protokolu Nr. 7, Prienų rajono savivaldybės taryba                n u s p r e n d ž i a: </w:t>
      </w:r>
    </w:p>
    <w:p>
      <w:pPr>
        <w:spacing w:line="276" w:lineRule="auto"/>
        <w:ind w:firstLine="1134"/>
        <w:jc w:val="both"/>
        <w:rPr>
          <w:color w:val="000000"/>
          <w:szCs w:val="24"/>
        </w:rPr>
      </w:pPr>
      <w:r>
        <w:rPr>
          <w:color w:val="000000"/>
          <w:szCs w:val="24"/>
        </w:rPr>
        <w:t>1</w:t>
      </w:r>
      <w:r>
        <w:rPr>
          <w:color w:val="000000"/>
          <w:szCs w:val="24"/>
        </w:rPr>
        <w:t xml:space="preserve">. Pritarti šiems vietos plėtros projektams: </w:t>
      </w:r>
    </w:p>
    <w:p>
      <w:pPr>
        <w:spacing w:line="276" w:lineRule="auto"/>
        <w:ind w:firstLine="1134"/>
        <w:jc w:val="both"/>
        <w:rPr>
          <w:color w:val="000000"/>
          <w:szCs w:val="24"/>
        </w:rPr>
      </w:pPr>
      <w:r>
        <w:rPr>
          <w:color w:val="000000"/>
          <w:szCs w:val="24"/>
        </w:rPr>
        <w:t>1.1</w:t>
      </w:r>
      <w:r>
        <w:rPr>
          <w:color w:val="000000"/>
          <w:szCs w:val="24"/>
        </w:rPr>
        <w:t>. Asociacijos „Žemaitkiemio kaimo bendruomenė“ projektui „Materialinės bazės stiprinimas edukacinių programų vykdymui ir sveiko gyvenimo būdo propagavimui Žemaitkiemyje“;</w:t>
      </w:r>
    </w:p>
    <w:p>
      <w:pPr>
        <w:spacing w:line="276" w:lineRule="auto"/>
        <w:ind w:firstLine="1134"/>
        <w:jc w:val="both"/>
        <w:rPr>
          <w:color w:val="000000"/>
          <w:szCs w:val="24"/>
        </w:rPr>
      </w:pPr>
      <w:r>
        <w:rPr>
          <w:color w:val="000000"/>
          <w:szCs w:val="24"/>
        </w:rPr>
        <w:t>1.2</w:t>
      </w:r>
      <w:r>
        <w:rPr>
          <w:color w:val="000000"/>
          <w:szCs w:val="24"/>
        </w:rPr>
        <w:t>. Prienų rajono Šilavoto bendruomenės centro projektui „</w:t>
      </w:r>
      <w:r>
        <w:rPr>
          <w:color w:val="000000"/>
          <w:szCs w:val="24"/>
          <w:lang w:val="en-US"/>
        </w:rPr>
        <w:t>Kad kaimas būtų gyvas“;</w:t>
      </w:r>
    </w:p>
    <w:p>
      <w:pPr>
        <w:spacing w:line="276" w:lineRule="auto"/>
        <w:ind w:firstLine="1134"/>
        <w:jc w:val="both"/>
        <w:rPr>
          <w:color w:val="000000"/>
          <w:szCs w:val="24"/>
        </w:rPr>
      </w:pPr>
      <w:r>
        <w:rPr>
          <w:color w:val="000000"/>
          <w:szCs w:val="24"/>
        </w:rPr>
        <w:t>1.3</w:t>
      </w:r>
      <w:r>
        <w:rPr>
          <w:color w:val="000000"/>
          <w:szCs w:val="24"/>
        </w:rPr>
        <w:t>. Bendruomenės „Veiverių kraštas“ projektui „Veiverių krašto gyventojų užimtumo didinimas siekiant sveikatinimo propagavimo, bendruomeniškumo skatinimo, užimtumo“;</w:t>
      </w:r>
    </w:p>
    <w:p>
      <w:pPr>
        <w:spacing w:line="276" w:lineRule="auto"/>
        <w:ind w:firstLine="1134"/>
        <w:jc w:val="both"/>
        <w:rPr>
          <w:color w:val="000000"/>
          <w:szCs w:val="24"/>
        </w:rPr>
      </w:pPr>
      <w:r>
        <w:rPr>
          <w:color w:val="000000"/>
          <w:szCs w:val="24"/>
        </w:rPr>
        <w:t>1.4</w:t>
      </w:r>
      <w:r>
        <w:rPr>
          <w:color w:val="000000"/>
          <w:szCs w:val="24"/>
        </w:rPr>
        <w:t xml:space="preserve">. Veiverių seniūnijos bendruomenės centro projektui „Veiverių krašto gyventojų užimtumo didinimas siekiant sumažinti socialinę atskirtį bei tausoti aplinką  dirbant su antrinėmis žaliavomis“;</w:t>
      </w:r>
    </w:p>
    <w:p>
      <w:pPr>
        <w:spacing w:line="276" w:lineRule="auto"/>
        <w:ind w:firstLine="1134"/>
        <w:jc w:val="both"/>
        <w:rPr>
          <w:szCs w:val="24"/>
        </w:rPr>
      </w:pPr>
      <w:r>
        <w:rPr>
          <w:color w:val="000000"/>
          <w:szCs w:val="24"/>
        </w:rPr>
        <w:t>1.5</w:t>
      </w:r>
      <w:r>
        <w:rPr>
          <w:color w:val="000000"/>
          <w:szCs w:val="24"/>
        </w:rPr>
        <w:t>. Želkūnų kaimo bendruomenės projektui</w:t>
      </w:r>
      <w:r>
        <w:rPr>
          <w:color w:val="FF0000"/>
          <w:szCs w:val="24"/>
        </w:rPr>
        <w:t xml:space="preserve"> </w:t>
      </w:r>
      <w:r>
        <w:rPr>
          <w:szCs w:val="24"/>
        </w:rPr>
        <w:t>„Socialinių veiklų įvairinimas puoselėjant krašto amatus bei ugdant bendruomenės narių verslumą“.</w:t>
      </w:r>
    </w:p>
    <w:p>
      <w:pPr>
        <w:spacing w:line="276" w:lineRule="auto"/>
        <w:ind w:firstLine="1134"/>
        <w:jc w:val="both"/>
        <w:rPr>
          <w:szCs w:val="24"/>
        </w:rPr>
      </w:pPr>
      <w:r>
        <w:rPr>
          <w:szCs w:val="24"/>
        </w:rPr>
        <w:t>2</w:t>
      </w:r>
      <w:r>
        <w:rPr>
          <w:szCs w:val="24"/>
        </w:rPr>
        <w:t xml:space="preserve">. Prisidėti prie vietos projektų finansavimo iki 20 proc. visų tinkamų finansuoti išlaidų, bet ne daugiau kaip po 5 000 Eur kiekvienam projektui, kai projekto partneris yra Prienų rajono savivaldybės administracija. </w:t>
      </w:r>
    </w:p>
    <w:p>
      <w:pPr>
        <w:spacing w:line="276" w:lineRule="auto"/>
        <w:ind w:firstLine="1134"/>
        <w:jc w:val="both"/>
        <w:rPr>
          <w:szCs w:val="24"/>
        </w:rPr>
      </w:pPr>
      <w:r>
        <w:rPr>
          <w:szCs w:val="24"/>
        </w:rPr>
        <w:t>3</w:t>
      </w:r>
      <w:r>
        <w:rPr>
          <w:szCs w:val="24"/>
        </w:rPr>
        <w:t>. Įgalioti Prienų rajono savivaldybės administracijos direktorių pasirašyti dokumentus, susijusius su sprendimo 1 punkte nurodytų projektų įgyvendinimu.</w:t>
      </w:r>
    </w:p>
    <w:p>
      <w:pPr>
        <w:spacing w:line="276" w:lineRule="auto"/>
        <w:ind w:firstLine="1134"/>
        <w:jc w:val="both"/>
        <w:rPr>
          <w:szCs w:val="24"/>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276" w:lineRule="auto"/>
        <w:ind w:firstLine="1080"/>
        <w:jc w:val="both"/>
        <w:rPr>
          <w:szCs w:val="24"/>
        </w:rPr>
      </w:pPr>
    </w:p>
    <w:p>
      <w:pPr>
        <w:tabs>
          <w:tab w:val="left" w:pos="1276"/>
        </w:tabs>
        <w:spacing w:line="276" w:lineRule="auto"/>
        <w:rPr>
          <w:szCs w:val="24"/>
        </w:rPr>
      </w:pPr>
      <w:r>
        <w:rPr>
          <w:szCs w:val="24"/>
        </w:rPr>
        <w:t>Savivaldybės meras</w:t>
        <w:tab/>
        <w:tab/>
        <w:t xml:space="preserve">     </w:t>
        <w:tab/>
        <w:t xml:space="preserve">                                 </w:t>
      </w:r>
    </w:p>
    <w:sectPr>
      <w:headerReference w:type="even" r:id="rId7"/>
      <w:headerReference w:type="default" r:id="rId8"/>
      <w:footerReference w:type="even" r:id="rId9"/>
      <w:footerReference w:type="default" r:id="rId10"/>
      <w:headerReference w:type="first" r:id="rId11"/>
      <w:footerReference w:type="first" r:id="rId12"/>
      <w:pgSz w:w="11906" w:h="16838" w:code="9"/>
      <w:pgMar w:top="426" w:right="567" w:bottom="720"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Cs w:val="24"/>
          <w:lang w:val="en-US"/>
        </w:rPr>
      </w:pPr>
      <w:r>
        <w:rPr>
          <w:szCs w:val="24"/>
          <w:lang w:val="en-US"/>
        </w:rPr>
        <w:separator/>
      </w:r>
    </w:p>
  </w:endnote>
  <w:endnote w:type="continuationSeparator" w:id="0">
    <w:p>
      <w:pPr>
        <w:rPr>
          <w:szCs w:val="24"/>
          <w:lang w:val="en-US"/>
        </w:rPr>
      </w:pPr>
      <w:r>
        <w:rPr>
          <w:szCs w:val="24"/>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val="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val="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Cs w:val="24"/>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Cs w:val="24"/>
          <w:lang w:val="en-US"/>
        </w:rPr>
      </w:pPr>
      <w:r>
        <w:rPr>
          <w:szCs w:val="24"/>
          <w:lang w:val="en-US"/>
        </w:rPr>
        <w:separator/>
      </w:r>
    </w:p>
  </w:footnote>
  <w:footnote w:type="continuationSeparator" w:id="0">
    <w:p>
      <w:pPr>
        <w:rPr>
          <w:szCs w:val="24"/>
          <w:lang w:val="en-US"/>
        </w:rPr>
      </w:pPr>
      <w:r>
        <w:rPr>
          <w:szCs w:val="24"/>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end"/>
    </w:r>
  </w:p>
  <w:p>
    <w:pPr>
      <w:tabs>
        <w:tab w:val="center" w:pos="4153"/>
        <w:tab w:val="right" w:pos="8306"/>
      </w:tabs>
      <w:rPr>
        <w:szCs w:val="24"/>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szCs w:val="24"/>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Cs w:val="24"/>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2356</Characters>
  <Application>Microsoft Office Word</Application>
  <DocSecurity>4</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2019-12-18T16:12:00Z</dcterms:created>
  <dc:creator>-</dc:creator>
  <lastModifiedBy>adlibuser</lastModifiedBy>
  <lastPrinted>2019-12-18T07:02:00Z</lastPrinted>
  <dcterms:modified xsi:type="dcterms:W3CDTF">2019-12-18T16:12:00Z</dcterms:modified>
  <revision>2</revision>
</coreProperties>
</file>