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tc>
          <w:tcPr>
            <w:tcW w:w="9638" w:type="dxa"/>
            <w:gridSpan w:val="5"/>
            <w:tcBorders>
              <w:bottom w:val="single" w:sz="4" w:space="0" w:color="000000"/>
            </w:tcBorders>
          </w:tcPr>
          <w:p>
            <w:pPr>
              <w:widowControl w:val="0"/>
              <w:suppressLineNumbers/>
              <w:tabs>
                <w:tab w:val="center" w:pos="4800"/>
                <w:tab w:val="right" w:pos="9601"/>
              </w:tabs>
              <w:suppressAutoHyphens/>
              <w:rPr>
                <w:rFonts w:eastAsia="Andale Sans UI" w:cs="Tahoma"/>
                <w:szCs w:val="24"/>
                <w:lang w:bidi="en-US"/>
              </w:rPr>
            </w:pPr>
          </w:p>
          <w:p>
            <w:pPr>
              <w:widowControl w:val="0"/>
              <w:suppressLineNumbers/>
              <w:suppressAutoHyphens/>
              <w:jc w:val="center"/>
              <w:rPr>
                <w:rFonts w:eastAsia="Andale Sans UI" w:cs="Tahoma"/>
                <w:b/>
                <w:bCs/>
                <w:spacing w:val="20"/>
                <w:sz w:val="28"/>
                <w:szCs w:val="28"/>
                <w:lang w:bidi="en-US"/>
              </w:rPr>
            </w:pPr>
            <w:r>
              <w:rPr>
                <w:rFonts w:eastAsia="Andale Sans UI" w:cs="Tahoma"/>
                <w:b/>
                <w:bCs/>
                <w:spacing w:val="20"/>
                <w:sz w:val="26"/>
                <w:szCs w:val="26"/>
                <w:lang w:val="en-US"/>
              </w:rPr>
              <w:drawing>
                <wp:inline distT="0" distB="0" distL="0" distR="0" wp14:anchorId="7EABDA31" wp14:editId="21DE8B34">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pPr>
              <w:rPr>
                <w:sz w:val="10"/>
                <w:szCs w:val="10"/>
              </w:rPr>
            </w:pPr>
          </w:p>
          <w:p>
            <w:pPr>
              <w:widowControl w:val="0"/>
              <w:suppressLineNumbers/>
              <w:suppressAutoHyphens/>
              <w:jc w:val="center"/>
              <w:rPr>
                <w:rFonts w:eastAsia="Andale Sans UI" w:cs="Tahoma"/>
                <w:b/>
                <w:bCs/>
                <w:spacing w:val="20"/>
                <w:sz w:val="28"/>
                <w:szCs w:val="28"/>
                <w:lang w:bidi="en-US"/>
              </w:rPr>
            </w:pPr>
            <w:r>
              <w:rPr>
                <w:rFonts w:eastAsia="Andale Sans UI" w:cs="Tahoma"/>
                <w:b/>
                <w:bCs/>
                <w:spacing w:val="20"/>
                <w:sz w:val="28"/>
                <w:szCs w:val="28"/>
                <w:lang w:bidi="en-US"/>
              </w:rPr>
              <w:t>LIETUVOS RESPUBLIKOS APLINKOS MINISTERIJA</w:t>
            </w:r>
          </w:p>
          <w:p>
            <w:pPr>
              <w:rPr>
                <w:sz w:val="10"/>
                <w:szCs w:val="10"/>
              </w:rPr>
            </w:pPr>
          </w:p>
          <w:p>
            <w:pPr>
              <w:widowControl w:val="0"/>
              <w:suppressLineNumbers/>
              <w:suppressAutoHyphens/>
              <w:jc w:val="center"/>
              <w:rPr>
                <w:rFonts w:ascii="Arial" w:eastAsia="Andale Sans UI" w:hAnsi="Arial" w:cs="Tahoma"/>
                <w:b/>
                <w:bCs/>
                <w:spacing w:val="12"/>
                <w:sz w:val="14"/>
                <w:szCs w:val="14"/>
                <w:lang w:bidi="en-US"/>
              </w:rPr>
            </w:pPr>
            <w:r>
              <w:rPr>
                <w:rFonts w:ascii="Arial" w:eastAsia="Andale Sans UI" w:hAnsi="Arial" w:cs="Tahoma"/>
                <w:b/>
                <w:bCs/>
                <w:spacing w:val="12"/>
                <w:sz w:val="14"/>
                <w:szCs w:val="14"/>
                <w:lang w:bidi="en-US"/>
              </w:rPr>
              <w:t>Biudžetinė įstaiga, A. Jakšto g. 4, LT-01105 Vilnius,</w:t>
            </w:r>
          </w:p>
          <w:p>
            <w:pPr>
              <w:widowControl w:val="0"/>
              <w:suppressLineNumbers/>
              <w:suppressAutoHyphens/>
              <w:jc w:val="center"/>
              <w:rPr>
                <w:rFonts w:ascii="Arial" w:eastAsia="Andale Sans UI" w:hAnsi="Arial" w:cs="Tahoma"/>
                <w:b/>
                <w:bCs/>
                <w:spacing w:val="12"/>
                <w:sz w:val="14"/>
                <w:szCs w:val="14"/>
                <w:lang w:bidi="en-US"/>
              </w:rPr>
            </w:pPr>
            <w:r>
              <w:rPr>
                <w:rFonts w:ascii="Arial" w:eastAsia="Andale Sans UI" w:hAnsi="Arial" w:cs="Tahoma"/>
                <w:b/>
                <w:bCs/>
                <w:spacing w:val="12"/>
                <w:sz w:val="14"/>
                <w:szCs w:val="14"/>
                <w:lang w:bidi="en-US"/>
              </w:rPr>
              <w:t>tel. (8~5) 266 3661, faks. (8~5) 266 3663, el. p. info@am.lt, http://am.lrv.lt.</w:t>
            </w:r>
          </w:p>
          <w:p>
            <w:pPr>
              <w:widowControl w:val="0"/>
              <w:suppressLineNumbers/>
              <w:suppressAutoHyphens/>
              <w:jc w:val="center"/>
              <w:rPr>
                <w:rFonts w:ascii="Arial" w:eastAsia="Andale Sans UI" w:hAnsi="Arial" w:cs="Tahoma"/>
                <w:b/>
                <w:bCs/>
                <w:spacing w:val="12"/>
                <w:sz w:val="14"/>
                <w:szCs w:val="14"/>
                <w:lang w:bidi="en-US"/>
              </w:rPr>
            </w:pPr>
            <w:r>
              <w:rPr>
                <w:rFonts w:ascii="Arial" w:eastAsia="Andale Sans UI" w:hAnsi="Arial" w:cs="Tahoma"/>
                <w:b/>
                <w:bCs/>
                <w:spacing w:val="12"/>
                <w:sz w:val="14"/>
                <w:szCs w:val="14"/>
                <w:lang w:bidi="en-US"/>
              </w:rPr>
              <w:t>Duomenys kaupiami ir saugomi Juridinių asmenų registre, kodas 188602370</w:t>
            </w:r>
          </w:p>
        </w:tc>
      </w:tr>
      <w:tr>
        <w:tc>
          <w:tcPr>
            <w:tcW w:w="9638" w:type="dxa"/>
            <w:gridSpan w:val="5"/>
            <w:tcMar>
              <w:top w:w="0" w:type="dxa"/>
              <w:left w:w="0" w:type="dxa"/>
              <w:bottom w:w="0" w:type="dxa"/>
              <w:right w:w="0" w:type="dxa"/>
            </w:tcMar>
          </w:tcPr>
          <w:p>
            <w:pPr>
              <w:widowControl w:val="0"/>
              <w:suppressLineNumbers/>
              <w:suppressAutoHyphens/>
              <w:rPr>
                <w:rFonts w:eastAsia="Andale Sans UI" w:cs="Tahoma"/>
                <w:szCs w:val="24"/>
                <w:lang w:bidi="en-US"/>
              </w:rPr>
            </w:pPr>
          </w:p>
        </w:tc>
      </w:tr>
      <w:tr>
        <w:trPr>
          <w:cantSplit/>
          <w:trHeight w:val="340"/>
        </w:trPr>
        <w:tc>
          <w:tcPr>
            <w:tcW w:w="4817" w:type="dxa"/>
            <w:vMerge w:val="restart"/>
            <w:tcMar>
              <w:top w:w="0" w:type="dxa"/>
              <w:left w:w="0" w:type="dxa"/>
              <w:bottom w:w="0" w:type="dxa"/>
              <w:right w:w="0" w:type="dxa"/>
            </w:tcMar>
          </w:tcPr>
          <w:p>
            <w:pPr>
              <w:widowControl w:val="0"/>
              <w:suppressLineNumbers/>
              <w:suppressAutoHyphens/>
              <w:rPr>
                <w:rFonts w:eastAsia="Andale Sans UI" w:cs="Tahoma"/>
                <w:szCs w:val="24"/>
                <w:lang w:bidi="en-US"/>
              </w:rPr>
            </w:pPr>
            <w:r>
              <w:rPr>
                <w:rFonts w:eastAsia="Andale Sans UI" w:cs="Tahoma"/>
                <w:szCs w:val="24"/>
                <w:lang w:bidi="en-US"/>
              </w:rPr>
              <w:t>Adresatams pagal sąrašą</w:t>
            </w:r>
          </w:p>
          <w:p>
            <w:pPr>
              <w:widowControl w:val="0"/>
              <w:suppressLineNumbers/>
              <w:suppressAutoHyphens/>
              <w:rPr>
                <w:rFonts w:eastAsia="Andale Sans UI" w:cs="Tahoma"/>
                <w:szCs w:val="24"/>
                <w:lang w:bidi="en-US"/>
              </w:rPr>
            </w:pPr>
          </w:p>
          <w:p>
            <w:pPr>
              <w:widowControl w:val="0"/>
              <w:suppressLineNumbers/>
              <w:suppressAutoHyphens/>
              <w:rPr>
                <w:rFonts w:eastAsia="Andale Sans UI" w:cs="Tahoma"/>
                <w:spacing w:val="10"/>
                <w:szCs w:val="24"/>
                <w:lang w:bidi="en-US"/>
              </w:rPr>
            </w:pPr>
          </w:p>
        </w:tc>
        <w:tc>
          <w:tcPr>
            <w:tcW w:w="282" w:type="dxa"/>
            <w:tcMar>
              <w:top w:w="0" w:type="dxa"/>
              <w:left w:w="0" w:type="dxa"/>
              <w:bottom w:w="0" w:type="dxa"/>
              <w:right w:w="0" w:type="dxa"/>
            </w:tcMar>
          </w:tcPr>
          <w:p>
            <w:pPr>
              <w:widowControl w:val="0"/>
              <w:suppressAutoHyphens/>
              <w:ind w:right="67"/>
              <w:jc w:val="right"/>
              <w:rPr>
                <w:rFonts w:eastAsia="Andale Sans UI" w:cs="Tahoma"/>
                <w:spacing w:val="10"/>
                <w:szCs w:val="24"/>
                <w:lang w:bidi="en-US"/>
              </w:rPr>
            </w:pPr>
          </w:p>
        </w:tc>
        <w:tc>
          <w:tcPr>
            <w:tcW w:w="1841" w:type="dxa"/>
            <w:tcMar>
              <w:top w:w="0" w:type="dxa"/>
              <w:left w:w="0" w:type="dxa"/>
              <w:bottom w:w="0" w:type="dxa"/>
              <w:right w:w="0" w:type="dxa"/>
            </w:tcMar>
          </w:tcPr>
          <w:p>
            <w:pPr>
              <w:widowControl w:val="0"/>
              <w:suppressLineNumbers/>
              <w:suppressAutoHyphens/>
              <w:ind w:right="67"/>
              <w:rPr>
                <w:rFonts w:eastAsia="Andale Sans UI" w:cs="Tahoma"/>
                <w:szCs w:val="24"/>
                <w:lang w:bidi="en-US"/>
              </w:rPr>
            </w:pPr>
            <w:r>
              <w:rPr>
                <w:rFonts w:eastAsia="Andale Sans UI" w:cs="Tahoma"/>
                <w:szCs w:val="24"/>
                <w:lang w:bidi="en-US"/>
              </w:rPr>
              <w:t>2019-05-</w:t>
            </w:r>
          </w:p>
        </w:tc>
        <w:tc>
          <w:tcPr>
            <w:tcW w:w="565" w:type="dxa"/>
          </w:tcPr>
          <w:p>
            <w:pPr>
              <w:widowControl w:val="0"/>
              <w:suppressAutoHyphens/>
              <w:ind w:right="67"/>
              <w:jc w:val="right"/>
              <w:rPr>
                <w:rFonts w:eastAsia="Andale Sans UI" w:cs="Tahoma"/>
                <w:spacing w:val="10"/>
                <w:szCs w:val="24"/>
                <w:lang w:bidi="en-US"/>
              </w:rPr>
            </w:pPr>
            <w:r>
              <w:rPr>
                <w:rFonts w:eastAsia="Andale Sans UI" w:cs="Tahoma"/>
                <w:spacing w:val="10"/>
                <w:szCs w:val="24"/>
                <w:lang w:bidi="en-US"/>
              </w:rPr>
              <w:t>Nr.</w:t>
            </w:r>
          </w:p>
        </w:tc>
        <w:tc>
          <w:tcPr>
            <w:tcW w:w="2133" w:type="dxa"/>
          </w:tcPr>
          <w:p>
            <w:pPr>
              <w:widowControl w:val="0"/>
              <w:suppressLineNumbers/>
              <w:suppressAutoHyphens/>
              <w:ind w:right="67"/>
              <w:rPr>
                <w:rFonts w:eastAsia="Andale Sans UI" w:cs="Tahoma"/>
                <w:szCs w:val="24"/>
                <w:lang w:bidi="en-US"/>
              </w:rPr>
            </w:pPr>
            <w:r>
              <w:rPr>
                <w:rFonts w:eastAsia="Andale Sans UI" w:cs="Tahoma"/>
                <w:szCs w:val="24"/>
                <w:lang w:bidi="en-US"/>
              </w:rPr>
              <w:t>(14)-D8(E)-</w:t>
            </w:r>
          </w:p>
        </w:tc>
      </w:tr>
      <w:tr>
        <w:trPr>
          <w:cantSplit/>
          <w:trHeight w:val="340"/>
        </w:trPr>
        <w:tc>
          <w:tcPr>
            <w:tcW w:w="4817" w:type="dxa"/>
            <w:vMerge/>
            <w:tcMar>
              <w:top w:w="0" w:type="dxa"/>
              <w:left w:w="0" w:type="dxa"/>
              <w:bottom w:w="0" w:type="dxa"/>
              <w:right w:w="0" w:type="dxa"/>
            </w:tcMar>
          </w:tcPr>
          <w:p/>
        </w:tc>
        <w:tc>
          <w:tcPr>
            <w:tcW w:w="282" w:type="dxa"/>
            <w:tcMar>
              <w:top w:w="0" w:type="dxa"/>
              <w:left w:w="0" w:type="dxa"/>
              <w:bottom w:w="0" w:type="dxa"/>
              <w:right w:w="0" w:type="dxa"/>
            </w:tcMar>
          </w:tcPr>
          <w:p>
            <w:pPr>
              <w:widowControl w:val="0"/>
              <w:tabs>
                <w:tab w:val="left" w:pos="2869"/>
              </w:tabs>
              <w:suppressAutoHyphens/>
              <w:ind w:right="67"/>
              <w:jc w:val="right"/>
              <w:rPr>
                <w:rFonts w:eastAsia="Andale Sans UI" w:cs="Tahoma"/>
                <w:spacing w:val="10"/>
                <w:szCs w:val="24"/>
                <w:lang w:bidi="en-US"/>
              </w:rPr>
            </w:pPr>
            <w:r>
              <w:rPr>
                <w:rFonts w:eastAsia="Andale Sans UI" w:cs="Tahoma"/>
                <w:spacing w:val="10"/>
                <w:szCs w:val="24"/>
                <w:lang w:bidi="en-US"/>
              </w:rPr>
              <w:t>Į</w:t>
            </w:r>
          </w:p>
        </w:tc>
        <w:tc>
          <w:tcPr>
            <w:tcW w:w="1841" w:type="dxa"/>
            <w:tcMar>
              <w:top w:w="0" w:type="dxa"/>
              <w:left w:w="0" w:type="dxa"/>
              <w:bottom w:w="0" w:type="dxa"/>
              <w:right w:w="0" w:type="dxa"/>
            </w:tcMar>
          </w:tcPr>
          <w:p>
            <w:pPr>
              <w:widowControl w:val="0"/>
              <w:suppressLineNumbers/>
              <w:suppressAutoHyphens/>
              <w:ind w:right="67"/>
              <w:rPr>
                <w:rFonts w:eastAsia="Andale Sans UI" w:cs="Tahoma"/>
                <w:szCs w:val="24"/>
                <w:lang w:bidi="en-US"/>
              </w:rPr>
            </w:pPr>
          </w:p>
        </w:tc>
        <w:tc>
          <w:tcPr>
            <w:tcW w:w="565" w:type="dxa"/>
          </w:tcPr>
          <w:p>
            <w:pPr>
              <w:widowControl w:val="0"/>
              <w:tabs>
                <w:tab w:val="left" w:pos="2869"/>
              </w:tabs>
              <w:suppressAutoHyphens/>
              <w:ind w:right="67"/>
              <w:jc w:val="right"/>
              <w:rPr>
                <w:rFonts w:eastAsia="Andale Sans UI" w:cs="Tahoma"/>
                <w:spacing w:val="10"/>
                <w:szCs w:val="24"/>
                <w:lang w:bidi="en-US"/>
              </w:rPr>
            </w:pPr>
            <w:r>
              <w:rPr>
                <w:rFonts w:eastAsia="Andale Sans UI" w:cs="Tahoma"/>
                <w:spacing w:val="10"/>
                <w:szCs w:val="24"/>
                <w:lang w:bidi="en-US"/>
              </w:rPr>
              <w:t>Nr.</w:t>
            </w:r>
          </w:p>
        </w:tc>
        <w:tc>
          <w:tcPr>
            <w:tcW w:w="2133" w:type="dxa"/>
          </w:tcPr>
          <w:p>
            <w:pPr>
              <w:widowControl w:val="0"/>
              <w:suppressLineNumbers/>
              <w:suppressAutoHyphens/>
              <w:ind w:right="67"/>
              <w:rPr>
                <w:rFonts w:eastAsia="Andale Sans UI" w:cs="Tahoma"/>
                <w:szCs w:val="24"/>
                <w:lang w:bidi="en-US"/>
              </w:rPr>
            </w:pPr>
          </w:p>
        </w:tc>
      </w:tr>
      <w:tr>
        <w:trPr>
          <w:cantSplit/>
        </w:trPr>
        <w:tc>
          <w:tcPr>
            <w:tcW w:w="4817" w:type="dxa"/>
            <w:vMerge/>
            <w:tcMar>
              <w:top w:w="0" w:type="dxa"/>
              <w:left w:w="0" w:type="dxa"/>
              <w:bottom w:w="0" w:type="dxa"/>
              <w:right w:w="0" w:type="dxa"/>
            </w:tcMar>
          </w:tcPr>
          <w:p/>
        </w:tc>
        <w:tc>
          <w:tcPr>
            <w:tcW w:w="4821" w:type="dxa"/>
            <w:gridSpan w:val="4"/>
            <w:tcMar>
              <w:top w:w="0" w:type="dxa"/>
              <w:left w:w="0" w:type="dxa"/>
              <w:bottom w:w="0" w:type="dxa"/>
              <w:right w:w="0" w:type="dxa"/>
            </w:tcMar>
          </w:tcPr>
          <w:p>
            <w:pPr>
              <w:widowControl w:val="0"/>
              <w:tabs>
                <w:tab w:val="left" w:pos="2869"/>
              </w:tabs>
              <w:suppressAutoHyphens/>
              <w:ind w:right="67"/>
              <w:rPr>
                <w:rFonts w:eastAsia="Andale Sans UI" w:cs="Tahoma"/>
                <w:spacing w:val="10"/>
                <w:szCs w:val="24"/>
                <w:lang w:bidi="en-US"/>
              </w:rPr>
            </w:pPr>
          </w:p>
        </w:tc>
      </w:tr>
      <w:tr>
        <w:trPr>
          <w:trHeight w:val="340"/>
        </w:trPr>
        <w:tc>
          <w:tcPr>
            <w:tcW w:w="9638" w:type="dxa"/>
            <w:gridSpan w:val="5"/>
            <w:tcMar>
              <w:top w:w="0" w:type="dxa"/>
              <w:left w:w="0" w:type="dxa"/>
              <w:bottom w:w="0" w:type="dxa"/>
              <w:right w:w="0" w:type="dxa"/>
            </w:tcMar>
          </w:tcPr>
          <w:p>
            <w:pPr>
              <w:widowControl w:val="0"/>
              <w:suppressLineNumbers/>
              <w:suppressAutoHyphens/>
              <w:jc w:val="both"/>
              <w:rPr>
                <w:rFonts w:eastAsia="Andale Sans UI" w:cs="Tahoma"/>
                <w:b/>
                <w:bCs/>
                <w:szCs w:val="24"/>
                <w:lang w:bidi="en-US"/>
              </w:rPr>
            </w:pPr>
            <w:r>
              <w:rPr>
                <w:rFonts w:eastAsia="Andale Sans UI" w:cs="Tahoma"/>
                <w:b/>
                <w:bCs/>
                <w:caps/>
                <w:szCs w:val="24"/>
                <w:lang w:bidi="en-US"/>
              </w:rPr>
              <w:t>Dėl aplinkos ministro įsakymo projekto Teikimo išvadoms gauti</w:t>
            </w:r>
          </w:p>
        </w:tc>
      </w:tr>
    </w:tbl>
    <w:p>
      <w:pPr>
        <w:widowControl w:val="0"/>
        <w:suppressAutoHyphens/>
        <w:ind w:firstLine="567"/>
        <w:jc w:val="both"/>
        <w:rPr>
          <w:rFonts w:eastAsia="Andale Sans UI" w:cs="Tahoma"/>
          <w:szCs w:val="24"/>
          <w:lang w:bidi="en-US"/>
        </w:rPr>
      </w:pPr>
    </w:p>
    <w:p>
      <w:pPr>
        <w:widowControl w:val="0"/>
        <w:suppressAutoHyphens/>
        <w:ind w:firstLine="567"/>
        <w:jc w:val="both"/>
        <w:rPr>
          <w:rFonts w:eastAsia="Andale Sans UI" w:cs="Tahoma"/>
          <w:szCs w:val="24"/>
          <w:lang w:bidi="en-US"/>
        </w:rPr>
      </w:pPr>
      <w:r>
        <w:rPr>
          <w:rFonts w:eastAsia="Andale Sans UI" w:cs="Tahoma"/>
          <w:szCs w:val="24"/>
          <w:lang w:bidi="en-US"/>
        </w:rPr>
        <w:t>Aplinkos ministerija, vadovaudamasi Lietuvos Respublikos architektūros įstatymo 14 straipsnio 2 dalies 5 punktu, Lietuvos Respublikos teritorijų planavimo įstatymo 7 straipsnio 3 dalies 1 punktu ir įgyvendindama Lietuvos Respublikos Vyriausybės programos įgyvendinimo priemonių plano, patvirtinto Lietuvos Respublikos Vyriausybės 2017 m. kovo 13 d. nutarimu Nr. 167 „Dėl Lietuvos Respublikos Vyriausybės programos įgyvendinimo plano patvirtinimo“, 1.5.6 papunktyje nurodytą priemonę, parengė ir teikia išvadoms gauti Lietuvos Respublikos aplinkos ministro „Dėl Lietuvos urbanistinės politikos pagrindinių krypčių ir jų įgyvendinimo rekomendacijų patvirtinimo“ projektą (toliau – Įsakymo projektas).</w:t>
      </w:r>
    </w:p>
    <w:p>
      <w:pPr>
        <w:widowControl w:val="0"/>
        <w:suppressAutoHyphens/>
        <w:ind w:firstLine="567"/>
        <w:jc w:val="both"/>
        <w:rPr>
          <w:rFonts w:eastAsia="Andale Sans UI" w:cs="Tahoma"/>
          <w:szCs w:val="24"/>
          <w:lang w:bidi="en-US"/>
        </w:rPr>
      </w:pPr>
      <w:r>
        <w:rPr>
          <w:rFonts w:eastAsia="Andale Sans UI" w:cs="Tahoma"/>
          <w:szCs w:val="24"/>
          <w:lang w:bidi="en-US"/>
        </w:rPr>
        <w:t>Įsakymo projektu nustatomos pagrindinės Lietuvos urbanistikos politikos kryptis, kurios bus integruotos į Lietuvos Respublikos teritorijos bendrojo plano koncepcijos sprendinius, ir jų įgyvendinimo rekomendacijos, kurios skirtos interesų grupėms. Lietuvos urbanistinės politikos krypčių tikslas – tapti vertybiniu pagrindu įtraukių, saugių, atsparių ir tvarių miestų ir gyvenviečių planavimui Lietuvoje. Įsakymo tvirtinamos rekomendacijos – dokumentas, nusakantis darnaus vystymosi tikslų taikymą, planuojant ir vystant urbanizuotas ir urbanizuojamas teritorijas.</w:t>
      </w:r>
    </w:p>
    <w:p>
      <w:pPr>
        <w:widowControl w:val="0"/>
        <w:suppressAutoHyphens/>
        <w:ind w:firstLine="567"/>
        <w:jc w:val="both"/>
        <w:rPr>
          <w:rFonts w:eastAsia="Andale Sans UI" w:cs="Tahoma"/>
          <w:szCs w:val="24"/>
          <w:lang w:bidi="en-US"/>
        </w:rPr>
      </w:pPr>
      <w:r>
        <w:rPr>
          <w:rFonts w:eastAsia="Andale Sans UI" w:cs="Tahoma"/>
          <w:szCs w:val="24"/>
          <w:lang w:bidi="en-US"/>
        </w:rPr>
        <w:t>Įsakymo projektas derinamas su institucijomis ir visuomene skelbiant jį Lietuvos Respublikos Seimo teisės aktų informacinės sistemos Projektų registravimo posistemėje (TAIS). Kitų konsultavimosi būdų su visuomene nenumatoma.</w:t>
      </w:r>
    </w:p>
    <w:p>
      <w:pPr>
        <w:widowControl w:val="0"/>
        <w:suppressAutoHyphens/>
        <w:ind w:firstLine="567"/>
        <w:jc w:val="both"/>
        <w:rPr>
          <w:rFonts w:eastAsia="Andale Sans UI" w:cs="Tahoma"/>
          <w:szCs w:val="24"/>
          <w:lang w:bidi="en-US"/>
        </w:rPr>
      </w:pPr>
      <w:r>
        <w:rPr>
          <w:rFonts w:eastAsia="Andale Sans UI" w:cs="Tahoma"/>
          <w:szCs w:val="24"/>
          <w:lang w:bidi="en-US"/>
        </w:rPr>
        <w:t>Įsakymo projektą parengė Aplinkos ministerijos Statybos ir teritorijų planavimo politikos grupės (vadovas Marius Narmontas, tel. 8~706 63608, el. p. marius.narmontas@am.lt) vyresnioji patarėja Algimantė Treinienė (tel. 8~706 63623, el. p. algimante.treiniene@am.lt) ir vyriausioji specialistė Gintarė Dubickaitė (tel. 8~706 63583, el. p. gintare.dubickaite@am.lt).</w:t>
      </w:r>
    </w:p>
    <w:p>
      <w:pPr>
        <w:widowControl w:val="0"/>
        <w:suppressAutoHyphens/>
        <w:ind w:firstLine="567"/>
        <w:jc w:val="both"/>
        <w:rPr>
          <w:rFonts w:eastAsia="Andale Sans UI" w:cs="Tahoma"/>
          <w:szCs w:val="24"/>
          <w:lang w:bidi="en-US"/>
        </w:rPr>
      </w:pPr>
      <w:r>
        <w:rPr>
          <w:rFonts w:eastAsia="Andale Sans UI" w:cs="Tahoma"/>
          <w:szCs w:val="24"/>
          <w:lang w:bidi="en-US"/>
        </w:rPr>
        <w:t>Prašome pastabas ir pasiūlymus dėl Įsakymo projekto pateikti ne vėliau kaip per 7 darbo dienas.</w:t>
      </w:r>
    </w:p>
    <w:p>
      <w:pPr>
        <w:widowControl w:val="0"/>
        <w:suppressAutoHyphens/>
        <w:ind w:firstLine="567"/>
        <w:jc w:val="both"/>
        <w:rPr>
          <w:rFonts w:eastAsia="Andale Sans UI" w:cs="Tahoma"/>
          <w:szCs w:val="24"/>
          <w:lang w:bidi="en-US"/>
        </w:rPr>
      </w:pPr>
      <w:r>
        <w:rPr>
          <w:rFonts w:eastAsia="Andale Sans UI" w:cs="Tahoma"/>
          <w:szCs w:val="24"/>
          <w:lang w:bidi="en-US"/>
        </w:rPr>
        <w:t>PRIDEDAMA. Įsakymo projektas, 11 lapų.</w:t>
      </w:r>
    </w:p>
    <w:p>
      <w:pPr>
        <w:widowControl w:val="0"/>
        <w:suppressAutoHyphens/>
        <w:ind w:firstLine="567"/>
        <w:jc w:val="both"/>
        <w:rPr>
          <w:rFonts w:eastAsia="Andale Sans UI" w:cs="Tahoma"/>
          <w:szCs w:val="24"/>
          <w:lang w:bidi="en-US"/>
        </w:rPr>
      </w:pPr>
    </w:p>
    <w:p>
      <w:pPr>
        <w:widowControl w:val="0"/>
        <w:suppressAutoHyphens/>
        <w:ind w:firstLine="567"/>
        <w:jc w:val="both"/>
        <w:rPr>
          <w:rFonts w:eastAsia="Andale Sans UI" w:cs="Tahoma"/>
          <w:szCs w:val="24"/>
          <w:lang w:bidi="en-US"/>
        </w:rPr>
      </w:pPr>
    </w:p>
    <w:tbl>
      <w:tblPr>
        <w:tblW w:w="9643" w:type="dxa"/>
        <w:tblInd w:w="8" w:type="dxa"/>
        <w:tblLayout w:type="fixed"/>
        <w:tblCellMar>
          <w:left w:w="0" w:type="dxa"/>
          <w:right w:w="0" w:type="dxa"/>
        </w:tblCellMar>
        <w:tblLook w:val="0000" w:firstRow="0" w:lastRow="0" w:firstColumn="0" w:lastColumn="0" w:noHBand="0" w:noVBand="0"/>
      </w:tblPr>
      <w:tblGrid>
        <w:gridCol w:w="4817"/>
        <w:gridCol w:w="4826"/>
      </w:tblGrid>
      <w:tr>
        <w:trPr>
          <w:trHeight w:val="340"/>
        </w:trPr>
        <w:tc>
          <w:tcPr>
            <w:tcW w:w="4817" w:type="dxa"/>
            <w:vAlign w:val="bottom"/>
          </w:tcPr>
          <w:p>
            <w:pPr>
              <w:widowControl w:val="0"/>
              <w:suppressLineNumbers/>
              <w:suppressAutoHyphens/>
              <w:rPr>
                <w:rFonts w:eastAsia="Andale Sans UI" w:cs="Tahoma"/>
                <w:szCs w:val="24"/>
                <w:lang w:bidi="en-US"/>
              </w:rPr>
            </w:pPr>
            <w:r>
              <w:rPr>
                <w:rFonts w:eastAsia="Andale Sans UI" w:cs="Tahoma"/>
                <w:szCs w:val="24"/>
                <w:lang w:bidi="en-US"/>
              </w:rPr>
              <w:t>Aplinkos viceministrė</w:t>
            </w:r>
          </w:p>
        </w:tc>
        <w:tc>
          <w:tcPr>
            <w:tcW w:w="4826" w:type="dxa"/>
            <w:vAlign w:val="bottom"/>
          </w:tcPr>
          <w:p>
            <w:pPr>
              <w:widowControl w:val="0"/>
              <w:suppressAutoHyphens/>
              <w:ind w:right="34"/>
              <w:jc w:val="right"/>
              <w:rPr>
                <w:rFonts w:eastAsia="Andale Sans UI" w:cs="Tahoma"/>
                <w:szCs w:val="24"/>
                <w:lang w:bidi="en-US"/>
              </w:rPr>
            </w:pPr>
            <w:r>
              <w:rPr>
                <w:rFonts w:eastAsia="Andale Sans UI" w:cs="Tahoma"/>
                <w:szCs w:val="24"/>
                <w:lang w:bidi="en-US"/>
              </w:rPr>
              <w:t>Rėda Brandišauskienė</w:t>
            </w:r>
          </w:p>
        </w:tc>
      </w:tr>
    </w:tbl>
    <w:p>
      <w:pPr>
        <w:widowControl w:val="0"/>
        <w:suppressAutoHyphens/>
        <w:ind w:firstLine="567"/>
        <w:jc w:val="both"/>
        <w:rPr>
          <w:rFonts w:eastAsia="Andale Sans UI" w:cs="Tahoma"/>
          <w:szCs w:val="24"/>
          <w:lang w:bidi="en-US"/>
        </w:rPr>
      </w:pPr>
    </w:p>
    <w:p>
      <w:pPr>
        <w:widowControl w:val="0"/>
        <w:suppressAutoHyphens/>
        <w:ind w:firstLine="567"/>
        <w:jc w:val="both"/>
        <w:rPr>
          <w:rFonts w:eastAsia="Andale Sans UI" w:cs="Tahoma"/>
          <w:szCs w:val="24"/>
          <w:lang w:bidi="en-US"/>
        </w:rPr>
      </w:pPr>
    </w:p>
    <w:p>
      <w:pPr>
        <w:widowControl w:val="0"/>
        <w:suppressAutoHyphens/>
        <w:ind w:firstLine="567"/>
        <w:jc w:val="both"/>
        <w:rPr>
          <w:rFonts w:eastAsia="Andale Sans UI" w:cs="Tahoma"/>
          <w:szCs w:val="24"/>
          <w:lang w:bidi="en-US"/>
        </w:rPr>
      </w:pPr>
    </w:p>
    <w:p>
      <w:pPr>
        <w:widowControl w:val="0"/>
        <w:suppressAutoHyphens/>
        <w:ind w:firstLine="567"/>
        <w:jc w:val="both"/>
        <w:rPr>
          <w:rFonts w:eastAsia="Andale Sans UI" w:cs="Tahoma"/>
          <w:szCs w:val="24"/>
          <w:lang w:bidi="en-US"/>
        </w:rPr>
      </w:pPr>
    </w:p>
    <w:p>
      <w:pPr>
        <w:widowControl w:val="0"/>
        <w:suppressAutoHyphens/>
        <w:ind w:firstLine="567"/>
        <w:jc w:val="both"/>
        <w:rPr>
          <w:rFonts w:eastAsia="Andale Sans UI" w:cs="Tahoma"/>
          <w:szCs w:val="24"/>
          <w:lang w:bidi="en-US"/>
        </w:rPr>
      </w:pPr>
    </w:p>
    <w:p>
      <w:pPr>
        <w:widowControl w:val="0"/>
        <w:suppressAutoHyphens/>
        <w:jc w:val="both"/>
        <w:rPr>
          <w:rFonts w:eastAsia="Andale Sans UI" w:cs="Tahoma"/>
          <w:szCs w:val="24"/>
          <w:lang w:bidi="en-US"/>
        </w:rPr>
      </w:pPr>
    </w:p>
    <w:tbl>
      <w:tblPr>
        <w:tblW w:w="9643" w:type="dxa"/>
        <w:tblInd w:w="8" w:type="dxa"/>
        <w:tblLayout w:type="fixed"/>
        <w:tblCellMar>
          <w:left w:w="0" w:type="dxa"/>
          <w:right w:w="0" w:type="dxa"/>
        </w:tblCellMar>
        <w:tblLook w:val="0000" w:firstRow="0" w:lastRow="0" w:firstColumn="0" w:lastColumn="0" w:noHBand="0" w:noVBand="0"/>
      </w:tblPr>
      <w:tblGrid>
        <w:gridCol w:w="9643"/>
      </w:tblGrid>
      <w:tr>
        <w:trPr>
          <w:trHeight w:val="340"/>
        </w:trPr>
        <w:tc>
          <w:tcPr>
            <w:tcW w:w="9643" w:type="dxa"/>
          </w:tcPr>
          <w:p>
            <w:pPr>
              <w:widowControl w:val="0"/>
              <w:suppressLineNumbers/>
              <w:suppressAutoHyphens/>
              <w:rPr>
                <w:rFonts w:eastAsia="Andale Sans UI" w:cs="Tahoma"/>
                <w:szCs w:val="24"/>
                <w:lang w:bidi="en-US"/>
              </w:rPr>
            </w:pPr>
            <w:r>
              <w:rPr>
                <w:rFonts w:eastAsia="Andale Sans UI" w:cs="Tahoma"/>
                <w:szCs w:val="24"/>
                <w:lang w:bidi="en-US"/>
              </w:rPr>
              <w:t>Gintarė Dubickaitė, 8 706 63583, el. p. gintare.dubickaite@am.lt</w:t>
            </w:r>
          </w:p>
        </w:tc>
      </w:tr>
    </w:tbl>
    <w:p>
      <w:pPr>
        <w:widowControl w:val="0"/>
        <w:suppressAutoHyphens/>
        <w:jc w:val="both"/>
        <w:rPr>
          <w:rFonts w:eastAsia="Andale Sans UI" w:cs="Tahoma"/>
          <w:szCs w:val="24"/>
          <w:lang w:bidi="en-US"/>
        </w:rPr>
      </w:pPr>
    </w:p>
    <w:sectPr>
      <w:headerReference w:type="even" r:id="rId8"/>
      <w:headerReference w:type="default" r:id="rId9"/>
      <w:footerReference w:type="even" r:id="rId10"/>
      <w:footerReference w:type="default" r:id="rId11"/>
      <w:headerReference w:type="first" r:id="rId12"/>
      <w:footerReference w:type="first" r:id="rId13"/>
      <w:footnotePr>
        <w:pos w:val="beneathText"/>
        <w:numRestart w:val="eachPage"/>
      </w:footnotePr>
      <w:endnotePr>
        <w:numFmt w:val="decimal"/>
      </w:endnotePr>
      <w:pgSz w:w="11905" w:h="16837"/>
      <w:pgMar w:top="1134" w:right="567" w:bottom="1134" w:left="1701" w:header="567" w:footer="232"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widowControl w:val="0"/>
        <w:suppressAutoHyphens/>
        <w:rPr>
          <w:rFonts w:eastAsia="Andale Sans UI" w:cs="Tahoma"/>
          <w:szCs w:val="24"/>
          <w:lang w:bidi="en-US"/>
        </w:rPr>
      </w:pPr>
      <w:r>
        <w:rPr>
          <w:rFonts w:eastAsia="Andale Sans UI" w:cs="Tahoma"/>
          <w:szCs w:val="24"/>
          <w:lang w:bidi="en-US"/>
        </w:rPr>
        <w:separator/>
      </w:r>
    </w:p>
  </w:endnote>
  <w:endnote w:type="continuationSeparator" w:id="0">
    <w:p>
      <w:pPr>
        <w:widowControl w:val="0"/>
        <w:suppressAutoHyphens/>
        <w:rPr>
          <w:rFonts w:eastAsia="Andale Sans UI" w:cs="Tahoma"/>
          <w:szCs w:val="24"/>
          <w:lang w:bidi="en-US"/>
        </w:rPr>
      </w:pPr>
      <w:r>
        <w:rPr>
          <w:rFonts w:eastAsia="Andale Sans UI" w:cs="Tahoma"/>
          <w:szCs w:val="24"/>
          <w:lang w:bidi="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uppressLineNumbers/>
      <w:tabs>
        <w:tab w:val="center" w:pos="4800"/>
        <w:tab w:val="right" w:pos="9601"/>
      </w:tabs>
      <w:suppressAutoHyphens/>
      <w:rPr>
        <w:rFonts w:eastAsia="Andale Sans UI" w:cs="Tahoma"/>
        <w:szCs w:val="24"/>
        <w:lang w:bidi="en-US"/>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uppressLineNumbers/>
      <w:tabs>
        <w:tab w:val="center" w:pos="4800"/>
        <w:tab w:val="right" w:pos="9601"/>
      </w:tabs>
      <w:suppressAutoHyphens/>
      <w:jc w:val="right"/>
      <w:rPr>
        <w:rFonts w:ascii="Arial" w:eastAsia="Andale Sans UI" w:hAnsi="Arial" w:cs="Tahoma"/>
        <w:sz w:val="10"/>
        <w:szCs w:val="24"/>
        <w:lang w:val="en-US" w:bidi="en-US"/>
      </w:rPr>
    </w:pPr>
  </w:p>
  <w:p>
    <w:pPr>
      <w:widowControl w:val="0"/>
      <w:suppressLineNumbers/>
      <w:tabs>
        <w:tab w:val="center" w:pos="4800"/>
        <w:tab w:val="right" w:pos="9601"/>
      </w:tabs>
      <w:suppressAutoHyphens/>
      <w:jc w:val="right"/>
      <w:rPr>
        <w:rFonts w:ascii="Arial" w:eastAsia="Andale Sans UI" w:hAnsi="Arial" w:cs="Tahoma"/>
        <w:sz w:val="10"/>
        <w:szCs w:val="24"/>
        <w:lang w:val="en-US" w:bidi="en-US"/>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uppressLineNumbers/>
      <w:tabs>
        <w:tab w:val="center" w:pos="4800"/>
        <w:tab w:val="right" w:pos="9601"/>
      </w:tabs>
      <w:suppressAutoHyphens/>
      <w:jc w:val="right"/>
      <w:rPr>
        <w:rFonts w:eastAsia="Andale Sans UI" w:cs="Tahoma"/>
        <w:szCs w:val="24"/>
        <w:lang w:bidi="en-US"/>
      </w:rPr>
    </w:pPr>
    <w:r>
      <w:rPr>
        <w:rFonts w:eastAsia="Andale Sans UI" w:cs="Tahoma"/>
        <w:szCs w:val="24"/>
        <w:lang w:val="en-US"/>
      </w:rPr>
      <w:drawing>
        <wp:inline distT="0" distB="0" distL="0" distR="0" wp14:anchorId="69A770BD" wp14:editId="579CFC91">
          <wp:extent cx="467995" cy="775335"/>
          <wp:effectExtent l="19050" t="0" r="8255" b="0"/>
          <wp:docPr id="2" name="Picture 2" descr="emas_zenkla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zenklas_grey"/>
                  <pic:cNvPicPr>
                    <a:picLocks noChangeAspect="1" noChangeArrowheads="1"/>
                  </pic:cNvPicPr>
                </pic:nvPicPr>
                <pic:blipFill>
                  <a:blip r:embed="rId1"/>
                  <a:srcRect/>
                  <a:stretch>
                    <a:fillRect/>
                  </a:stretch>
                </pic:blipFill>
                <pic:spPr bwMode="auto">
                  <a:xfrm>
                    <a:off x="0" y="0"/>
                    <a:ext cx="467995" cy="775335"/>
                  </a:xfrm>
                  <a:prstGeom prst="rect">
                    <a:avLst/>
                  </a:prstGeom>
                  <a:noFill/>
                  <a:ln w="9525">
                    <a:noFill/>
                    <a:miter lim="800000"/>
                    <a:headEnd/>
                    <a:tailEnd/>
                  </a:ln>
                </pic:spPr>
              </pic:pic>
            </a:graphicData>
          </a:graphic>
        </wp:inline>
      </w:drawing>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widowControl w:val="0"/>
        <w:suppressAutoHyphens/>
        <w:rPr>
          <w:rFonts w:eastAsia="Andale Sans UI" w:cs="Tahoma"/>
          <w:szCs w:val="24"/>
          <w:lang w:bidi="en-US"/>
        </w:rPr>
      </w:pPr>
      <w:r>
        <w:rPr>
          <w:rFonts w:eastAsia="Andale Sans UI" w:cs="Tahoma"/>
          <w:szCs w:val="24"/>
          <w:lang w:bidi="en-US"/>
        </w:rPr>
        <w:separator/>
      </w:r>
    </w:p>
  </w:footnote>
  <w:footnote w:type="continuationSeparator" w:id="0">
    <w:p>
      <w:pPr>
        <w:widowControl w:val="0"/>
        <w:suppressAutoHyphens/>
        <w:rPr>
          <w:rFonts w:eastAsia="Andale Sans UI" w:cs="Tahoma"/>
          <w:szCs w:val="24"/>
          <w:lang w:bidi="en-US"/>
        </w:rPr>
      </w:pPr>
      <w:r>
        <w:rPr>
          <w:rFonts w:eastAsia="Andale Sans UI" w:cs="Tahoma"/>
          <w:szCs w:val="24"/>
          <w:lang w:bidi="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widowControl w:val="0"/>
      <w:suppressLineNumbers/>
      <w:tabs>
        <w:tab w:val="center" w:pos="4800"/>
        <w:tab w:val="right" w:pos="9601"/>
      </w:tabs>
      <w:suppressAutoHyphens/>
      <w:rPr>
        <w:rFonts w:eastAsia="Andale Sans UI" w:cs="Tahoma"/>
        <w:szCs w:val="24"/>
        <w:lang w:bidi="en-US"/>
      </w:rPr>
    </w:pPr>
    <w:r>
      <w:rPr>
        <w:rFonts w:eastAsia="Andale Sans UI" w:cs="Tahoma"/>
        <w:szCs w:val="24"/>
        <w:lang w:bidi="en-US"/>
      </w:rPr>
      <w:fldChar w:fldCharType="begin"/>
    </w:r>
    <w:r>
      <w:rPr>
        <w:rFonts w:eastAsia="Andale Sans UI" w:cs="Tahoma"/>
        <w:szCs w:val="24"/>
        <w:lang w:bidi="en-US"/>
      </w:rPr>
      <w:instrText xml:space="preserve">PAGE  </w:instrText>
    </w:r>
    <w:r>
      <w:rPr>
        <w:rFonts w:eastAsia="Andale Sans UI" w:cs="Tahoma"/>
        <w:szCs w:val="24"/>
        <w:lang w:bidi="en-US"/>
      </w:rPr>
      <w:fldChar w:fldCharType="end"/>
    </w:r>
  </w:p>
  <w:p>
    <w:pPr>
      <w:widowControl w:val="0"/>
      <w:suppressLineNumbers/>
      <w:tabs>
        <w:tab w:val="center" w:pos="4800"/>
        <w:tab w:val="right" w:pos="9601"/>
      </w:tabs>
      <w:suppressAutoHyphens/>
      <w:rPr>
        <w:rFonts w:eastAsia="Andale Sans UI" w:cs="Tahoma"/>
        <w:szCs w:val="24"/>
        <w:lang w:bidi="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widowControl w:val="0"/>
      <w:suppressLineNumbers/>
      <w:tabs>
        <w:tab w:val="center" w:pos="4800"/>
        <w:tab w:val="right" w:pos="9601"/>
      </w:tabs>
      <w:suppressAutoHyphens/>
      <w:rPr>
        <w:rFonts w:eastAsia="Andale Sans UI" w:cs="Tahoma"/>
        <w:szCs w:val="24"/>
        <w:lang w:bidi="en-US"/>
      </w:rPr>
    </w:pPr>
    <w:r>
      <w:rPr>
        <w:rFonts w:eastAsia="Andale Sans UI" w:cs="Tahoma"/>
        <w:szCs w:val="24"/>
        <w:lang w:bidi="en-US"/>
      </w:rPr>
      <w:fldChar w:fldCharType="begin"/>
    </w:r>
    <w:r>
      <w:rPr>
        <w:rFonts w:eastAsia="Andale Sans UI" w:cs="Tahoma"/>
        <w:szCs w:val="24"/>
        <w:lang w:bidi="en-US"/>
      </w:rPr>
      <w:instrText xml:space="preserve">PAGE  </w:instrText>
    </w:r>
    <w:r>
      <w:rPr>
        <w:rFonts w:eastAsia="Andale Sans UI" w:cs="Tahoma"/>
        <w:szCs w:val="24"/>
        <w:lang w:bidi="en-US"/>
      </w:rPr>
      <w:fldChar w:fldCharType="separate"/>
    </w:r>
    <w:r>
      <w:rPr>
        <w:rFonts w:eastAsia="Andale Sans UI" w:cs="Tahoma"/>
        <w:szCs w:val="24"/>
        <w:lang w:bidi="en-US"/>
      </w:rPr>
      <w:t>2</w:t>
    </w:r>
    <w:r>
      <w:rPr>
        <w:rFonts w:eastAsia="Andale Sans UI" w:cs="Tahoma"/>
        <w:szCs w:val="24"/>
        <w:lang w:bidi="en-US"/>
      </w:rPr>
      <w:fldChar w:fldCharType="end"/>
    </w:r>
  </w:p>
  <w:p>
    <w:pPr>
      <w:widowControl w:val="0"/>
      <w:suppressLineNumbers/>
      <w:tabs>
        <w:tab w:val="center" w:pos="4800"/>
        <w:tab w:val="right" w:pos="9601"/>
      </w:tabs>
      <w:suppressAutoHyphens/>
      <w:rPr>
        <w:rFonts w:eastAsia="Andale Sans UI" w:cs="Tahoma"/>
        <w:szCs w:val="24"/>
        <w:lang w:bidi="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uppressLineNumbers/>
      <w:tabs>
        <w:tab w:val="center" w:pos="4800"/>
        <w:tab w:val="right" w:pos="9601"/>
      </w:tabs>
      <w:suppressAutoHyphens/>
      <w:rPr>
        <w:rFonts w:eastAsia="Andale Sans UI" w:cs="Tahoma"/>
        <w:szCs w:val="24"/>
        <w:lang w:bidi="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_rels/footer3.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2199</Characters>
  <Application>Microsoft Office Word</Application>
  <DocSecurity>4</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2019-05-15T12:29:00Z</dcterms:created>
  <dcterms:modified xsi:type="dcterms:W3CDTF">2019-05-15T12:29:00Z</dcterms:modified>
  <revision>1</revision>
</coreProperties>
</file>