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pPr>
    </w:p>
    <w:p>
      <w:pPr>
        <w:tabs>
          <w:tab w:val="center" w:pos="4153"/>
          <w:tab w:val="right" w:pos="8306"/>
        </w:tabs>
        <w:suppressAutoHyphens/>
        <w:spacing w:line="276" w:lineRule="auto"/>
        <w:jc w:val="right"/>
        <w:rPr>
          <w:rFonts w:eastAsia="Batang"/>
          <w:b/>
          <w:szCs w:val="24"/>
          <w:lang w:eastAsia="ar-SA"/>
        </w:rPr>
      </w:pPr>
      <w:r>
        <w:rPr>
          <w:rFonts w:eastAsia="Batang"/>
          <w:b/>
          <w:szCs w:val="24"/>
          <w:lang w:eastAsia="ar-SA"/>
        </w:rPr>
        <w:t>Projektas</w:t>
      </w:r>
    </w:p>
    <w:p>
      <w:pPr>
        <w:tabs>
          <w:tab w:val="center" w:pos="4153"/>
          <w:tab w:val="right" w:pos="8306"/>
        </w:tabs>
        <w:suppressAutoHyphens/>
        <w:spacing w:line="276" w:lineRule="auto"/>
        <w:jc w:val="center"/>
        <w:rPr>
          <w:rFonts w:eastAsia="Batang"/>
          <w:b/>
          <w:szCs w:val="24"/>
          <w:lang w:eastAsia="ar-SA"/>
        </w:rPr>
      </w:pPr>
      <w:r>
        <w:rPr>
          <w:rFonts w:eastAsia="Batang"/>
          <w:b/>
          <w:szCs w:val="24"/>
          <w:lang w:eastAsia="ar-SA"/>
        </w:rPr>
        <w:t xml:space="preserve">PRIENŲ RAJONO SAVIVALDYBĖS TARYBA </w:t>
      </w:r>
    </w:p>
    <w:p>
      <w:pPr>
        <w:tabs>
          <w:tab w:val="center" w:pos="4153"/>
          <w:tab w:val="right" w:pos="8306"/>
        </w:tabs>
        <w:suppressAutoHyphens/>
        <w:spacing w:line="276" w:lineRule="auto"/>
        <w:jc w:val="center"/>
        <w:rPr>
          <w:rFonts w:eastAsia="Batang"/>
          <w:b/>
          <w:szCs w:val="24"/>
          <w:lang w:eastAsia="ar-SA"/>
        </w:rPr>
      </w:pPr>
    </w:p>
    <w:p>
      <w:pPr>
        <w:tabs>
          <w:tab w:val="center" w:pos="4153"/>
          <w:tab w:val="right" w:pos="8306"/>
        </w:tabs>
        <w:suppressAutoHyphens/>
        <w:spacing w:line="276" w:lineRule="auto"/>
        <w:jc w:val="center"/>
        <w:rPr>
          <w:rFonts w:eastAsia="Batang"/>
          <w:b/>
          <w:szCs w:val="24"/>
          <w:lang w:eastAsia="ar-SA"/>
        </w:rPr>
      </w:pPr>
      <w:r>
        <w:rPr>
          <w:rFonts w:eastAsia="Batang"/>
          <w:b/>
          <w:szCs w:val="24"/>
          <w:lang w:eastAsia="ar-SA"/>
        </w:rPr>
        <w:t>SPRENDIMAS</w:t>
      </w:r>
    </w:p>
    <w:p>
      <w:pPr>
        <w:suppressAutoHyphens/>
        <w:spacing w:line="276" w:lineRule="auto"/>
        <w:jc w:val="center"/>
        <w:rPr>
          <w:rFonts w:eastAsia="Batang"/>
          <w:b/>
          <w:szCs w:val="24"/>
          <w:lang w:eastAsia="ar-SA"/>
        </w:rPr>
      </w:pPr>
      <w:r>
        <w:rPr>
          <w:rFonts w:eastAsia="Batang"/>
          <w:b/>
          <w:szCs w:val="24"/>
          <w:lang w:eastAsia="ar-SA"/>
        </w:rPr>
        <w:t xml:space="preserve">DĖL PRIENŲ RAJONO SAVIVALDYBĖS TARYBOS 2018 M. RUGSĖJO 27 D. SPRENDIMO NR. T3-234 „DĖL PRIENŲ RAJONO SAVIVALDYBEI SKIRTŲ MOKYMO LĖŠŲ APSKAIČIAVIMO, PASKIRSTYMO IR PANAUDOJIMO </w:t>
      </w:r>
    </w:p>
    <w:p>
      <w:pPr>
        <w:suppressAutoHyphens/>
        <w:spacing w:line="276" w:lineRule="auto"/>
        <w:jc w:val="center"/>
        <w:rPr>
          <w:rFonts w:eastAsia="Batang"/>
          <w:b/>
          <w:szCs w:val="24"/>
          <w:lang w:eastAsia="ar-SA"/>
        </w:rPr>
      </w:pPr>
      <w:r>
        <w:rPr>
          <w:rFonts w:eastAsia="Batang"/>
          <w:b/>
          <w:szCs w:val="24"/>
          <w:lang w:eastAsia="ar-SA"/>
        </w:rPr>
        <w:t>TVARKOS APRAŠO PATVIRTINIMO“ PAKEITIMO</w:t>
      </w:r>
    </w:p>
    <w:p>
      <w:pPr>
        <w:suppressAutoHyphens/>
        <w:spacing w:line="276" w:lineRule="auto"/>
        <w:rPr>
          <w:rFonts w:eastAsia="Batang"/>
          <w:szCs w:val="24"/>
          <w:lang w:eastAsia="ar-SA"/>
        </w:rPr>
      </w:pPr>
    </w:p>
    <w:p>
      <w:pPr>
        <w:suppressAutoHyphens/>
        <w:spacing w:line="276" w:lineRule="auto"/>
        <w:jc w:val="center"/>
        <w:rPr>
          <w:rFonts w:eastAsia="Batang"/>
          <w:szCs w:val="24"/>
          <w:lang w:eastAsia="ar-SA"/>
        </w:rPr>
      </w:pPr>
      <w:r>
        <w:rPr>
          <w:rFonts w:eastAsia="Batang"/>
          <w:szCs w:val="24"/>
          <w:lang w:eastAsia="ar-SA"/>
        </w:rPr>
        <w:t xml:space="preserve">2022 m. kovo      d. Nr. </w:t>
      </w:r>
    </w:p>
    <w:p>
      <w:pPr>
        <w:suppressAutoHyphens/>
        <w:spacing w:line="276" w:lineRule="auto"/>
        <w:jc w:val="center"/>
        <w:rPr>
          <w:rFonts w:eastAsia="Batang"/>
          <w:szCs w:val="24"/>
          <w:lang w:eastAsia="ar-SA"/>
        </w:rPr>
      </w:pPr>
      <w:r>
        <w:rPr>
          <w:rFonts w:eastAsia="Batang"/>
          <w:szCs w:val="24"/>
          <w:lang w:eastAsia="ar-SA"/>
        </w:rPr>
        <w:t>Prienai</w:t>
      </w:r>
    </w:p>
    <w:p>
      <w:pPr>
        <w:suppressAutoHyphens/>
        <w:spacing w:line="276" w:lineRule="auto"/>
        <w:jc w:val="both"/>
        <w:rPr>
          <w:rFonts w:eastAsia="Batang"/>
          <w:szCs w:val="24"/>
          <w:lang w:eastAsia="ar-SA"/>
        </w:rPr>
      </w:pPr>
    </w:p>
    <w:p>
      <w:pPr>
        <w:suppressAutoHyphens/>
        <w:spacing w:line="276" w:lineRule="auto"/>
        <w:ind w:firstLine="720"/>
        <w:jc w:val="both"/>
        <w:rPr>
          <w:rFonts w:eastAsia="Batang"/>
          <w:szCs w:val="24"/>
          <w:lang w:eastAsia="ar-SA"/>
        </w:rPr>
      </w:pPr>
      <w:r>
        <w:rPr>
          <w:rFonts w:eastAsia="Batang"/>
          <w:szCs w:val="24"/>
          <w:lang w:eastAsia="ar-SA"/>
        </w:rPr>
        <w:t>Vadovaudamasi Lietuvos Respublikos vietos savivaldos įstatymo 18 straipsnio 1 dalimi, Mokymo lėšų apskaičiavimo, paskirstymo ir panaudojimo tvarkos aprašu, patvirtintu Lietuvos Respublikos Vyriausybės 2018 m. liepos 11 d. nutarimu Nr. 679 „Dėl Mokymo lėšų apskaičiavimo, paskirstymo ir panaudojimo tvarkos aprašo patvirtinimo“, Prienų rajono savivaldybės taryba n u s p r e n d ž i a:</w:t>
      </w:r>
    </w:p>
    <w:p>
      <w:pPr>
        <w:suppressAutoHyphens/>
        <w:spacing w:line="276" w:lineRule="auto"/>
        <w:ind w:firstLine="720"/>
        <w:jc w:val="both"/>
        <w:rPr>
          <w:rFonts w:eastAsia="Batang"/>
          <w:szCs w:val="24"/>
          <w:lang w:eastAsia="ar-SA"/>
        </w:rPr>
      </w:pPr>
      <w:r>
        <w:rPr>
          <w:rFonts w:eastAsia="Batang"/>
          <w:szCs w:val="24"/>
          <w:lang w:eastAsia="ar-SA"/>
        </w:rPr>
        <w:t>Pakeisti Prienų rajono savivaldybei skirtų mokymo lėšų apskaičiavimo, paskirstymo ir panaudojimo tvarkos aprašo, patvirtinto Prienų rajono savivaldybės tarybos 2018 m. rugsėjo 27 d. sprendimu Nr. T3-234 „Dėl Prienų rajono savivaldybei skirtų mokymo lėšų apskaičiavimo, paskirstymo ir panaudojimo tvarkos aprašo patvirtinimo“, 14 punktą ir jį išdėstyti taip:</w:t>
      </w:r>
    </w:p>
    <w:p>
      <w:pPr>
        <w:tabs>
          <w:tab w:val="left" w:pos="993"/>
        </w:tabs>
        <w:suppressAutoHyphens/>
        <w:spacing w:line="276" w:lineRule="auto"/>
        <w:ind w:firstLine="720"/>
        <w:jc w:val="both"/>
        <w:rPr>
          <w:rFonts w:eastAsia="Batang"/>
          <w:szCs w:val="24"/>
          <w:lang w:eastAsia="ar-SA"/>
        </w:rPr>
      </w:pPr>
      <w:r>
        <w:rPr>
          <w:rFonts w:eastAsia="Batang"/>
          <w:szCs w:val="24"/>
          <w:lang w:eastAsia="ar-SA"/>
        </w:rPr>
        <w:t>„</w:t>
      </w:r>
      <w:r>
        <w:rPr>
          <w:rFonts w:eastAsia="Batang"/>
          <w:szCs w:val="24"/>
          <w:lang w:eastAsia="ar-SA"/>
        </w:rPr>
        <w:t>14</w:t>
      </w:r>
      <w:r>
        <w:rPr>
          <w:rFonts w:eastAsia="Batang"/>
          <w:szCs w:val="24"/>
          <w:lang w:eastAsia="ar-SA"/>
        </w:rPr>
        <w:t>. Prienų švietimo pagalbos tarnyba jai skirtas mokymo lėšas naudoja specialiojo pedagogo, logopedo, psichologo, socialinio pedagogo, gydytojo neurologo, įstaigos vadovo darbo užmokesčiui ir su juo susijusioms socialinio draudimo įmokoms, išmokoms ir kompensacijoms mokėti.“</w:t>
      </w:r>
    </w:p>
    <w:p>
      <w:pPr>
        <w:tabs>
          <w:tab w:val="left" w:pos="993"/>
        </w:tabs>
        <w:suppressAutoHyphens/>
        <w:spacing w:line="276" w:lineRule="auto"/>
        <w:ind w:firstLine="720"/>
        <w:jc w:val="both"/>
        <w:rPr>
          <w:szCs w:val="24"/>
        </w:rPr>
      </w:pPr>
    </w:p>
    <w:p>
      <w:pPr>
        <w:suppressAutoHyphens/>
        <w:spacing w:line="276" w:lineRule="auto"/>
        <w:rPr>
          <w:szCs w:val="24"/>
        </w:rPr>
      </w:pPr>
    </w:p>
    <w:p>
      <w:pPr>
        <w:suppressAutoHyphens/>
        <w:spacing w:line="276" w:lineRule="auto"/>
        <w:rPr>
          <w:szCs w:val="24"/>
        </w:rPr>
      </w:pPr>
      <w:r>
        <w:rPr>
          <w:szCs w:val="24"/>
        </w:rPr>
        <w:t>Savivaldybės meras</w:t>
      </w:r>
    </w:p>
    <w:sectPr>
      <w:headerReference w:type="even" r:id="rId6"/>
      <w:headerReference w:type="default" r:id="rId7"/>
      <w:footerReference w:type="even" r:id="rId8"/>
      <w:footerReference w:type="default" r:id="rId9"/>
      <w:headerReference w:type="first" r:id="rId10"/>
      <w:footerReference w:type="first" r:id="rId11"/>
      <w:pgSz w:w="11906" w:h="16820"/>
      <w:pgMar w:top="567" w:right="567" w:bottom="567" w:left="1843" w:header="1134" w:footer="567" w:gutter="0"/>
      <w:pgNumType w:start="1"/>
      <w:cols w:space="1296"/>
      <w:titlePg/>
      <w:docGrid w:linePitch="600" w:charSpace="409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uppressAutoHyphens/>
        <w:rPr>
          <w:rFonts w:eastAsia="Batang"/>
          <w:sz w:val="20"/>
          <w:lang w:eastAsia="ar-SA"/>
        </w:rPr>
      </w:pPr>
      <w:r>
        <w:rPr>
          <w:rFonts w:eastAsia="Batang"/>
          <w:sz w:val="20"/>
          <w:lang w:eastAsia="ar-SA"/>
        </w:rPr>
        <w:separator/>
      </w:r>
    </w:p>
  </w:endnote>
  <w:endnote w:type="continuationSeparator" w:id="0">
    <w:p>
      <w:pPr>
        <w:suppressAutoHyphens/>
        <w:rPr>
          <w:rFonts w:eastAsia="Batang"/>
          <w:sz w:val="20"/>
          <w:lang w:eastAsia="ar-SA"/>
        </w:rPr>
      </w:pPr>
      <w:r>
        <w:rPr>
          <w:rFonts w:eastAsia="Batang"/>
          <w:sz w:val="20"/>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uppressAutoHyphens/>
        <w:rPr>
          <w:rFonts w:eastAsia="Batang"/>
          <w:sz w:val="20"/>
          <w:lang w:eastAsia="ar-SA"/>
        </w:rPr>
      </w:pPr>
      <w:r>
        <w:rPr>
          <w:rFonts w:eastAsia="Batang"/>
          <w:sz w:val="20"/>
          <w:lang w:eastAsia="ar-SA"/>
        </w:rPr>
        <w:separator/>
      </w:r>
    </w:p>
  </w:footnote>
  <w:footnote w:type="continuationSeparator" w:id="0">
    <w:p>
      <w:pPr>
        <w:suppressAutoHyphens/>
        <w:rPr>
          <w:rFonts w:eastAsia="Batang"/>
          <w:sz w:val="20"/>
          <w:lang w:eastAsia="ar-SA"/>
        </w:rPr>
      </w:pPr>
      <w:r>
        <w:rPr>
          <w:rFonts w:eastAsia="Batang"/>
          <w:sz w:val="20"/>
          <w:lang w:eastAsia="ar-SA"/>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153"/>
        <w:tab w:val="right" w:pos="8306"/>
      </w:tabs>
      <w:suppressAutoHyphens/>
      <w:ind w:firstLine="13"/>
      <w:jc w:val="center"/>
      <w:rPr>
        <w:rFonts w:eastAsia="Batang"/>
        <w:szCs w:val="24"/>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5F3EF4-E8FB-4A86-9B0E-4651EE51560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83229232">
      <w:bodyDiv w:val="1"/>
      <w:marLeft w:val="0"/>
      <w:marRight w:val="0"/>
      <w:marTop w:val="0"/>
      <w:marBottom w:val="0"/>
      <w:divBdr>
        <w:top w:val="none" w:sz="0" w:space="0" w:color="auto"/>
        <w:left w:val="none" w:sz="0" w:space="0" w:color="auto"/>
        <w:bottom w:val="none" w:sz="0" w:space="0" w:color="auto"/>
        <w:right w:val="none" w:sz="0" w:space="0" w:color="auto"/>
      </w:divBdr>
    </w:div>
    <w:div w:id="908727962">
      <w:bodyDiv w:val="1"/>
      <w:marLeft w:val="0"/>
      <w:marRight w:val="0"/>
      <w:marTop w:val="0"/>
      <w:marBottom w:val="0"/>
      <w:divBdr>
        <w:top w:val="none" w:sz="0" w:space="0" w:color="auto"/>
        <w:left w:val="none" w:sz="0" w:space="0" w:color="auto"/>
        <w:bottom w:val="none" w:sz="0" w:space="0" w:color="auto"/>
        <w:right w:val="none" w:sz="0" w:space="0" w:color="auto"/>
      </w:divBdr>
    </w:div>
    <w:div w:id="1269772995">
      <w:bodyDiv w:val="1"/>
      <w:marLeft w:val="0"/>
      <w:marRight w:val="0"/>
      <w:marTop w:val="0"/>
      <w:marBottom w:val="0"/>
      <w:divBdr>
        <w:top w:val="none" w:sz="0" w:space="0" w:color="auto"/>
        <w:left w:val="none" w:sz="0" w:space="0" w:color="auto"/>
        <w:bottom w:val="none" w:sz="0" w:space="0" w:color="auto"/>
        <w:right w:val="none" w:sz="0" w:space="0" w:color="auto"/>
      </w:divBdr>
    </w:div>
    <w:div w:id="1634871749">
      <w:bodyDiv w:val="1"/>
      <w:marLeft w:val="0"/>
      <w:marRight w:val="0"/>
      <w:marTop w:val="0"/>
      <w:marBottom w:val="0"/>
      <w:divBdr>
        <w:top w:val="none" w:sz="0" w:space="0" w:color="auto"/>
        <w:left w:val="none" w:sz="0" w:space="0" w:color="auto"/>
        <w:bottom w:val="none" w:sz="0" w:space="0" w:color="auto"/>
        <w:right w:val="none" w:sz="0" w:space="0" w:color="auto"/>
      </w:divBdr>
    </w:div>
    <w:div w:id="19219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1173</Characters>
  <Application>Microsoft Office Word</Application>
  <DocSecurity>4</DocSecurity>
  <Lines>28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Company>
  <LinksUpToDate>false</LinksUpToDate>
  <CharactersWithSpaces>1338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2022-03-17T15:08:00Z</dcterms:created>
  <dc:creator>Svetlana Jerpyliova</dc:creator>
  <lastModifiedBy>adlibuser</lastModifiedBy>
  <lastPrinted>2022-03-07T09:10:00Z</lastPrinted>
  <dcterms:modified xsi:type="dcterms:W3CDTF">2022-03-17T15:08:00Z</dcterms:modified>
  <revision>2</revision>
</coreProperties>
</file>