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b4b34dea5c44bf5a5c5dcc68a78bee0"/>
        <w:lock w:val="sdtLocked"/>
        <w:richText/>
      </w:sdtPr>
      <w:sdtContent>
        <w:tbl>
          <w:tblPr>
            <w:tblW w:w="9647" w:type="dxa"/>
            <w:tblLayout w:type="fixed"/>
            <w:tblCellMar>
              <w:left w:w="107" w:type="dxa"/>
              <w:right w:w="107" w:type="dxa"/>
            </w:tblCellMar>
            <w:tblLook w:val="0000" w:firstRow="0" w:lastRow="0" w:firstColumn="0" w:lastColumn="0" w:noHBand="0" w:noVBand="0"/>
          </w:tblPr>
          <w:tblGrid>
            <w:gridCol w:w="4785"/>
            <w:gridCol w:w="4862"/>
          </w:tblGrid>
          <w:tr>
            <w:trPr>
              <w:cantSplit/>
            </w:trPr>
            <w:tc>
              <w:tcPr>
                <w:tcW w:w="9647" w:type="dxa"/>
                <w:gridSpan w:val="2"/>
              </w:tcPr>
              <w:tbl>
                <w:tblPr>
                  <w:tblW w:w="0" w:type="auto"/>
                  <w:tblLayout w:type="fixed"/>
                  <w:tblLook w:val="0000" w:firstRow="0" w:lastRow="0" w:firstColumn="0" w:lastColumn="0" w:noHBand="0" w:noVBand="0"/>
                </w:tblPr>
                <w:tblGrid>
                  <w:gridCol w:w="4786"/>
                  <w:gridCol w:w="2552"/>
                  <w:gridCol w:w="2517"/>
                </w:tblGrid>
                <w:tr>
                  <w:tc>
                    <w:tcPr>
                      <w:tcW w:w="4786" w:type="dxa"/>
                    </w:tcPr>
                    <w:p>
                      <w:pPr>
                        <w:tabs>
                          <w:tab w:val="center" w:pos="4320"/>
                          <w:tab w:val="right" w:pos="8640"/>
                        </w:tabs>
                        <w:rPr>
                          <w:sz w:val="20"/>
                        </w:rPr>
                      </w:pPr>
                    </w:p>
                  </w:tc>
                  <w:tc>
                    <w:tcPr>
                      <w:tcW w:w="2552" w:type="dxa"/>
                    </w:tcPr>
                    <w:p>
                      <w:pPr>
                        <w:tabs>
                          <w:tab w:val="center" w:pos="4320"/>
                          <w:tab w:val="right" w:pos="8640"/>
                        </w:tabs>
                        <w:jc w:val="right"/>
                        <w:rPr>
                          <w:b/>
                          <w:sz w:val="20"/>
                        </w:rPr>
                      </w:pPr>
                      <w:r>
                        <w:rPr>
                          <w:b/>
                          <w:sz w:val="20"/>
                        </w:rPr>
                        <w:t>Projektas</w:t>
                      </w:r>
                    </w:p>
                  </w:tc>
                  <w:tc>
                    <w:tcPr>
                      <w:tcW w:w="2517" w:type="dxa"/>
                    </w:tcPr>
                    <w:p>
                      <w:pPr>
                        <w:tabs>
                          <w:tab w:val="center" w:pos="4320"/>
                          <w:tab w:val="right" w:pos="8640"/>
                        </w:tabs>
                        <w:rPr>
                          <w:b/>
                          <w:sz w:val="20"/>
                        </w:rPr>
                      </w:pPr>
                    </w:p>
                  </w:tc>
                </w:tr>
              </w:tbl>
              <w:p>
                <w:pPr>
                  <w:tabs>
                    <w:tab w:val="center" w:pos="4320"/>
                    <w:tab w:val="right" w:pos="8640"/>
                  </w:tabs>
                  <w:rPr>
                    <w:sz w:val="12"/>
                  </w:rPr>
                </w:pPr>
              </w:p>
              <w:p>
                <w:pPr>
                  <w:jc w:val="center"/>
                  <w:rPr>
                    <w:szCs w:val="24"/>
                  </w:rPr>
                </w:pPr>
              </w:p>
            </w:tc>
          </w:tr>
          <w:tr>
            <w:trPr>
              <w:cantSplit/>
            </w:trPr>
            <w:tc>
              <w:tcPr>
                <w:tcW w:w="9647" w:type="dxa"/>
                <w:gridSpan w:val="2"/>
              </w:tcPr>
              <w:p>
                <w:pPr>
                  <w:keepNext/>
                  <w:jc w:val="center"/>
                  <w:rPr>
                    <w:b/>
                    <w:sz w:val="26"/>
                    <w:szCs w:val="24"/>
                  </w:rPr>
                </w:pPr>
                <w:r>
                  <w:rPr>
                    <w:b/>
                    <w:caps/>
                    <w:sz w:val="26"/>
                    <w:szCs w:val="24"/>
                  </w:rPr>
                  <w:t>Zarasų rajono savivaldybės TARYBA</w:t>
                </w:r>
              </w:p>
            </w:tc>
          </w:tr>
          <w:tr>
            <w:trPr>
              <w:cantSplit/>
              <w:trHeight w:val="131"/>
            </w:trPr>
            <w:tc>
              <w:tcPr>
                <w:tcW w:w="4785" w:type="dxa"/>
                <w:vAlign w:val="bottom"/>
              </w:tcPr>
              <w:p>
                <w:pPr>
                  <w:keepNext/>
                  <w:outlineLvl w:val="3"/>
                  <w:rPr>
                    <w:b/>
                    <w:szCs w:val="24"/>
                  </w:rPr>
                </w:pPr>
              </w:p>
              <w:p>
                <w:pPr>
                  <w:keepNext/>
                  <w:outlineLvl w:val="3"/>
                  <w:rPr>
                    <w:b/>
                    <w:vanish/>
                    <w:szCs w:val="24"/>
                  </w:rPr>
                </w:pPr>
              </w:p>
            </w:tc>
            <w:tc>
              <w:tcPr>
                <w:tcW w:w="4862" w:type="dxa"/>
              </w:tcPr>
              <w:p>
                <w:pPr>
                  <w:rPr>
                    <w:b/>
                    <w:vanish/>
                    <w:szCs w:val="24"/>
                  </w:rPr>
                </w:pPr>
              </w:p>
            </w:tc>
          </w:tr>
          <w:tr>
            <w:trPr>
              <w:cantSplit/>
              <w:trHeight w:val="131"/>
            </w:trPr>
            <w:tc>
              <w:tcPr>
                <w:tcW w:w="9647" w:type="dxa"/>
                <w:gridSpan w:val="2"/>
                <w:vAlign w:val="bottom"/>
              </w:tcPr>
              <w:p>
                <w:pPr>
                  <w:jc w:val="center"/>
                  <w:rPr>
                    <w:b/>
                    <w:vanish/>
                    <w:szCs w:val="24"/>
                  </w:rPr>
                </w:pPr>
                <w:r>
                  <w:rPr>
                    <w:b/>
                  </w:rPr>
                  <w:t>SPRENDIMAS</w:t>
                </w:r>
              </w:p>
            </w:tc>
          </w:tr>
          <w:tr>
            <w:trPr>
              <w:cantSplit/>
              <w:trHeight w:val="131"/>
            </w:trPr>
            <w:tc>
              <w:tcPr>
                <w:tcW w:w="9647" w:type="dxa"/>
                <w:gridSpan w:val="2"/>
                <w:vAlign w:val="bottom"/>
              </w:tcPr>
              <w:p>
                <w:pPr>
                  <w:jc w:val="center"/>
                  <w:rPr>
                    <w:b/>
                    <w:szCs w:val="24"/>
                  </w:rPr>
                </w:pPr>
                <w:r>
                  <w:rPr>
                    <w:b/>
                    <w:szCs w:val="24"/>
                  </w:rPr>
                  <w:t xml:space="preserve">DĖL </w:t>
                </w:r>
                <w:r>
                  <w:rPr>
                    <w:b/>
                    <w:caps/>
                    <w:szCs w:val="24"/>
                  </w:rPr>
                  <w:t>ZARASŲ RAJONO SAVIVALDYBEI NUOSAVYBĖS TEISE PRIKLAUSANČIO, Zarasų rajono savivaldybės ADMINISTRACIJOS patikėjimo teise valdomO AUTOBUSO</w:t>
                </w:r>
                <w:r>
                  <w:rPr>
                    <w:b/>
                    <w:szCs w:val="24"/>
                  </w:rPr>
                  <w:t xml:space="preserve"> PERDAVIMO VALDYTI, NAUDOTI IR DISPONUOTI JUO PATIKĖJIMO TEISE</w:t>
                </w:r>
              </w:p>
            </w:tc>
          </w:tr>
          <w:tr>
            <w:trPr>
              <w:cantSplit/>
              <w:trHeight w:val="131"/>
            </w:trPr>
            <w:tc>
              <w:tcPr>
                <w:tcW w:w="9647" w:type="dxa"/>
                <w:gridSpan w:val="2"/>
                <w:vAlign w:val="bottom"/>
              </w:tcPr>
              <w:p>
                <w:pPr>
                  <w:jc w:val="center"/>
                  <w:rPr>
                    <w:b/>
                    <w:szCs w:val="24"/>
                  </w:rPr>
                </w:pPr>
              </w:p>
            </w:tc>
          </w:tr>
          <w:tr>
            <w:trPr>
              <w:cantSplit/>
              <w:trHeight w:val="131"/>
              <w:hidden/>
            </w:trPr>
            <w:tc>
              <w:tcPr>
                <w:tcW w:w="9647" w:type="dxa"/>
                <w:gridSpan w:val="2"/>
                <w:vAlign w:val="bottom"/>
              </w:tcPr>
              <w:p>
                <w:pPr>
                  <w:jc w:val="center"/>
                  <w:rPr>
                    <w:b/>
                    <w:bCs/>
                    <w:vanish/>
                    <w:szCs w:val="24"/>
                  </w:rPr>
                </w:pPr>
              </w:p>
            </w:tc>
          </w:tr>
          <w:tr>
            <w:trPr>
              <w:cantSplit/>
              <w:trHeight w:val="131"/>
            </w:trPr>
            <w:tc>
              <w:tcPr>
                <w:tcW w:w="9647" w:type="dxa"/>
                <w:gridSpan w:val="2"/>
                <w:vAlign w:val="bottom"/>
              </w:tcPr>
              <w:p>
                <w:pPr>
                  <w:jc w:val="center"/>
                  <w:rPr>
                    <w:bCs/>
                    <w:vanish/>
                    <w:szCs w:val="24"/>
                  </w:rPr>
                </w:pPr>
                <w:r>
                  <w:rPr>
                    <w:bCs/>
                    <w:szCs w:val="24"/>
                  </w:rPr>
                  <w:t xml:space="preserve">2024 m.                          d. Nr. </w:t>
                </w:r>
              </w:p>
            </w:tc>
          </w:tr>
          <w:tr>
            <w:trPr>
              <w:cantSplit/>
              <w:trHeight w:val="131"/>
            </w:trPr>
            <w:tc>
              <w:tcPr>
                <w:tcW w:w="9647" w:type="dxa"/>
                <w:gridSpan w:val="2"/>
                <w:vAlign w:val="bottom"/>
              </w:tcPr>
              <w:p>
                <w:pPr>
                  <w:jc w:val="center"/>
                  <w:rPr>
                    <w:b/>
                    <w:vanish/>
                    <w:szCs w:val="24"/>
                  </w:rPr>
                </w:pPr>
                <w:r>
                  <w:rPr>
                    <w:szCs w:val="24"/>
                  </w:rPr>
                  <w:t>Zarasai</w:t>
                </w:r>
              </w:p>
            </w:tc>
          </w:tr>
          <w:tr>
            <w:trPr>
              <w:cantSplit/>
              <w:trHeight w:val="131"/>
            </w:trPr>
            <w:tc>
              <w:tcPr>
                <w:tcW w:w="9647" w:type="dxa"/>
                <w:gridSpan w:val="2"/>
                <w:vAlign w:val="bottom"/>
              </w:tcPr>
              <w:p>
                <w:pPr>
                  <w:rPr>
                    <w:szCs w:val="24"/>
                  </w:rPr>
                </w:pPr>
              </w:p>
            </w:tc>
          </w:tr>
        </w:tbl>
        <w:p/>
      </w:sdtContent>
    </w:sdt>
    <w:sdt>
      <w:sdtPr>
        <w:alias w:val="pastraipa"/>
        <w:tag w:val="part_2c811d5f0d05423eba5fb6de67c6a68d"/>
        <w:lock w:val="sdtLocked"/>
        <w:richText/>
      </w:sdtPr>
      <w:sdtContent>
        <w:p>
          <w:pPr>
            <w:tabs>
              <w:tab w:val="left" w:pos="1560"/>
            </w:tabs>
            <w:ind w:firstLine="1260"/>
            <w:jc w:val="both"/>
            <w:rPr>
              <w:szCs w:val="24"/>
            </w:rPr>
          </w:pPr>
          <w:r>
            <w:rPr>
              <w:szCs w:val="24"/>
            </w:rPr>
            <w:t>Vadovaudamasi Lietuvos Respublikos vietos savivaldos įstatymo 15 straipsnio 2 dalies 19 punktu, Lietuvos Respublikos valstybės ir savivaldybių turto valdymo, naudojimo ir disponavimo juo įstatymo 12 straipsnio 1 dalimi, Zarasų rajono savivaldybės turto perdavimo valdyti, naudoti ir disponuoti juo patikėjimo teise tvarkos aprašo, patvirtinto Zarasų rajono savivaldybės tarybos 2014 m. gruodžio 19 d. sprendimu Nr. T-242 „Dėl Zarasų rajono savivaldybės turto perdavimo valdyti, naudoti ir disponuoti juo patikėjimo teise tvarkos aprašo patvirtinimo“, 4.1 ir 5 punktais, atsižvelgdama į Zarasų rajono savivaldybės administracijos direktoriaus 2024 m. gruodžio 6 d. įsakymo Nr. I-545 „Dėl Zarasų rajono savivaldybei nuosavybės teise priklausančio, Zarasų rajono savivaldybės administracijos patikėjimo teise valdomo autobuso, pripažinimo nereikalingu Zarasų rajono savivaldybės administracijos funkcijoms įgyvendinti“ 1 punktą, Zarasų rajono savivaldybės administracijos Švietimo, kultūros ir sporto skyriaus 2024 m. lapkričio 28 d. raštą Nr. Š2</w:t>
            <w:noBreakHyphen/>
            <w:t>(29.15Mr)</w:t>
            <w:noBreakHyphen/>
            <w:t>179 „Dėl autobuso perdavimo“, Zarasų rajono savivaldybės administracijos 2024 m. gruodžio 6 d. raštą Nr. 3</w:t>
            <w:noBreakHyphen/>
            <w:t xml:space="preserve">2103 „Dėl sutikimo perduoti autobusą valdyti, naudoti ir disponuoti juo patikėjimo teise“, </w:t>
          </w:r>
          <w:r>
            <w:rPr>
              <w:szCs w:val="24"/>
              <w:bdr w:val="none" w:sz="0" w:space="0" w:color="auto" w:frame="1"/>
              <w:lang w:eastAsia="lt-LT"/>
            </w:rPr>
            <w:t>Zarasų „Ąžuolo“ gimnazijos 2024 m. gruodžio 3 d. raštą Nr. 2-104-(1.10 Mr) „Dėl turto perdavimo valdyti, naudoti ir disponuoti juo patikėjimo teise“</w:t>
          </w:r>
          <w:r>
            <w:rPr>
              <w:rFonts w:eastAsia="Calibri"/>
              <w:szCs w:val="24"/>
            </w:rPr>
            <w:t>,</w:t>
          </w:r>
          <w:r>
            <w:rPr>
              <w:szCs w:val="24"/>
            </w:rPr>
            <w:t xml:space="preserve"> Zarasų rajono savivaldybės taryba  </w:t>
          </w:r>
          <w:r>
            <w:rPr>
              <w:spacing w:val="50"/>
              <w:szCs w:val="24"/>
            </w:rPr>
            <w:t>nusprendžia</w:t>
          </w:r>
          <w:r>
            <w:rPr>
              <w:szCs w:val="24"/>
            </w:rPr>
            <w:t xml:space="preserve">: </w:t>
          </w:r>
        </w:p>
        <w:sdt>
          <w:sdtPr>
            <w:alias w:val="1 p."/>
            <w:tag w:val="part_239024fb4d6643ad85c51d2d9f922c0f"/>
            <w:lock w:val="sdtLocked"/>
            <w:richText/>
          </w:sdtPr>
          <w:sdtContent>
            <w:p>
              <w:pPr>
                <w:tabs>
                  <w:tab w:val="left" w:pos="1134"/>
                  <w:tab w:val="left" w:pos="1560"/>
                </w:tabs>
                <w:ind w:right="-1" w:firstLine="1260"/>
                <w:jc w:val="both"/>
                <w:rPr>
                  <w:bCs/>
                  <w:szCs w:val="24"/>
                </w:rPr>
              </w:pPr>
              <w:sdt>
                <w:sdtPr>
                  <w:alias w:val="Numeris"/>
                  <w:tag w:val="nr_239024fb4d6643ad85c51d2d9f922c0f"/>
                  <w:lock w:val="sdtLocked"/>
                  <w:richText/>
                </w:sdtPr>
                <w:sdtContent>
                  <w:r>
                    <w:rPr>
                      <w:bCs/>
                      <w:szCs w:val="24"/>
                    </w:rPr>
                    <w:t>1</w:t>
                  </w:r>
                </w:sdtContent>
              </w:sdt>
              <w:r>
                <w:rPr>
                  <w:bCs/>
                  <w:szCs w:val="24"/>
                </w:rPr>
                <w:t>.</w:t>
                <w:tab/>
              </w:r>
              <w:r>
                <w:rPr>
                  <w:szCs w:val="24"/>
                </w:rPr>
                <w:t xml:space="preserve">Perduoti Zarasų „Ąžuolo“ gimnazijai (kodas 190202999) valdyti, naudoti ir disponuoti patikėjimo teise Zarasų rajono savivaldybei nuosavybės teise priklausantį, Zarasų rajono savivaldybės administracijos patikėjimo teise valdomą M2 klasės keleivinį autobusą FORD TRANSIT, kurio valst. Nr. NEL402, identifikavimo Nr. WF0MXXTTRMMD47874, inventorinis Nr. 103710,  įsigijimo savikaina – 67900,00 Eur, likutinė vertė 2024 m. lapkričio 30 d.– 66768,33 Eur</w:t>
              </w:r>
              <w:r>
                <w:rPr>
                  <w:color w:val="000000"/>
                  <w:szCs w:val="24"/>
                </w:rPr>
                <w:t>.</w:t>
              </w:r>
            </w:p>
          </w:sdtContent>
        </w:sdt>
        <w:sdt>
          <w:sdtPr>
            <w:alias w:val="2 p."/>
            <w:tag w:val="part_e66d005b10a64d43be4aa9d611f56e30"/>
            <w:lock w:val="sdtLocked"/>
            <w:richText/>
          </w:sdtPr>
          <w:sdtContent>
            <w:p>
              <w:pPr>
                <w:tabs>
                  <w:tab w:val="left" w:pos="1560"/>
                  <w:tab w:val="left" w:pos="1843"/>
                </w:tabs>
                <w:ind w:firstLine="1260"/>
                <w:jc w:val="both"/>
                <w:rPr>
                  <w:szCs w:val="24"/>
                </w:rPr>
              </w:pPr>
              <w:sdt>
                <w:sdtPr>
                  <w:alias w:val="Numeris"/>
                  <w:tag w:val="nr_e66d005b10a64d43be4aa9d611f56e30"/>
                  <w:lock w:val="sdtLocked"/>
                  <w:richText/>
                </w:sdtPr>
                <w:sdtContent>
                  <w:r>
                    <w:rPr>
                      <w:szCs w:val="24"/>
                    </w:rPr>
                    <w:t>2</w:t>
                  </w:r>
                </w:sdtContent>
              </w:sdt>
              <w:r>
                <w:rPr>
                  <w:szCs w:val="24"/>
                </w:rPr>
                <w:t>.</w:t>
                <w:tab/>
                <w:t>Įgalioti Zarasų rajono savivaldybės administracijos direktorių Aurelijų Banį pasirašyti šio sprendimo 1 punkte nurodyto turto perdavimo ir priėmimo aktą.</w:t>
              </w:r>
            </w:p>
          </w:sdtContent>
        </w:sdt>
        <w:sdt>
          <w:sdtPr>
            <w:alias w:val="3 p."/>
            <w:tag w:val="part_b200e03f6d474096a3dac45b25051a57"/>
            <w:lock w:val="sdtLocked"/>
            <w:richText/>
          </w:sdtPr>
          <w:sdtContent>
            <w:p>
              <w:pPr>
                <w:tabs>
                  <w:tab w:val="left" w:pos="1560"/>
                  <w:tab w:val="left" w:pos="1701"/>
                </w:tabs>
                <w:ind w:firstLine="1260"/>
                <w:jc w:val="both"/>
                <w:rPr>
                  <w:szCs w:val="24"/>
                </w:rPr>
              </w:pPr>
              <w:sdt>
                <w:sdtPr>
                  <w:alias w:val="Numeris"/>
                  <w:tag w:val="nr_b200e03f6d474096a3dac45b25051a57"/>
                  <w:lock w:val="sdtLocked"/>
                  <w:richText/>
                </w:sdtPr>
                <w:sdtContent>
                  <w:r>
                    <w:rPr>
                      <w:szCs w:val="24"/>
                    </w:rPr>
                    <w:t>3</w:t>
                  </w:r>
                </w:sdtContent>
              </w:sdt>
              <w:r>
                <w:rPr>
                  <w:szCs w:val="24"/>
                </w:rPr>
                <w:t>.</w:t>
                <w:tab/>
              </w:r>
              <w:r>
                <w:rPr>
                  <w:color w:val="000000"/>
                  <w:szCs w:val="24"/>
                  <w:shd w:val="clear" w:color="auto" w:fill="FFFFFF"/>
                </w:rPr>
                <w:t xml:space="preserve">Paskelbti sprendimą rajono Savivaldybės interneto svetainėje </w:t>
              </w:r>
              <w:r>
                <w:rPr>
                  <w:szCs w:val="24"/>
                  <w:shd w:val="clear" w:color="auto" w:fill="FFFFFF"/>
                </w:rPr>
                <w:t>www.zarasai.lt</w:t>
              </w:r>
              <w:r>
                <w:rPr>
                  <w:szCs w:val="24"/>
                  <w:shd w:val="clear" w:color="auto" w:fill="FFFFFF"/>
                </w:rPr>
                <w:t>.</w:t>
              </w:r>
            </w:p>
            <w:p>
              <w:pPr>
                <w:tabs>
                  <w:tab w:val="left" w:pos="1560"/>
                  <w:tab w:val="left" w:pos="1701"/>
                </w:tabs>
                <w:ind w:firstLine="1260"/>
                <w:jc w:val="both"/>
                <w:rPr>
                  <w:szCs w:val="24"/>
                </w:rPr>
              </w:pPr>
              <w:r>
                <w:rPr>
                  <w:szCs w:val="24"/>
                </w:rPr>
                <w:t>Sprendimas per vieną mėnesį gali būti skundžiamas Zarasų rajono savivaldybės tarybai (Sėlių a. 22, Zarasai)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Regionų administracinio teismo Panevėžio rūmams (Respublikos g. 62, 35158 Panevėžys) Lietuvos Respublikos administracinių bylų teisenos įstatymo nustatyta tvarka.</w:t>
              </w:r>
            </w:p>
            <w:p>
              <w:pPr>
                <w:tabs>
                  <w:tab w:val="left" w:pos="1560"/>
                  <w:tab w:val="left" w:pos="1701"/>
                </w:tabs>
                <w:ind w:firstLine="1260"/>
                <w:jc w:val="both"/>
                <w:rPr>
                  <w:szCs w:val="24"/>
                </w:rPr>
              </w:pPr>
            </w:p>
            <w:tbl>
              <w:tblPr>
                <w:tblW w:w="9648" w:type="dxa"/>
                <w:tblLayout w:type="fixed"/>
                <w:tblLook w:val="0000" w:firstRow="0" w:lastRow="0" w:firstColumn="0" w:lastColumn="0" w:noHBand="0" w:noVBand="0"/>
              </w:tblPr>
              <w:tblGrid>
                <w:gridCol w:w="4077"/>
                <w:gridCol w:w="1611"/>
                <w:gridCol w:w="3960"/>
              </w:tblGrid>
              <w:tr>
                <w:tc>
                  <w:tcPr>
                    <w:tcW w:w="4077" w:type="dxa"/>
                  </w:tcPr>
                  <w:p>
                    <w:pPr>
                      <w:tabs>
                        <w:tab w:val="left" w:pos="1560"/>
                      </w:tabs>
                      <w:rPr>
                        <w:szCs w:val="24"/>
                      </w:rPr>
                    </w:pPr>
                    <w:r>
                      <w:rPr>
                        <w:szCs w:val="24"/>
                      </w:rPr>
                      <w:t>Savivaldybės meras</w:t>
                    </w:r>
                  </w:p>
                </w:tc>
                <w:tc>
                  <w:tcPr>
                    <w:tcW w:w="1611" w:type="dxa"/>
                  </w:tcPr>
                  <w:p>
                    <w:pPr>
                      <w:tabs>
                        <w:tab w:val="left" w:pos="1560"/>
                      </w:tabs>
                      <w:rPr>
                        <w:szCs w:val="24"/>
                      </w:rPr>
                    </w:pPr>
                  </w:p>
                </w:tc>
                <w:tc>
                  <w:tcPr>
                    <w:tcW w:w="3960" w:type="dxa"/>
                  </w:tcPr>
                  <w:p>
                    <w:pPr>
                      <w:keepNext/>
                      <w:tabs>
                        <w:tab w:val="left" w:pos="1560"/>
                      </w:tabs>
                      <w:jc w:val="right"/>
                      <w:outlineLvl w:val="2"/>
                      <w:rPr>
                        <w:vanish/>
                        <w:szCs w:val="24"/>
                      </w:rPr>
                    </w:pPr>
                  </w:p>
                </w:tc>
              </w:tr>
            </w:tbl>
            <w:p>
              <w:pPr>
                <w:tabs>
                  <w:tab w:val="left" w:pos="1560"/>
                </w:tabs>
                <w:rPr>
                  <w:sz w:val="20"/>
                </w:rPr>
              </w:pPr>
            </w:p>
            <w:p>
              <w:pPr>
                <w:tabs>
                  <w:tab w:val="left" w:pos="1560"/>
                </w:tabs>
                <w:rPr>
                  <w:sz w:val="20"/>
                </w:rPr>
              </w:pPr>
            </w:p>
            <w:p>
              <w:pPr>
                <w:tabs>
                  <w:tab w:val="left" w:pos="1560"/>
                </w:tabs>
                <w:rPr>
                  <w:sz w:val="22"/>
                  <w:szCs w:val="22"/>
                </w:rPr>
              </w:pPr>
              <w:r>
                <w:rPr>
                  <w:sz w:val="22"/>
                  <w:szCs w:val="22"/>
                </w:rPr>
                <w:t xml:space="preserve">Parengė </w:t>
              </w:r>
            </w:p>
            <w:p>
              <w:pPr>
                <w:tabs>
                  <w:tab w:val="left" w:pos="1560"/>
                </w:tabs>
                <w:rPr>
                  <w:sz w:val="22"/>
                  <w:szCs w:val="22"/>
                </w:rPr>
              </w:pPr>
              <w:r>
                <w:rPr>
                  <w:sz w:val="22"/>
                  <w:szCs w:val="22"/>
                </w:rPr>
                <w:t>Turto valdymo ir viešųjų pirkimų skyriaus vedėjo pavaduotoja</w:t>
              </w:r>
            </w:p>
            <w:p>
              <w:pPr>
                <w:tabs>
                  <w:tab w:val="left" w:pos="1560"/>
                  <w:tab w:val="center" w:pos="4320"/>
                  <w:tab w:val="right" w:pos="8640"/>
                </w:tabs>
                <w:jc w:val="both"/>
                <w:rPr>
                  <w:sz w:val="22"/>
                  <w:szCs w:val="22"/>
                </w:rPr>
              </w:pPr>
              <w:r>
                <w:rPr>
                  <w:sz w:val="22"/>
                  <w:szCs w:val="22"/>
                </w:rPr>
                <w:t xml:space="preserve">Marina Gražina Beinarienė </w:t>
              </w:r>
            </w:p>
            <w:p>
              <w:pPr>
                <w:tabs>
                  <w:tab w:val="left" w:pos="1560"/>
                  <w:tab w:val="center" w:pos="4320"/>
                  <w:tab w:val="right" w:pos="8640"/>
                </w:tabs>
                <w:jc w:val="both"/>
                <w:rPr>
                  <w:rFonts w:eastAsia="Calibri"/>
                  <w:sz w:val="22"/>
                  <w:szCs w:val="22"/>
                </w:rPr>
              </w:pPr>
              <w:r>
                <w:rPr>
                  <w:sz w:val="22"/>
                  <w:szCs w:val="22"/>
                </w:rPr>
                <w:t>2024-12-06 Pateikti: Turto valdymo ir viešųjų pirkimų sk., Apskaitos sk., Švietimo, kultūros ir sporto sk., Zarasų „Ąžuolo“ gimnazijai</w:t>
              </w:r>
              <w:r>
                <w:rPr>
                  <w:rFonts w:eastAsia="Calibri"/>
                  <w:sz w:val="22"/>
                  <w:szCs w:val="22"/>
                </w:rPr>
                <w:t>.</w:t>
              </w:r>
            </w:p>
            <w:p>
              <w:pPr>
                <w:tabs>
                  <w:tab w:val="left" w:pos="1560"/>
                  <w:tab w:val="center" w:pos="4320"/>
                  <w:tab w:val="right" w:pos="8640"/>
                </w:tabs>
                <w:jc w:val="both"/>
                <w:rPr>
                  <w:rFonts w:eastAsia="Calibri"/>
                  <w:sz w:val="22"/>
                  <w:szCs w:val="22"/>
                </w:rPr>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851" w:left="1701" w:header="284" w:footer="675" w:gutter="0"/>
                  <w:pgNumType w:start="1"/>
                  <w:cols w:space="1296"/>
                  <w:titlePg/>
                  <w:docGrid w:linePitch="326"/>
                </w:sectPr>
              </w:pPr>
            </w:p>
            <w:tbl>
              <w:tblPr>
                <w:tblW w:w="0" w:type="auto"/>
                <w:tblLayout w:type="fixed"/>
                <w:tblLook w:val="0000" w:firstRow="0" w:lastRow="0" w:firstColumn="0" w:lastColumn="0" w:noHBand="0" w:noVBand="0"/>
              </w:tblPr>
              <w:tblGrid>
                <w:gridCol w:w="4786"/>
                <w:gridCol w:w="2552"/>
                <w:gridCol w:w="2517"/>
              </w:tblGrid>
              <w:tr>
                <w:tc>
                  <w:tcPr>
                    <w:tcW w:w="4786" w:type="dxa"/>
                  </w:tcPr>
                  <w:p>
                    <w:pPr>
                      <w:tabs>
                        <w:tab w:val="center" w:pos="4320"/>
                        <w:tab w:val="right" w:pos="8640"/>
                      </w:tabs>
                      <w:rPr>
                        <w:sz w:val="20"/>
                      </w:rPr>
                    </w:pPr>
                  </w:p>
                </w:tc>
                <w:tc>
                  <w:tcPr>
                    <w:tcW w:w="2552" w:type="dxa"/>
                  </w:tcPr>
                  <w:p>
                    <w:pPr>
                      <w:tabs>
                        <w:tab w:val="center" w:pos="4320"/>
                        <w:tab w:val="right" w:pos="8640"/>
                      </w:tabs>
                      <w:jc w:val="right"/>
                      <w:rPr>
                        <w:b/>
                        <w:sz w:val="20"/>
                      </w:rPr>
                    </w:pPr>
                  </w:p>
                  <w:p>
                    <w:pPr>
                      <w:tabs>
                        <w:tab w:val="center" w:pos="4320"/>
                        <w:tab w:val="right" w:pos="8640"/>
                      </w:tabs>
                      <w:jc w:val="right"/>
                      <w:rPr>
                        <w:b/>
                        <w:sz w:val="20"/>
                      </w:rPr>
                    </w:pPr>
                  </w:p>
                </w:tc>
                <w:tc>
                  <w:tcPr>
                    <w:tcW w:w="2517" w:type="dxa"/>
                  </w:tcPr>
                  <w:p>
                    <w:pPr>
                      <w:tabs>
                        <w:tab w:val="center" w:pos="4320"/>
                        <w:tab w:val="right" w:pos="8640"/>
                      </w:tabs>
                      <w:rPr>
                        <w:b/>
                        <w:sz w:val="20"/>
                      </w:rPr>
                    </w:pPr>
                  </w:p>
                </w:tc>
              </w:tr>
            </w:tbl>
            <w:p>
              <w:pPr>
                <w:tabs>
                  <w:tab w:val="center" w:pos="4320"/>
                  <w:tab w:val="right" w:pos="8640"/>
                </w:tabs>
                <w:rPr>
                  <w:sz w:val="12"/>
                </w:rPr>
              </w:pPr>
            </w:p>
            <w:p>
              <w:pPr>
                <w:tabs>
                  <w:tab w:val="left" w:pos="1560"/>
                  <w:tab w:val="center" w:pos="4320"/>
                  <w:tab w:val="right" w:pos="8640"/>
                </w:tabs>
                <w:jc w:val="both"/>
                <w:rPr>
                  <w:szCs w:val="24"/>
                </w:rPr>
              </w:pPr>
              <w:r>
                <w:rPr>
                  <w:szCs w:val="24"/>
                </w:rPr>
                <w:t>Zarasų rajono savivaldybės tarybai</w:t>
              </w:r>
            </w:p>
            <w:p>
              <w:pPr>
                <w:tabs>
                  <w:tab w:val="left" w:pos="1560"/>
                  <w:tab w:val="center" w:pos="4320"/>
                  <w:tab w:val="right" w:pos="8640"/>
                </w:tabs>
                <w:jc w:val="both"/>
                <w:rPr>
                  <w:b/>
                  <w:szCs w:val="24"/>
                </w:rPr>
              </w:pPr>
            </w:p>
            <w:p>
              <w:pPr>
                <w:tabs>
                  <w:tab w:val="left" w:pos="1560"/>
                  <w:tab w:val="center" w:pos="4320"/>
                  <w:tab w:val="right" w:pos="8640"/>
                </w:tabs>
                <w:jc w:val="both"/>
                <w:rPr>
                  <w:b/>
                  <w:szCs w:val="24"/>
                </w:rPr>
              </w:pPr>
            </w:p>
            <w:p>
              <w:pPr>
                <w:tabs>
                  <w:tab w:val="left" w:pos="1560"/>
                  <w:tab w:val="center" w:pos="4320"/>
                  <w:tab w:val="right" w:pos="8640"/>
                </w:tabs>
                <w:jc w:val="center"/>
                <w:rPr>
                  <w:b/>
                  <w:szCs w:val="24"/>
                </w:rPr>
              </w:pPr>
              <w:r>
                <w:rPr>
                  <w:b/>
                  <w:szCs w:val="24"/>
                </w:rPr>
                <w:t>PAAIŠKINAMASIS RAŠTAS</w:t>
              </w:r>
            </w:p>
            <w:p>
              <w:pPr>
                <w:jc w:val="center"/>
                <w:rPr>
                  <w:b/>
                  <w:bCs/>
                  <w:szCs w:val="24"/>
                </w:rPr>
              </w:pPr>
              <w:r>
                <w:rPr>
                  <w:b/>
                  <w:szCs w:val="24"/>
                </w:rPr>
                <w:t xml:space="preserve">DĖL ZARASŲ RAJONO SAVIVALDYBĖS TARYBOS SPRENDIMO „DĖL </w:t>
              </w:r>
              <w:r>
                <w:rPr>
                  <w:b/>
                  <w:caps/>
                  <w:szCs w:val="24"/>
                </w:rPr>
                <w:t>ZARASŲ RAJONO SAVIVALDYBEI NUOSAVYBĖS TEISE PRIKLAUSANČIO, Zarasų rajono savivaldybės ADMINISTRACIJOS patikėjimo teise valdomO AUTOBUSO</w:t>
              </w:r>
              <w:r>
                <w:rPr>
                  <w:b/>
                  <w:szCs w:val="24"/>
                </w:rPr>
                <w:t xml:space="preserve"> PERDAVIMO VALDYTI, NAUDOTI IR DISPONUOTI JUO PATIKĖJIMO TEISE</w:t>
              </w:r>
              <w:r>
                <w:rPr>
                  <w:b/>
                  <w:bCs/>
                  <w:szCs w:val="24"/>
                </w:rPr>
                <w:t>“ PROJEKTO</w:t>
              </w:r>
            </w:p>
            <w:p>
              <w:pPr>
                <w:tabs>
                  <w:tab w:val="left" w:pos="1560"/>
                  <w:tab w:val="center" w:pos="4320"/>
                  <w:tab w:val="right" w:pos="8640"/>
                </w:tabs>
                <w:jc w:val="center"/>
                <w:rPr>
                  <w:b/>
                  <w:szCs w:val="24"/>
                </w:rPr>
              </w:pPr>
            </w:p>
            <w:p>
              <w:pPr>
                <w:tabs>
                  <w:tab w:val="left" w:pos="1560"/>
                  <w:tab w:val="center" w:pos="4320"/>
                  <w:tab w:val="right" w:pos="8640"/>
                </w:tabs>
                <w:jc w:val="both"/>
                <w:rPr>
                  <w:szCs w:val="24"/>
                </w:rPr>
              </w:pPr>
            </w:p>
            <w:p>
              <w:pPr>
                <w:tabs>
                  <w:tab w:val="left" w:pos="1560"/>
                  <w:tab w:val="center" w:pos="4320"/>
                  <w:tab w:val="right" w:pos="8640"/>
                </w:tabs>
                <w:ind w:firstLine="1276"/>
                <w:jc w:val="both"/>
                <w:rPr>
                  <w:szCs w:val="24"/>
                </w:rPr>
              </w:pPr>
              <w:r>
                <w:rPr>
                  <w:szCs w:val="24"/>
                </w:rPr>
                <w:t>Zarasų rajono savivaldybės tarybos sprendimo projekto (toliau – Sprendimo projekto) tikslas – perduoti Zarasų „Ąžuolo“ gimnazijai valdyti, naudoti ir disponuoti patikėjimo teise Zarasų rajono savivaldybei nuosavybės teise priklausantį, Zarasų rajono savivaldybės administracijos patikėjimo teise valdomą 18 sėdimų vietų M2 klasės keleivinį autobusą FORD TRANSIT, kurio valst. Nr. NEL402, inventorinis Nr. 103710 (toliau – Autobusas). Šį Autobusą 2024 m. spalio 25 d. nupirko Zarasų rajono savivaldybės administracija su tikslu perduoti jį vienai iš Zarasų rajono mokyklų, kad būtų vykdomas mokinių pavėžėjimas. Autobusas įsigytas</w:t>
              </w:r>
              <w:r>
                <w:rPr>
                  <w:rFonts w:eastAsia="Calibri"/>
                  <w:szCs w:val="24"/>
                </w:rPr>
                <w:t xml:space="preserve"> vadovaujantis Lietuvos Respublikos Vyriausybės 2024 m. vasario 7 d. nutarimu Nr. 109 „D</w:t>
              </w:r>
              <w:r>
                <w:rPr>
                  <w:rFonts w:eastAsia="Calibri"/>
                  <w:bCs/>
                  <w:szCs w:val="24"/>
                </w:rPr>
                <w:t>ėl 2024 metų valstybės biudžeto asignavimų ir Valstybės investicijų 2024–2025 metų programoje numatytų lėšų paskirstymo</w:t>
              </w:r>
              <w:r>
                <w:rPr>
                  <w:rFonts w:eastAsia="Calibri"/>
                  <w:szCs w:val="24"/>
                </w:rPr>
                <w:t>“ ir įgyvendinant Mokyklų aprūpinimo geltonaisiais autobusais programą, patvirtintą Lietuvos Respublikos švietimo, mokslo ir sporto ministro 2017 m. liepos 17 d. įsakymu Nr. V-583 „Dėl Mokyklų aprūpinimo geltonaisiais autobusais programos patvirtinimo“.</w:t>
              </w:r>
            </w:p>
            <w:p>
              <w:pPr>
                <w:ind w:firstLine="1259"/>
                <w:jc w:val="both"/>
                <w:rPr>
                  <w:szCs w:val="24"/>
                </w:rPr>
              </w:pPr>
              <w:r>
                <w:rPr>
                  <w:szCs w:val="24"/>
                </w:rPr>
                <w:t>Zarasų rajono savivaldybės administracijos Švietimo, kultūros ir sporto skyrius pasiūlė perduoti Autobusą Zarasų „Ąžuolo“ gimnazijai.</w:t>
              </w:r>
            </w:p>
            <w:p>
              <w:pPr>
                <w:tabs>
                  <w:tab w:val="left" w:pos="1560"/>
                </w:tabs>
                <w:ind w:firstLine="1276"/>
                <w:jc w:val="both"/>
                <w:rPr>
                  <w:szCs w:val="24"/>
                </w:rPr>
              </w:pPr>
              <w:r>
                <w:rPr>
                  <w:szCs w:val="24"/>
                </w:rPr>
                <w:t>Vadovaujantis Lietuvos Respublikos vietos savivaldos įstatymo 15 straipsnio 2 dalies 19 punktu, Savivaldybei nuosavybės teise priklausančio turto savininko funkcijų įgyvendinimas yra išimtinė Savivaldybės tarybos kompetencija.</w:t>
              </w:r>
            </w:p>
            <w:p>
              <w:pPr>
                <w:ind w:firstLine="1259"/>
                <w:jc w:val="both"/>
                <w:rPr>
                  <w:szCs w:val="24"/>
                </w:rPr>
              </w:pPr>
              <w:r>
                <w:rPr>
                  <w:szCs w:val="24"/>
                </w:rPr>
                <w:t xml:space="preserve">Vadovaujantis Zarasų rajono savivaldybės turto perdavimo valdyti, naudoti ir disponuoti juo patikėjimo teise tvarkos aprašo, patvirtinto Zarasų rajono savivaldybės tarybos   2014 m. gruodžio 19 d. sprendimu Nr. T-242 „Dėl Zarasų rajono savivaldybės turto perdavimo valdyti, naudoti ir disponuoti juo patikėjimo teise tvarkos aprašo patvirtinimo“, 4.1 ir 5 punktais,  Zarasų rajono savivaldybei nuosavybės teise priklausantis turtas patikėjimo teise gali būti perduodamas Zarasų rajono savivaldybės institucijoms, įstaigoms ir organizacijoms, o sprendimą dėl tokio turto perdavimo patikėjimo teise priima Zarasų rajono savivaldybės taryba.</w:t>
              </w:r>
            </w:p>
            <w:p>
              <w:pPr>
                <w:tabs>
                  <w:tab w:val="left" w:pos="1560"/>
                  <w:tab w:val="center" w:pos="4320"/>
                  <w:tab w:val="right" w:pos="8640"/>
                </w:tabs>
                <w:ind w:firstLine="1259"/>
                <w:jc w:val="both"/>
                <w:rPr>
                  <w:szCs w:val="24"/>
                </w:rPr>
              </w:pPr>
              <w:r>
                <w:rPr>
                  <w:szCs w:val="24"/>
                </w:rPr>
                <w:t>Priėmus teikiamą Sprendimo projektą galiojančių teisės aktų keisti nereikės.</w:t>
              </w:r>
            </w:p>
            <w:p>
              <w:pPr>
                <w:tabs>
                  <w:tab w:val="left" w:pos="1440"/>
                  <w:tab w:val="left" w:pos="1620"/>
                </w:tabs>
                <w:ind w:firstLine="1259"/>
                <w:jc w:val="both"/>
                <w:rPr>
                  <w:szCs w:val="24"/>
                </w:rPr>
              </w:pPr>
              <w:r>
                <w:rPr>
                  <w:szCs w:val="24"/>
                </w:rPr>
                <w:t>Papildomų lėšų Sprendimo projektui įgyvendinti nereikia.</w:t>
              </w:r>
            </w:p>
            <w:p>
              <w:pPr>
                <w:tabs>
                  <w:tab w:val="left" w:pos="1440"/>
                  <w:tab w:val="left" w:pos="1560"/>
                </w:tabs>
                <w:ind w:firstLine="1259"/>
                <w:jc w:val="both"/>
                <w:rPr>
                  <w:szCs w:val="24"/>
                </w:rPr>
              </w:pPr>
              <w:r>
                <w:rPr>
                  <w:szCs w:val="24"/>
                </w:rPr>
                <w:t xml:space="preserve">Sprendimo projektą inicijavo Zarasų rajono savivaldybės administracijos Švietimo, kultūros ir sporto skyrius ir Zarasų „Ąžuolo“ gimnazija. </w:t>
              </w:r>
            </w:p>
            <w:p>
              <w:pPr>
                <w:tabs>
                  <w:tab w:val="left" w:pos="1440"/>
                  <w:tab w:val="left" w:pos="1620"/>
                </w:tabs>
                <w:ind w:firstLine="1259"/>
                <w:jc w:val="both"/>
                <w:rPr>
                  <w:szCs w:val="24"/>
                </w:rPr>
              </w:pPr>
              <w:r>
                <w:rPr>
                  <w:szCs w:val="24"/>
                </w:rPr>
                <w:t>Sprendimo projektą parengė – Zarasų rajono savivaldybės administracijos Turto valdymo ir viešųjų pirkimų skyrius.</w:t>
              </w:r>
            </w:p>
            <w:p>
              <w:pPr>
                <w:tabs>
                  <w:tab w:val="left" w:pos="1560"/>
                  <w:tab w:val="center" w:pos="4320"/>
                  <w:tab w:val="right" w:pos="8640"/>
                </w:tabs>
                <w:ind w:firstLine="1276"/>
                <w:rPr>
                  <w:szCs w:val="24"/>
                </w:rPr>
              </w:pPr>
              <w:r>
                <w:rPr>
                  <w:szCs w:val="24"/>
                </w:rPr>
                <w:t>Sprendimo projekto rengimo metu kitų specialistų vertinimų ir išvadų nebuvo gauta.</w:t>
              </w:r>
            </w:p>
            <w:p>
              <w:pPr>
                <w:tabs>
                  <w:tab w:val="left" w:pos="1440"/>
                  <w:tab w:val="left" w:pos="1620"/>
                </w:tabs>
                <w:ind w:firstLine="1259"/>
                <w:jc w:val="both"/>
                <w:rPr>
                  <w:szCs w:val="24"/>
                </w:rPr>
              </w:pPr>
              <w:r>
                <w:rPr>
                  <w:szCs w:val="24"/>
                </w:rPr>
                <w:t xml:space="preserve">Teigiamos pasekmės – priėmus Sprendimo projektą Zarasų „Ąžuolo“ gimnazija galės gautą autobusą naudoti mokinių pavėžėjimui organizuoti. </w:t>
              </w:r>
            </w:p>
            <w:p>
              <w:pPr>
                <w:tabs>
                  <w:tab w:val="left" w:pos="1440"/>
                  <w:tab w:val="left" w:pos="1620"/>
                </w:tabs>
                <w:ind w:firstLine="1276"/>
                <w:jc w:val="both"/>
                <w:rPr>
                  <w:szCs w:val="24"/>
                </w:rPr>
              </w:pPr>
              <w:r>
                <w:rPr>
                  <w:szCs w:val="24"/>
                </w:rPr>
                <w:t>Neigiamų pasekmių priėmus siūlomą Sprendimo projektą nenumatoma.</w:t>
              </w:r>
            </w:p>
            <w:p>
              <w:pPr>
                <w:tabs>
                  <w:tab w:val="left" w:pos="1440"/>
                  <w:tab w:val="left" w:pos="1620"/>
                </w:tabs>
                <w:ind w:firstLine="1276"/>
                <w:jc w:val="both"/>
                <w:rPr>
                  <w:szCs w:val="24"/>
                </w:rPr>
              </w:pPr>
              <w:r>
                <w:rPr>
                  <w:szCs w:val="24"/>
                </w:rPr>
                <w:t>PRIDEDAMA:</w:t>
              </w:r>
            </w:p>
          </w:sdtContent>
        </w:sdt>
        <w:sdt>
          <w:sdtPr>
            <w:alias w:val="1 p."/>
            <w:tag w:val="part_21662916e67049169b6c4f72b5a68207"/>
            <w:lock w:val="sdtLocked"/>
            <w:richText/>
          </w:sdtPr>
          <w:sdtContent>
            <w:p>
              <w:pPr>
                <w:widowControl w:val="0"/>
                <w:tabs>
                  <w:tab w:val="left" w:pos="1440"/>
                  <w:tab w:val="left" w:pos="1985"/>
                </w:tabs>
                <w:ind w:firstLine="1259"/>
                <w:jc w:val="both"/>
                <w:rPr>
                  <w:szCs w:val="24"/>
                </w:rPr>
              </w:pPr>
              <w:sdt>
                <w:sdtPr>
                  <w:alias w:val="Numeris"/>
                  <w:tag w:val="nr_21662916e67049169b6c4f72b5a68207"/>
                  <w:lock w:val="sdtLocked"/>
                  <w:richText/>
                </w:sdtPr>
                <w:sdtContent>
                  <w:r>
                    <w:rPr>
                      <w:szCs w:val="24"/>
                    </w:rPr>
                    <w:t>1</w:t>
                  </w:r>
                </w:sdtContent>
              </w:sdt>
              <w:r>
                <w:rPr>
                  <w:szCs w:val="24"/>
                </w:rPr>
                <w:t>.</w:t>
                <w:tab/>
                <w:t xml:space="preserve"> Zarasų rajono savivaldybės administracijos Švietimo, kultūros ir sporto skyriaus 2024 m. lapkričio 28 d. rašto Nr. Š2-(29.15 Mr)-179 „Dėl autobuso perdavimo“ nuorašas, 57 lapai.</w:t>
              </w:r>
            </w:p>
          </w:sdtContent>
        </w:sdt>
        <w:sdt>
          <w:sdtPr>
            <w:alias w:val="2 p."/>
            <w:tag w:val="part_f0221ae303fc4ad7901d0c877e5d5f37"/>
            <w:lock w:val="sdtLocked"/>
            <w:richText/>
          </w:sdtPr>
          <w:sdtContent>
            <w:p>
              <w:pPr>
                <w:widowControl w:val="0"/>
                <w:tabs>
                  <w:tab w:val="left" w:pos="1440"/>
                  <w:tab w:val="left" w:pos="1985"/>
                </w:tabs>
                <w:ind w:firstLine="1259"/>
                <w:jc w:val="both"/>
                <w:rPr>
                  <w:szCs w:val="24"/>
                </w:rPr>
              </w:pPr>
              <w:sdt>
                <w:sdtPr>
                  <w:alias w:val="Numeris"/>
                  <w:tag w:val="nr_f0221ae303fc4ad7901d0c877e5d5f37"/>
                  <w:lock w:val="sdtLocked"/>
                  <w:richText/>
                </w:sdtPr>
                <w:sdtContent>
                  <w:r>
                    <w:rPr>
                      <w:szCs w:val="24"/>
                    </w:rPr>
                    <w:t>2</w:t>
                  </w:r>
                </w:sdtContent>
              </w:sdt>
              <w:r>
                <w:rPr>
                  <w:szCs w:val="24"/>
                </w:rPr>
                <w:t>.</w:t>
                <w:tab/>
                <w:t xml:space="preserve"> </w:t>
              </w:r>
              <w:r>
                <w:rPr>
                  <w:szCs w:val="24"/>
                  <w:bdr w:val="none" w:sz="0" w:space="0" w:color="auto" w:frame="1"/>
                  <w:lang w:eastAsia="lt-LT"/>
                </w:rPr>
                <w:t>Zarasų „Ąžuolo“ gimnazijos 2024 m. gruodžio 3 d. rašto Nr. 2-104-(1.10 Mr) „Dėl turto perdavimo valdyti, naudoti ir disponuoti juo patikėjimo teise“</w:t>
              </w:r>
              <w:r>
                <w:rPr>
                  <w:szCs w:val="24"/>
                </w:rPr>
                <w:t xml:space="preserve"> nuorašas, 2 lapai.</w:t>
              </w:r>
            </w:p>
          </w:sdtContent>
        </w:sdt>
        <w:sdt>
          <w:sdtPr>
            <w:alias w:val="3 p."/>
            <w:tag w:val="part_4839bd5e07b240089cf745d755e0aa70"/>
            <w:lock w:val="sdtLocked"/>
            <w:richText/>
          </w:sdtPr>
          <w:sdtContent>
            <w:p>
              <w:pPr>
                <w:widowControl w:val="0"/>
                <w:tabs>
                  <w:tab w:val="left" w:pos="1440"/>
                  <w:tab w:val="left" w:pos="1985"/>
                </w:tabs>
                <w:ind w:firstLine="1259"/>
                <w:jc w:val="both"/>
                <w:rPr>
                  <w:szCs w:val="24"/>
                </w:rPr>
              </w:pPr>
              <w:sdt>
                <w:sdtPr>
                  <w:alias w:val="Numeris"/>
                  <w:tag w:val="nr_4839bd5e07b240089cf745d755e0aa70"/>
                  <w:lock w:val="sdtLocked"/>
                  <w:richText/>
                </w:sdtPr>
                <w:sdtContent>
                  <w:r>
                    <w:rPr>
                      <w:szCs w:val="24"/>
                    </w:rPr>
                    <w:t>3</w:t>
                  </w:r>
                </w:sdtContent>
              </w:sdt>
              <w:r>
                <w:rPr>
                  <w:szCs w:val="24"/>
                </w:rPr>
                <w:t>.</w:t>
                <w:tab/>
                <w:t xml:space="preserve"> Zarasų rajono savivaldybės administracijos 2024 m. gruodžio 6 d. rašto Nr. 3</w:t>
                <w:noBreakHyphen/>
                <w:t>2103 „Dėl sutikimo perduoti autobusą valdyti, naudoti ir disponuoti juo patikėjimo teise“ nuorašas, 2 lapai.</w:t>
              </w:r>
            </w:p>
          </w:sdtContent>
        </w:sdt>
        <w:sdt>
          <w:sdtPr>
            <w:alias w:val="4 p."/>
            <w:tag w:val="part_70dde328163c410abe8aba131d4d9644"/>
            <w:lock w:val="sdtLocked"/>
            <w:richText/>
          </w:sdtPr>
          <w:sdtContent>
            <w:p>
              <w:pPr>
                <w:widowControl w:val="0"/>
                <w:tabs>
                  <w:tab w:val="left" w:pos="1440"/>
                  <w:tab w:val="left" w:pos="1985"/>
                </w:tabs>
                <w:ind w:firstLine="1259"/>
                <w:jc w:val="both"/>
                <w:rPr>
                  <w:szCs w:val="24"/>
                </w:rPr>
              </w:pPr>
              <w:sdt>
                <w:sdtPr>
                  <w:alias w:val="Numeris"/>
                  <w:tag w:val="nr_70dde328163c410abe8aba131d4d9644"/>
                  <w:lock w:val="sdtLocked"/>
                  <w:richText/>
                </w:sdtPr>
                <w:sdtContent>
                  <w:r>
                    <w:rPr>
                      <w:szCs w:val="24"/>
                    </w:rPr>
                    <w:t>4</w:t>
                  </w:r>
                </w:sdtContent>
              </w:sdt>
              <w:r>
                <w:rPr>
                  <w:szCs w:val="24"/>
                </w:rPr>
                <w:t>.</w:t>
                <w:tab/>
                <w:t xml:space="preserve"> Zarasų rajono savivaldybės administracijos direktoriaus 2024 m. gruodžio 6 d. įsakymo Nr. I-545 „Dėl Zarasų rajono savivaldybei nuosavybės teise priklausančio, Zarasų rajono savivaldybės administracijos patikėjimo teise valdomo autobuso, pripažinimo nereikalingu Zarasų rajono savivaldybės administracijos funkcijoms įgyvendinti“ nuorašas, 3 lapai.</w:t>
              </w:r>
            </w:p>
            <w:p>
              <w:pPr>
                <w:tabs>
                  <w:tab w:val="left" w:pos="1440"/>
                  <w:tab w:val="left" w:pos="1620"/>
                </w:tabs>
                <w:ind w:firstLine="1276"/>
                <w:jc w:val="both"/>
                <w:rPr>
                  <w:szCs w:val="24"/>
                </w:rPr>
              </w:pPr>
            </w:p>
            <w:p>
              <w:pPr>
                <w:tabs>
                  <w:tab w:val="left" w:pos="1440"/>
                  <w:tab w:val="left" w:pos="1620"/>
                </w:tabs>
                <w:ind w:firstLine="1276"/>
                <w:jc w:val="both"/>
                <w:rPr>
                  <w:szCs w:val="24"/>
                </w:rPr>
              </w:pPr>
            </w:p>
            <w:tbl>
              <w:tblPr>
                <w:tblW w:w="9747" w:type="dxa"/>
                <w:tblLayout w:type="fixed"/>
                <w:tblLook w:val="0000" w:firstRow="0" w:lastRow="0" w:firstColumn="0" w:lastColumn="0" w:noHBand="0" w:noVBand="0"/>
              </w:tblPr>
              <w:tblGrid>
                <w:gridCol w:w="4820"/>
                <w:gridCol w:w="2092"/>
                <w:gridCol w:w="2835"/>
              </w:tblGrid>
              <w:tr>
                <w:trPr>
                  <w:trHeight w:val="174"/>
                </w:trPr>
                <w:tc>
                  <w:tcPr>
                    <w:tcW w:w="4820" w:type="dxa"/>
                  </w:tcPr>
                  <w:p>
                    <w:pPr>
                      <w:tabs>
                        <w:tab w:val="left" w:pos="1440"/>
                        <w:tab w:val="left" w:pos="1620"/>
                      </w:tabs>
                      <w:jc w:val="both"/>
                      <w:rPr>
                        <w:szCs w:val="24"/>
                      </w:rPr>
                    </w:pPr>
                    <w:r>
                      <w:rPr>
                        <w:szCs w:val="24"/>
                      </w:rPr>
                      <w:t>Skyriaus vedėja</w:t>
                    </w:r>
                  </w:p>
                </w:tc>
                <w:tc>
                  <w:tcPr>
                    <w:tcW w:w="2092" w:type="dxa"/>
                  </w:tcPr>
                  <w:p>
                    <w:pPr>
                      <w:rPr>
                        <w:szCs w:val="24"/>
                      </w:rPr>
                    </w:pPr>
                  </w:p>
                </w:tc>
                <w:tc>
                  <w:tcPr>
                    <w:tcW w:w="2835" w:type="dxa"/>
                  </w:tcPr>
                  <w:p>
                    <w:pPr>
                      <w:jc w:val="right"/>
                      <w:rPr>
                        <w:szCs w:val="24"/>
                      </w:rPr>
                    </w:pPr>
                    <w:r>
                      <w:rPr>
                        <w:szCs w:val="24"/>
                      </w:rPr>
                      <w:t>Ramutė Gaidamavičienė</w:t>
                    </w:r>
                  </w:p>
                </w:tc>
              </w:tr>
            </w:tbl>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tabs>
                  <w:tab w:val="left" w:pos="1560"/>
                  <w:tab w:val="center" w:pos="4320"/>
                  <w:tab w:val="right" w:pos="8640"/>
                </w:tabs>
                <w:jc w:val="both"/>
                <w:rPr>
                  <w:szCs w:val="24"/>
                </w:rPr>
              </w:pPr>
            </w:p>
            <w:p>
              <w:pPr>
                <w:rPr>
                  <w:szCs w:val="24"/>
                </w:rPr>
              </w:pPr>
              <w:r>
                <w:rPr>
                  <w:szCs w:val="24"/>
                </w:rPr>
                <w:t xml:space="preserve">Marina Gražina Beinarienė, tel. +370 385 37187, el. p. </w:t>
              </w:r>
              <w:r>
                <w:rPr>
                  <w:rFonts w:eastAsia="Calibri"/>
                  <w:szCs w:val="24"/>
                </w:rPr>
                <w:t>marina.beinariene</w:t>
              </w:r>
              <w:r>
                <w:rPr>
                  <w:rFonts w:eastAsia="Calibri"/>
                  <w:szCs w:val="24"/>
                  <w:lang w:val="en-US"/>
                </w:rPr>
                <w:t>@</w:t>
              </w:r>
              <w:r>
                <w:rPr>
                  <w:rFonts w:eastAsia="Calibri"/>
                  <w:szCs w:val="24"/>
                </w:rPr>
                <w:t>zarasai.lt</w:t>
              </w:r>
            </w:p>
          </w:sdtContent>
        </w:sdt>
      </w:sdtContent>
    </w:sdt>
    <w:sectPr>
      <w:headerReference w:type="default" r:id="rId15"/>
      <w:headerReference w:type="first" r:id="rId16"/>
      <w:pgSz w:w="11907" w:h="16840" w:code="9"/>
      <w:pgMar w:top="1134" w:right="567" w:bottom="1134" w:left="1701" w:header="284" w:footer="675"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p>
    <w:pPr>
      <w:tabs>
        <w:tab w:val="center" w:pos="4320"/>
        <w:tab w:val="right" w:pos="8640"/>
      </w:tabs>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p>
    <w:pPr>
      <w:tabs>
        <w:tab w:val="center" w:pos="4320"/>
        <w:tab w:val="right" w:pos="8640"/>
      </w:tabs>
      <w:rPr>
        <w:sz w:val="20"/>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E5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ED29CD81-C13B-405D-AE7D-787397B36D7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5114664">
      <w:bodyDiv w:val="1"/>
      <w:marLeft w:val="0"/>
      <w:marRight w:val="0"/>
      <w:marTop w:val="0"/>
      <w:marBottom w:val="0"/>
      <w:divBdr>
        <w:top w:val="none" w:sz="0" w:space="0" w:color="auto"/>
        <w:left w:val="none" w:sz="0" w:space="0" w:color="auto"/>
        <w:bottom w:val="none" w:sz="0" w:space="0" w:color="auto"/>
        <w:right w:val="none" w:sz="0" w:space="0" w:color="auto"/>
      </w:divBdr>
      <w:divsChild>
        <w:div w:id="282540427">
          <w:marLeft w:val="0"/>
          <w:marRight w:val="0"/>
          <w:marTop w:val="0"/>
          <w:marBottom w:val="0"/>
          <w:divBdr>
            <w:top w:val="none" w:sz="0" w:space="0" w:color="auto"/>
            <w:left w:val="none" w:sz="0" w:space="0" w:color="auto"/>
            <w:bottom w:val="none" w:sz="0" w:space="0" w:color="auto"/>
            <w:right w:val="none" w:sz="0" w:space="0" w:color="auto"/>
          </w:divBdr>
        </w:div>
        <w:div w:id="440029743">
          <w:marLeft w:val="0"/>
          <w:marRight w:val="0"/>
          <w:marTop w:val="0"/>
          <w:marBottom w:val="0"/>
          <w:divBdr>
            <w:top w:val="none" w:sz="0" w:space="0" w:color="auto"/>
            <w:left w:val="none" w:sz="0" w:space="0" w:color="auto"/>
            <w:bottom w:val="none" w:sz="0" w:space="0" w:color="auto"/>
            <w:right w:val="none" w:sz="0" w:space="0" w:color="auto"/>
          </w:divBdr>
        </w:div>
        <w:div w:id="1906723288">
          <w:marLeft w:val="0"/>
          <w:marRight w:val="0"/>
          <w:marTop w:val="0"/>
          <w:marBottom w:val="0"/>
          <w:divBdr>
            <w:top w:val="none" w:sz="0" w:space="0" w:color="auto"/>
            <w:left w:val="none" w:sz="0" w:space="0" w:color="auto"/>
            <w:bottom w:val="none" w:sz="0" w:space="0" w:color="auto"/>
            <w:right w:val="none" w:sz="0" w:space="0" w:color="auto"/>
          </w:divBdr>
        </w:div>
      </w:divsChild>
    </w:div>
    <w:div w:id="480659121">
      <w:bodyDiv w:val="1"/>
      <w:marLeft w:val="0"/>
      <w:marRight w:val="0"/>
      <w:marTop w:val="0"/>
      <w:marBottom w:val="0"/>
      <w:divBdr>
        <w:top w:val="none" w:sz="0" w:space="0" w:color="auto"/>
        <w:left w:val="none" w:sz="0" w:space="0" w:color="auto"/>
        <w:bottom w:val="none" w:sz="0" w:space="0" w:color="auto"/>
        <w:right w:val="none" w:sz="0" w:space="0" w:color="auto"/>
      </w:divBdr>
      <w:divsChild>
        <w:div w:id="534316576">
          <w:marLeft w:val="0"/>
          <w:marRight w:val="0"/>
          <w:marTop w:val="0"/>
          <w:marBottom w:val="0"/>
          <w:divBdr>
            <w:top w:val="none" w:sz="0" w:space="0" w:color="auto"/>
            <w:left w:val="none" w:sz="0" w:space="0" w:color="auto"/>
            <w:bottom w:val="none" w:sz="0" w:space="0" w:color="auto"/>
            <w:right w:val="none" w:sz="0" w:space="0" w:color="auto"/>
          </w:divBdr>
        </w:div>
        <w:div w:id="1968005937">
          <w:marLeft w:val="0"/>
          <w:marRight w:val="0"/>
          <w:marTop w:val="0"/>
          <w:marBottom w:val="0"/>
          <w:divBdr>
            <w:top w:val="none" w:sz="0" w:space="0" w:color="auto"/>
            <w:left w:val="none" w:sz="0" w:space="0" w:color="auto"/>
            <w:bottom w:val="none" w:sz="0" w:space="0" w:color="auto"/>
            <w:right w:val="none" w:sz="0" w:space="0" w:color="auto"/>
          </w:divBdr>
        </w:div>
        <w:div w:id="1891840409">
          <w:marLeft w:val="0"/>
          <w:marRight w:val="0"/>
          <w:marTop w:val="0"/>
          <w:marBottom w:val="0"/>
          <w:divBdr>
            <w:top w:val="none" w:sz="0" w:space="0" w:color="auto"/>
            <w:left w:val="none" w:sz="0" w:space="0" w:color="auto"/>
            <w:bottom w:val="none" w:sz="0" w:space="0" w:color="auto"/>
            <w:right w:val="none" w:sz="0" w:space="0" w:color="auto"/>
          </w:divBdr>
        </w:div>
        <w:div w:id="1450006557">
          <w:marLeft w:val="0"/>
          <w:marRight w:val="0"/>
          <w:marTop w:val="0"/>
          <w:marBottom w:val="0"/>
          <w:divBdr>
            <w:top w:val="none" w:sz="0" w:space="0" w:color="auto"/>
            <w:left w:val="none" w:sz="0" w:space="0" w:color="auto"/>
            <w:bottom w:val="none" w:sz="0" w:space="0" w:color="auto"/>
            <w:right w:val="none" w:sz="0" w:space="0" w:color="auto"/>
          </w:divBdr>
        </w:div>
        <w:div w:id="1721441722">
          <w:marLeft w:val="0"/>
          <w:marRight w:val="0"/>
          <w:marTop w:val="0"/>
          <w:marBottom w:val="0"/>
          <w:divBdr>
            <w:top w:val="none" w:sz="0" w:space="0" w:color="auto"/>
            <w:left w:val="none" w:sz="0" w:space="0" w:color="auto"/>
            <w:bottom w:val="none" w:sz="0" w:space="0" w:color="auto"/>
            <w:right w:val="none" w:sz="0" w:space="0" w:color="auto"/>
          </w:divBdr>
        </w:div>
        <w:div w:id="2131513907">
          <w:marLeft w:val="0"/>
          <w:marRight w:val="0"/>
          <w:marTop w:val="0"/>
          <w:marBottom w:val="0"/>
          <w:divBdr>
            <w:top w:val="none" w:sz="0" w:space="0" w:color="auto"/>
            <w:left w:val="none" w:sz="0" w:space="0" w:color="auto"/>
            <w:bottom w:val="none" w:sz="0" w:space="0" w:color="auto"/>
            <w:right w:val="none" w:sz="0" w:space="0" w:color="auto"/>
          </w:divBdr>
        </w:div>
        <w:div w:id="497579821">
          <w:marLeft w:val="0"/>
          <w:marRight w:val="0"/>
          <w:marTop w:val="0"/>
          <w:marBottom w:val="0"/>
          <w:divBdr>
            <w:top w:val="none" w:sz="0" w:space="0" w:color="auto"/>
            <w:left w:val="none" w:sz="0" w:space="0" w:color="auto"/>
            <w:bottom w:val="none" w:sz="0" w:space="0" w:color="auto"/>
            <w:right w:val="none" w:sz="0" w:space="0" w:color="auto"/>
          </w:divBdr>
        </w:div>
        <w:div w:id="846166475">
          <w:marLeft w:val="0"/>
          <w:marRight w:val="0"/>
          <w:marTop w:val="0"/>
          <w:marBottom w:val="0"/>
          <w:divBdr>
            <w:top w:val="none" w:sz="0" w:space="0" w:color="auto"/>
            <w:left w:val="none" w:sz="0" w:space="0" w:color="auto"/>
            <w:bottom w:val="none" w:sz="0" w:space="0" w:color="auto"/>
            <w:right w:val="none" w:sz="0" w:space="0" w:color="auto"/>
          </w:divBdr>
        </w:div>
      </w:divsChild>
    </w:div>
    <w:div w:id="754282988">
      <w:bodyDiv w:val="1"/>
      <w:marLeft w:val="0"/>
      <w:marRight w:val="0"/>
      <w:marTop w:val="0"/>
      <w:marBottom w:val="0"/>
      <w:divBdr>
        <w:top w:val="none" w:sz="0" w:space="0" w:color="auto"/>
        <w:left w:val="none" w:sz="0" w:space="0" w:color="auto"/>
        <w:bottom w:val="none" w:sz="0" w:space="0" w:color="auto"/>
        <w:right w:val="none" w:sz="0" w:space="0" w:color="auto"/>
      </w:divBdr>
      <w:divsChild>
        <w:div w:id="926885348">
          <w:marLeft w:val="0"/>
          <w:marRight w:val="0"/>
          <w:marTop w:val="0"/>
          <w:marBottom w:val="0"/>
          <w:divBdr>
            <w:top w:val="none" w:sz="0" w:space="0" w:color="auto"/>
            <w:left w:val="none" w:sz="0" w:space="0" w:color="auto"/>
            <w:bottom w:val="none" w:sz="0" w:space="0" w:color="auto"/>
            <w:right w:val="none" w:sz="0" w:space="0" w:color="auto"/>
          </w:divBdr>
        </w:div>
        <w:div w:id="647054027">
          <w:marLeft w:val="0"/>
          <w:marRight w:val="0"/>
          <w:marTop w:val="0"/>
          <w:marBottom w:val="0"/>
          <w:divBdr>
            <w:top w:val="none" w:sz="0" w:space="0" w:color="auto"/>
            <w:left w:val="none" w:sz="0" w:space="0" w:color="auto"/>
            <w:bottom w:val="none" w:sz="0" w:space="0" w:color="auto"/>
            <w:right w:val="none" w:sz="0" w:space="0" w:color="auto"/>
          </w:divBdr>
        </w:div>
        <w:div w:id="2062122872">
          <w:marLeft w:val="0"/>
          <w:marRight w:val="0"/>
          <w:marTop w:val="0"/>
          <w:marBottom w:val="0"/>
          <w:divBdr>
            <w:top w:val="none" w:sz="0" w:space="0" w:color="auto"/>
            <w:left w:val="none" w:sz="0" w:space="0" w:color="auto"/>
            <w:bottom w:val="none" w:sz="0" w:space="0" w:color="auto"/>
            <w:right w:val="none" w:sz="0" w:space="0" w:color="auto"/>
          </w:divBdr>
        </w:div>
        <w:div w:id="1303852366">
          <w:marLeft w:val="0"/>
          <w:marRight w:val="0"/>
          <w:marTop w:val="0"/>
          <w:marBottom w:val="0"/>
          <w:divBdr>
            <w:top w:val="none" w:sz="0" w:space="0" w:color="auto"/>
            <w:left w:val="none" w:sz="0" w:space="0" w:color="auto"/>
            <w:bottom w:val="none" w:sz="0" w:space="0" w:color="auto"/>
            <w:right w:val="none" w:sz="0" w:space="0" w:color="auto"/>
          </w:divBdr>
        </w:div>
        <w:div w:id="416902940">
          <w:marLeft w:val="0"/>
          <w:marRight w:val="0"/>
          <w:marTop w:val="0"/>
          <w:marBottom w:val="0"/>
          <w:divBdr>
            <w:top w:val="none" w:sz="0" w:space="0" w:color="auto"/>
            <w:left w:val="none" w:sz="0" w:space="0" w:color="auto"/>
            <w:bottom w:val="none" w:sz="0" w:space="0" w:color="auto"/>
            <w:right w:val="none" w:sz="0" w:space="0" w:color="auto"/>
          </w:divBdr>
        </w:div>
        <w:div w:id="552078177">
          <w:marLeft w:val="0"/>
          <w:marRight w:val="0"/>
          <w:marTop w:val="0"/>
          <w:marBottom w:val="0"/>
          <w:divBdr>
            <w:top w:val="none" w:sz="0" w:space="0" w:color="auto"/>
            <w:left w:val="none" w:sz="0" w:space="0" w:color="auto"/>
            <w:bottom w:val="none" w:sz="0" w:space="0" w:color="auto"/>
            <w:right w:val="none" w:sz="0" w:space="0" w:color="auto"/>
          </w:divBdr>
        </w:div>
        <w:div w:id="43330966">
          <w:marLeft w:val="0"/>
          <w:marRight w:val="0"/>
          <w:marTop w:val="0"/>
          <w:marBottom w:val="0"/>
          <w:divBdr>
            <w:top w:val="none" w:sz="0" w:space="0" w:color="auto"/>
            <w:left w:val="none" w:sz="0" w:space="0" w:color="auto"/>
            <w:bottom w:val="none" w:sz="0" w:space="0" w:color="auto"/>
            <w:right w:val="none" w:sz="0" w:space="0" w:color="auto"/>
          </w:divBdr>
        </w:div>
        <w:div w:id="1724796027">
          <w:marLeft w:val="0"/>
          <w:marRight w:val="0"/>
          <w:marTop w:val="0"/>
          <w:marBottom w:val="0"/>
          <w:divBdr>
            <w:top w:val="none" w:sz="0" w:space="0" w:color="auto"/>
            <w:left w:val="none" w:sz="0" w:space="0" w:color="auto"/>
            <w:bottom w:val="none" w:sz="0" w:space="0" w:color="auto"/>
            <w:right w:val="none" w:sz="0" w:space="0" w:color="auto"/>
          </w:divBdr>
        </w:div>
      </w:divsChild>
    </w:div>
    <w:div w:id="786239285">
      <w:bodyDiv w:val="1"/>
      <w:marLeft w:val="0"/>
      <w:marRight w:val="0"/>
      <w:marTop w:val="0"/>
      <w:marBottom w:val="0"/>
      <w:divBdr>
        <w:top w:val="none" w:sz="0" w:space="0" w:color="auto"/>
        <w:left w:val="none" w:sz="0" w:space="0" w:color="auto"/>
        <w:bottom w:val="none" w:sz="0" w:space="0" w:color="auto"/>
        <w:right w:val="none" w:sz="0" w:space="0" w:color="auto"/>
      </w:divBdr>
    </w:div>
    <w:div w:id="1185366952">
      <w:bodyDiv w:val="1"/>
      <w:marLeft w:val="0"/>
      <w:marRight w:val="0"/>
      <w:marTop w:val="0"/>
      <w:marBottom w:val="0"/>
      <w:divBdr>
        <w:top w:val="none" w:sz="0" w:space="0" w:color="auto"/>
        <w:left w:val="none" w:sz="0" w:space="0" w:color="auto"/>
        <w:bottom w:val="none" w:sz="0" w:space="0" w:color="auto"/>
        <w:right w:val="none" w:sz="0" w:space="0" w:color="auto"/>
      </w:divBdr>
    </w:div>
    <w:div w:id="1230117956">
      <w:bodyDiv w:val="1"/>
      <w:marLeft w:val="0"/>
      <w:marRight w:val="0"/>
      <w:marTop w:val="0"/>
      <w:marBottom w:val="0"/>
      <w:divBdr>
        <w:top w:val="none" w:sz="0" w:space="0" w:color="auto"/>
        <w:left w:val="none" w:sz="0" w:space="0" w:color="auto"/>
        <w:bottom w:val="none" w:sz="0" w:space="0" w:color="auto"/>
        <w:right w:val="none" w:sz="0" w:space="0" w:color="auto"/>
      </w:divBdr>
    </w:div>
    <w:div w:id="1690062301">
      <w:bodyDiv w:val="1"/>
      <w:marLeft w:val="0"/>
      <w:marRight w:val="0"/>
      <w:marTop w:val="0"/>
      <w:marBottom w:val="0"/>
      <w:divBdr>
        <w:top w:val="none" w:sz="0" w:space="0" w:color="auto"/>
        <w:left w:val="none" w:sz="0" w:space="0" w:color="auto"/>
        <w:bottom w:val="none" w:sz="0" w:space="0" w:color="auto"/>
        <w:right w:val="none" w:sz="0" w:space="0" w:color="auto"/>
      </w:divBdr>
    </w:div>
    <w:div w:id="2017491089">
      <w:bodyDiv w:val="1"/>
      <w:marLeft w:val="0"/>
      <w:marRight w:val="0"/>
      <w:marTop w:val="0"/>
      <w:marBottom w:val="0"/>
      <w:divBdr>
        <w:top w:val="none" w:sz="0" w:space="0" w:color="auto"/>
        <w:left w:val="none" w:sz="0" w:space="0" w:color="auto"/>
        <w:bottom w:val="none" w:sz="0" w:space="0" w:color="auto"/>
        <w:right w:val="none" w:sz="0" w:space="0" w:color="auto"/>
      </w:divBdr>
      <w:divsChild>
        <w:div w:id="1514566368">
          <w:marLeft w:val="0"/>
          <w:marRight w:val="0"/>
          <w:marTop w:val="0"/>
          <w:marBottom w:val="0"/>
          <w:divBdr>
            <w:top w:val="none" w:sz="0" w:space="0" w:color="auto"/>
            <w:left w:val="none" w:sz="0" w:space="0" w:color="auto"/>
            <w:bottom w:val="none" w:sz="0" w:space="0" w:color="auto"/>
            <w:right w:val="none" w:sz="0" w:space="0" w:color="auto"/>
          </w:divBdr>
        </w:div>
        <w:div w:id="920333467">
          <w:marLeft w:val="0"/>
          <w:marRight w:val="0"/>
          <w:marTop w:val="0"/>
          <w:marBottom w:val="0"/>
          <w:divBdr>
            <w:top w:val="none" w:sz="0" w:space="0" w:color="auto"/>
            <w:left w:val="none" w:sz="0" w:space="0" w:color="auto"/>
            <w:bottom w:val="none" w:sz="0" w:space="0" w:color="auto"/>
            <w:right w:val="none" w:sz="0" w:space="0" w:color="auto"/>
          </w:divBdr>
        </w:div>
        <w:div w:id="12010444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3114cde4ecae472492e1094c535198db" PartId="1b4b34dea5c44bf5a5c5dcc68a78bee0"/>
  <Part Type="pastraipa" DocPartId="bd7f1597e1cf474bb5a2fb163f8fa92b" PartId="2c811d5f0d05423eba5fb6de67c6a68d">
    <Part Type="punktas" Nr="1" Abbr="1 p." DocPartId="842d67266c824cb7bc7c99766c2095d0" PartId="239024fb4d6643ad85c51d2d9f922c0f"/>
    <Part Type="punktas" Nr="2" Abbr="2 p." DocPartId="ee0f558133a94d169fcf26a267f051fb" PartId="e66d005b10a64d43be4aa9d611f56e30"/>
    <Part Type="punktas" Nr="3" Abbr="3 p." DocPartId="08debb3b96a54203b769a3ad73bc6c10" PartId="b200e03f6d474096a3dac45b25051a57"/>
    <Part Type="punktas" Nr="1" Abbr="1 p." Notes="Numeris ne iš eilės. Trūksta dalių? [DocDalys]" DocPartId="9e7c17addc074446bc23c7bc0ad7b704" PartId="21662916e67049169b6c4f72b5a68207"/>
    <Part Type="punktas" Nr="2" Abbr="2 p." DocPartId="f0c06fd3a3e64b549f272e575756b2e7" PartId="f0221ae303fc4ad7901d0c877e5d5f37"/>
    <Part Type="punktas" Nr="3" Abbr="3 p." DocPartId="e7ccb77f41664cd99643cfeacbd72185" PartId="4839bd5e07b240089cf745d755e0aa70"/>
    <Part Type="punktas" Nr="4" Abbr="4 p." DocPartId="815a05f5d2534e21b0a172ac60a574e2" PartId="70dde328163c410abe8aba131d4d9644"/>
  </Part>
</Parts>
</file>

<file path=customXml/itemProps1.xml><?xml version="1.0" encoding="utf-8"?>
<ds:datastoreItem xmlns:ds="http://schemas.openxmlformats.org/officeDocument/2006/customXml" ds:itemID="{DF88FC27-C318-461C-8632-346A96670980}">
  <ds:schemaRefs>
    <ds:schemaRef ds:uri="http://schemas.openxmlformats.org/officeDocument/2006/bibliography"/>
  </ds:schemaRefs>
</ds:datastoreItem>
</file>

<file path=customXml/itemProps2.xml><?xml version="1.0" encoding="utf-8"?>
<ds:datastoreItem xmlns:ds="http://schemas.openxmlformats.org/officeDocument/2006/customXml" ds:itemID="{615AC809-D301-47C2-85C9-2EDCB57145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926</Words>
  <Characters>6606</Characters>
  <Application>Microsoft Office Word</Application>
  <DocSecurity>4</DocSecurity>
  <Lines>161</Lines>
  <Paragraphs>43</Paragraphs>
  <ScaleCrop>false</ScaleCrop>
  <HeadingPairs>
    <vt:vector size="2" baseType="variant">
      <vt:variant>
        <vt:lpstr>Pavadinimas</vt:lpstr>
      </vt:variant>
      <vt:variant>
        <vt:i4>1</vt:i4>
      </vt:variant>
    </vt:vector>
  </HeadingPairs>
  <TitlesOfParts>
    <vt:vector size="1" baseType="lpstr">
      <vt:lpstr> </vt:lpstr>
    </vt:vector>
  </TitlesOfParts>
  <Company>&lt;arabianhorse&gt;</Company>
  <LinksUpToDate>false</LinksUpToDate>
  <CharactersWithSpaces>7489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2024-12-12T06:54:00Z</dcterms:created>
  <dc:creator>VBIV82</dc:creator>
  <lastModifiedBy>adlibuser</lastModifiedBy>
  <lastPrinted>2024-10-21T09:50:00Z</lastPrinted>
  <dcterms:modified xsi:type="dcterms:W3CDTF">2024-12-12T06:54:00Z</dcterms:modified>
  <revision>2</revision>
  <dc:title/>
</coreProperties>
</file>