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6bb504791814624922c59b5b33a31fb"/>
        <w:lock w:val="sdtLocked"/>
        <w:richText/>
      </w:sdtPr>
      <w:sdtContent>
        <w:p>
          <w:pPr>
            <w:ind w:left="6480" w:firstLine="1296"/>
            <w:rPr>
              <w:rFonts w:eastAsia="Calibri"/>
              <w:b/>
              <w:szCs w:val="24"/>
            </w:rPr>
          </w:pPr>
          <w:r>
            <w:rPr>
              <w:rFonts w:eastAsia="Calibri"/>
              <w:b/>
              <w:szCs w:val="24"/>
            </w:rPr>
            <w:t>Projektas</w:t>
          </w:r>
        </w:p>
        <w:p>
          <w:pPr>
            <w:ind w:left="6480" w:firstLine="1296"/>
            <w:rPr>
              <w:szCs w:val="24"/>
              <w:lang w:val="en-US" w:eastAsia="lt-LT"/>
            </w:rPr>
          </w:pPr>
          <w:r>
            <w:rPr>
              <w:szCs w:val="24"/>
              <w:lang w:eastAsia="lt-LT"/>
            </w:rPr>
            <w:t>Nr. TSP-</w:t>
          </w:r>
        </w:p>
        <w:p>
          <w:pPr>
            <w:rPr>
              <w:sz w:val="22"/>
              <w:szCs w:val="22"/>
            </w:rPr>
          </w:pPr>
        </w:p>
        <w:p>
          <w:pPr>
            <w:keepNext/>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RADVILIŠKIO RAJONO KULTŪROS PLĖTROS 2022–2030 M. STRATEGIJOS PRIEMONIŲ ĮGYVENDINIMO IR RODIKLIŲ PASIEKIMO 2023–2024 M. TARPINĖS ATASKAITOS PATVIRTINIMO</w:t>
          </w:r>
        </w:p>
        <w:p>
          <w:pPr>
            <w:jc w:val="center"/>
            <w:rPr>
              <w:b/>
              <w:bCs/>
              <w:szCs w:val="24"/>
            </w:rPr>
          </w:pPr>
        </w:p>
        <w:p>
          <w:pPr>
            <w:jc w:val="center"/>
            <w:rPr>
              <w:szCs w:val="24"/>
            </w:rPr>
          </w:pPr>
          <w:r>
            <w:rPr>
              <w:szCs w:val="24"/>
            </w:rPr>
            <w:t xml:space="preserve">2024 m.                          Nr. T-</w:t>
          </w:r>
        </w:p>
        <w:p>
          <w:pPr>
            <w:jc w:val="center"/>
            <w:rPr>
              <w:szCs w:val="24"/>
            </w:rPr>
          </w:pPr>
          <w:r>
            <w:rPr>
              <w:szCs w:val="24"/>
            </w:rPr>
            <w:t>Radviliškis</w:t>
          </w:r>
        </w:p>
        <w:p>
          <w:pPr>
            <w:rPr>
              <w:sz w:val="22"/>
              <w:szCs w:val="22"/>
            </w:rPr>
          </w:pPr>
        </w:p>
        <w:sdt>
          <w:sdtPr>
            <w:alias w:val="preambule"/>
            <w:tag w:val="part_47b143fe23f24086ac4379dd8faaabd3"/>
            <w:lock w:val="sdtLocked"/>
            <w:richText/>
          </w:sdtPr>
          <w:sdtContent>
            <w:p>
              <w:pPr>
                <w:ind w:firstLine="720"/>
                <w:jc w:val="both"/>
                <w:rPr>
                  <w:szCs w:val="24"/>
                </w:rPr>
              </w:pPr>
              <w:r>
                <w:rPr>
                  <w:szCs w:val="24"/>
                </w:rPr>
                <w:t xml:space="preserve">Vadovaudamasi Lietuvos Respublikos vietos savivaldos įstatymo 15 straipsnio 2 dalies 32 punktu, įgyvendinant Radviliškio rajono kultūros plėtros 2022–2030 metų strategijos, patvirtintos Radviliškio rajono savivaldybės tarybos 2022 m. gegužės 26 d. sprendimu Nr. T-751 „Dėl Radviliškio rajono kultūros plėtros 2022–2030 metų strategijos patvirtinimo“ 8.2 papunktį, Radviliškio rajono savivaldybės taryba </w:t>
              </w:r>
              <w:r>
                <w:rPr>
                  <w:spacing w:val="50"/>
                  <w:szCs w:val="24"/>
                </w:rPr>
                <w:t>nusprendži</w:t>
              </w:r>
              <w:r>
                <w:rPr>
                  <w:szCs w:val="24"/>
                </w:rPr>
                <w:t>a:</w:t>
              </w:r>
            </w:p>
          </w:sdtContent>
        </w:sdt>
        <w:sdt>
          <w:sdtPr>
            <w:alias w:val="1 p."/>
            <w:tag w:val="part_99855570556e4b61931e2ca9e3d51a2d"/>
            <w:lock w:val="sdtLocked"/>
            <w:richText/>
          </w:sdtPr>
          <w:sdtContent>
            <w:p>
              <w:pPr>
                <w:ind w:firstLine="720"/>
                <w:jc w:val="both"/>
                <w:rPr>
                  <w:szCs w:val="24"/>
                </w:rPr>
              </w:pPr>
              <w:sdt>
                <w:sdtPr>
                  <w:alias w:val="Numeris"/>
                  <w:tag w:val="nr_99855570556e4b61931e2ca9e3d51a2d"/>
                  <w:lock w:val="sdtLocked"/>
                  <w:richText/>
                </w:sdtPr>
                <w:sdtContent>
                  <w:r>
                    <w:rPr>
                      <w:szCs w:val="24"/>
                    </w:rPr>
                    <w:t>1</w:t>
                  </w:r>
                </w:sdtContent>
              </w:sdt>
              <w:r>
                <w:rPr>
                  <w:szCs w:val="24"/>
                </w:rPr>
                <w:t xml:space="preserve">. </w:t>
              </w:r>
              <w:r>
                <w:t>Patvirtinti</w:t>
              </w:r>
              <w:r>
                <w:rPr>
                  <w:color w:val="FF0000"/>
                  <w:szCs w:val="24"/>
                </w:rPr>
                <w:t xml:space="preserve"> </w:t>
              </w:r>
              <w:r>
                <w:rPr>
                  <w:szCs w:val="24"/>
                </w:rPr>
                <w:t xml:space="preserve">Radviliškio rajono kultūros plėtros 2022–2030 m. strategijos priemonių įgyvendinimo ir rodiklių pasiekimo 2023–2024 m. tarpinę ataskaitą </w:t>
              </w:r>
              <w:r>
                <w:t>(pridedama).</w:t>
              </w:r>
            </w:p>
          </w:sdtContent>
        </w:sdt>
        <w:sdt>
          <w:sdtPr>
            <w:alias w:val="2 p."/>
            <w:tag w:val="part_b8aa21914b27402395613f2988a3a7d1"/>
            <w:lock w:val="sdtLocked"/>
            <w:richText/>
          </w:sdtPr>
          <w:sdtContent>
            <w:p>
              <w:pPr>
                <w:ind w:firstLine="720"/>
                <w:jc w:val="both"/>
                <w:rPr>
                  <w:szCs w:val="24"/>
                </w:rPr>
              </w:pPr>
              <w:sdt>
                <w:sdtPr>
                  <w:alias w:val="Numeris"/>
                  <w:tag w:val="nr_b8aa21914b27402395613f2988a3a7d1"/>
                  <w:lock w:val="sdtLocked"/>
                  <w:richText/>
                </w:sdtPr>
                <w:sdtContent>
                  <w:r>
                    <w:rPr>
                      <w:szCs w:val="24"/>
                    </w:rPr>
                    <w:t>2</w:t>
                  </w:r>
                </w:sdtContent>
              </w:sdt>
              <w:r>
                <w:rPr>
                  <w:szCs w:val="24"/>
                </w:rPr>
                <w:t>. 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tabs>
                  <w:tab w:val="left" w:pos="709"/>
                </w:tabs>
                <w:suppressAutoHyphens/>
                <w:jc w:val="both"/>
                <w:textAlignment w:val="baseline"/>
                <w:rPr>
                  <w:szCs w:val="24"/>
                </w:rPr>
              </w:pPr>
            </w:p>
            <w:p>
              <w:pPr>
                <w:tabs>
                  <w:tab w:val="left" w:pos="709"/>
                </w:tabs>
                <w:ind w:firstLine="720"/>
                <w:jc w:val="both"/>
              </w:pPr>
            </w:p>
            <w:p/>
            <w:p>
              <w:pPr>
                <w:rPr>
                  <w:szCs w:val="24"/>
                </w:rPr>
              </w:pPr>
              <w:r>
                <w:rPr>
                  <w:szCs w:val="24"/>
                </w:rPr>
                <w:t xml:space="preserve">Savivaldybės meras </w:t>
                <w:tab/>
                <w:tab/>
                <w:tab/>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
          <w:sdtPr>
            <w:alias w:val="skirsnis"/>
            <w:tag w:val="part_c3308b3ba5814c7bba40568cb8b75cc7"/>
            <w:lock w:val="sdtLocked"/>
            <w:richText/>
          </w:sdtPr>
          <w:sdtContent>
            <w:sdt>
              <w:sdtPr>
                <w:alias w:val="Pavadinimas"/>
                <w:tag w:val="title_c3308b3ba5814c7bba40568cb8b75cc7"/>
                <w:lock w:val="sdtLocked"/>
                <w:richText/>
              </w:sdtPr>
              <w:sdtContent>
                <w:p>
                  <w:pPr>
                    <w:jc w:val="center"/>
                    <w:rPr>
                      <w:b/>
                      <w:bCs/>
                      <w:szCs w:val="24"/>
                    </w:rPr>
                  </w:pPr>
                  <w:r>
                    <w:rPr>
                      <w:b/>
                      <w:bCs/>
                      <w:szCs w:val="24"/>
                    </w:rPr>
                    <w:t xml:space="preserve">RADVILIŠKIO RAJONO SAVIVALDYBĖS TARYBOS </w:t>
                  </w:r>
                  <w:r>
                    <w:rPr>
                      <w:b/>
                      <w:bCs/>
                      <w:color w:val="000000"/>
                      <w:szCs w:val="24"/>
                      <w:lang w:eastAsia="lt-LT"/>
                    </w:rPr>
                    <w:t xml:space="preserve">SPRENDIMO </w:t>
                  </w:r>
                  <w:r>
                    <w:rPr>
                      <w:b/>
                      <w:bCs/>
                      <w:szCs w:val="24"/>
                      <w:lang w:eastAsia="lt-LT"/>
                    </w:rPr>
                    <w:t>PROJEKTO </w:t>
                  </w:r>
                  <w:r>
                    <w:rPr>
                      <w:b/>
                      <w:bCs/>
                      <w:szCs w:val="24"/>
                    </w:rPr>
                    <w:t xml:space="preserve"> </w:t>
                  </w:r>
                </w:p>
                <w:p>
                  <w:pPr>
                    <w:jc w:val="center"/>
                    <w:rPr>
                      <w:b/>
                      <w:bCs/>
                      <w:szCs w:val="24"/>
                    </w:rPr>
                  </w:pPr>
                  <w:r>
                    <w:rPr>
                      <w:b/>
                      <w:bCs/>
                      <w:szCs w:val="24"/>
                    </w:rPr>
                    <w:t>„DĖL RADVILIŠKIO RAJONO KULTŪROS PLĖTROS 2022–2030 M. STRATEGIJOS PRIEMONIŲ ĮGYVENDINIMO IR RODIKLIŲ PASIEKIMO 2023–2024 M. TARPINĖS ATASKAITOS PATVIRTINIMO“</w:t>
                  </w:r>
                </w:p>
                <w:p>
                  <w:pPr>
                    <w:ind w:left="-120"/>
                    <w:jc w:val="center"/>
                    <w:rPr>
                      <w:b/>
                      <w:bCs/>
                      <w:szCs w:val="24"/>
                      <w:lang w:eastAsia="lt-LT"/>
                    </w:rPr>
                  </w:pPr>
                  <w:r>
                    <w:rPr>
                      <w:b/>
                      <w:bCs/>
                      <w:szCs w:val="24"/>
                      <w:lang w:eastAsia="lt-LT"/>
                    </w:rPr>
                    <w:t>AIŠKINAMASIS RAŠTAS</w:t>
                  </w:r>
                </w:p>
              </w:sdtContent>
            </w:sdt>
            <w:p>
              <w:pPr>
                <w:rPr>
                  <w:sz w:val="20"/>
                </w:rPr>
              </w:pPr>
            </w:p>
            <w:p>
              <w:pPr>
                <w:ind w:left="-120"/>
                <w:jc w:val="center"/>
                <w:rPr>
                  <w:szCs w:val="24"/>
                  <w:lang w:val="en-US" w:eastAsia="lt-LT"/>
                </w:rPr>
              </w:pPr>
              <w:r>
                <w:rPr>
                  <w:szCs w:val="24"/>
                  <w:lang w:eastAsia="lt-LT"/>
                </w:rPr>
                <w:t>2024 m. lapkričio 25 d.</w:t>
              </w:r>
            </w:p>
            <w:p>
              <w:pPr>
                <w:ind w:left="-120" w:firstLine="62"/>
                <w:jc w:val="center"/>
                <w:rPr>
                  <w:szCs w:val="24"/>
                  <w:lang w:val="en-US" w:eastAsia="lt-LT"/>
                </w:rPr>
              </w:pPr>
              <w:r>
                <w:rPr>
                  <w:szCs w:val="24"/>
                  <w:lang w:eastAsia="lt-LT"/>
                </w:rPr>
                <w:t>Radviliškio</w:t>
              </w:r>
            </w:p>
            <w:p>
              <w:pPr>
                <w:ind w:left="-120"/>
                <w:jc w:val="center"/>
                <w:rPr>
                  <w:szCs w:val="24"/>
                  <w:lang w:val="en-US" w:eastAsia="lt-LT"/>
                </w:rPr>
              </w:pPr>
            </w:p>
            <w:sdt>
              <w:sdtPr>
                <w:alias w:val="1 p."/>
                <w:tag w:val="part_97662c5922ae4f5e94adc51a4deadcb5"/>
                <w:lock w:val="sdtLocked"/>
                <w:richText/>
              </w:sdtPr>
              <w:sdtContent>
                <w:p>
                  <w:pPr>
                    <w:tabs>
                      <w:tab w:val="left" w:pos="1134"/>
                    </w:tabs>
                    <w:ind w:firstLine="851"/>
                    <w:jc w:val="both"/>
                    <w:rPr>
                      <w:b/>
                      <w:bCs/>
                    </w:rPr>
                  </w:pPr>
                  <w:sdt>
                    <w:sdtPr>
                      <w:alias w:val="Numeris"/>
                      <w:tag w:val="nr_97662c5922ae4f5e94adc51a4deadcb5"/>
                      <w:lock w:val="sdtLocked"/>
                      <w:richText/>
                    </w:sdtPr>
                    <w:sdtContent>
                      <w:r>
                        <w:rPr>
                          <w:b/>
                          <w:bCs/>
                          <w:iCs/>
                        </w:rPr>
                        <w:t>1</w:t>
                      </w:r>
                    </w:sdtContent>
                  </w:sdt>
                  <w:r>
                    <w:rPr>
                      <w:b/>
                      <w:bCs/>
                      <w:iCs/>
                    </w:rPr>
                    <w:t>.</w:t>
                    <w:tab/>
                  </w:r>
                  <w:r>
                    <w:rPr>
                      <w:b/>
                      <w:bCs/>
                    </w:rPr>
                    <w:t xml:space="preserve">Sprendimo projekto rengimą paskatinusios priežastys, parengto projekto tikslai, sprendimo projekto tikslai ir uždaviniai. </w:t>
                  </w:r>
                </w:p>
                <w:p>
                  <w:pPr>
                    <w:ind w:firstLine="851"/>
                    <w:jc w:val="both"/>
                    <w:rPr>
                      <w:bCs/>
                      <w:color w:val="000000"/>
                      <w:szCs w:val="24"/>
                    </w:rPr>
                  </w:pPr>
                  <w:r>
                    <w:t>Sprendimo projekto tikslas – patvirtinti Radviliškio rajono savivaldybės tarybos sprendimo projektą „Dėl Radviliškio rajono kultūros plėtros 2022–2030 m. strategijos priemonių įgyvendinimo ir rodiklių pasiekimo 2023–2024 m. tarpinės ataskaitos“.</w:t>
                  </w:r>
                </w:p>
                <w:p>
                  <w:pPr>
                    <w:ind w:firstLine="851"/>
                    <w:jc w:val="both"/>
                  </w:pPr>
                  <w:r>
                    <w:rPr>
                      <w:szCs w:val="24"/>
                    </w:rPr>
                    <w:t xml:space="preserve">Vadovaujamasi Lietuvos Respublikos vietos savivaldos įstatymo 15 straipsnio 2 dalies 32 punktu, Radviliškio rajono savivaldybės tarybos 2022 m. gegužės 26 d. sprendimu Nr. T-751 „Dėl Radviliškio rajono kultūros plėtros 2022–2030 metų strategijos patvirtinimo“, Radviliškio rajono savivaldybės įsakymu 2023 m. sausio 26 d. Nr. A-73 (26.8) „Dėl Radviliškio rajono kultūros plėtros 2022–2030 m. strategijos priemonių įgyvendinimo 2023 metais“, Radviliškio rajono savivaldybės mero potvarkiu 2023 m gruodžio 5 d. Nr. M-549 (2.5) „Dėl Radviliškio rajono kultūros plėtros 2022–2030 m. strategijos priemonių įgyvendinimo 2024 metais“. </w:t>
                  </w:r>
                  <w:r>
                    <w:t>Siekiama įvertinti, kaip vykdomos Radviliškio rajono kultūros plėtros 2022–2030 m. strategijoje numatytos priemonės ir rodikliai per 2023–2024 m. laikotarpį. Atsižvelgiant į tarpinius rezultatus, užtikrinti strategijos efektyvumą, tvarumą bei galimą priemonių koregavimą, jei to reikalautų besikeičiančios sąlygos ar rodiklių įgyvendinimo eiga.</w:t>
                  </w:r>
                </w:p>
              </w:sdtContent>
            </w:sdt>
            <w:sdt>
              <w:sdtPr>
                <w:alias w:val="2 p."/>
                <w:tag w:val="part_61d88c9c62d44134b77ae0c48380e63b"/>
                <w:lock w:val="sdtLocked"/>
                <w:richText/>
              </w:sdtPr>
              <w:sdtContent>
                <w:p>
                  <w:pPr>
                    <w:ind w:firstLine="851"/>
                    <w:jc w:val="both"/>
                    <w:rPr>
                      <w:b/>
                      <w:bCs/>
                    </w:rPr>
                  </w:pPr>
                  <w:sdt>
                    <w:sdtPr>
                      <w:alias w:val="Numeris"/>
                      <w:tag w:val="nr_61d88c9c62d44134b77ae0c48380e63b"/>
                      <w:lock w:val="sdtLocked"/>
                      <w:richText/>
                    </w:sdtPr>
                    <w:sdtContent>
                      <w:r>
                        <w:rPr>
                          <w:b/>
                        </w:rPr>
                        <w:t>2</w:t>
                      </w:r>
                    </w:sdtContent>
                  </w:sdt>
                  <w:r>
                    <w:rPr>
                      <w:b/>
                    </w:rPr>
                    <w:t>.</w:t>
                  </w:r>
                  <w:r>
                    <w:t xml:space="preserve"> </w:t>
                  </w:r>
                  <w:r>
                    <w:rPr>
                      <w:b/>
                      <w:bCs/>
                    </w:rPr>
                    <w:t>Projekto iniciatoriai (institucija, asmenys ar piliečių atstovai) ir rengėjai.</w:t>
                  </w:r>
                </w:p>
                <w:p>
                  <w:pPr>
                    <w:ind w:firstLine="856"/>
                    <w:jc w:val="both"/>
                  </w:pPr>
                  <w:r>
                    <w:t xml:space="preserve">Projekto iniciatoriai – Radviliškio rajono savivaldybės Kultūros, turizmo ir paveldosaugos skyrius. </w:t>
                  </w:r>
                </w:p>
                <w:p>
                  <w:pPr>
                    <w:ind w:firstLine="856"/>
                    <w:jc w:val="both"/>
                  </w:pPr>
                  <w:r>
                    <w:t xml:space="preserve">Rengėja – </w:t>
                  </w:r>
                  <w:r>
                    <w:rPr>
                      <w:szCs w:val="24"/>
                    </w:rPr>
                    <w:t>Kultūros, turizmo ir paveldosaugos skyriaus vyriausioji specialistė Milda Mineikytė-Juknė.</w:t>
                  </w:r>
                </w:p>
              </w:sdtContent>
            </w:sdt>
            <w:sdt>
              <w:sdtPr>
                <w:alias w:val="3 p."/>
                <w:tag w:val="part_2410a37d010b42398d14e380324792c7"/>
                <w:lock w:val="sdtLocked"/>
                <w:richText/>
              </w:sdtPr>
              <w:sdtContent>
                <w:p>
                  <w:pPr>
                    <w:ind w:left="856"/>
                    <w:jc w:val="both"/>
                    <w:rPr>
                      <w:b/>
                      <w:bCs/>
                    </w:rPr>
                  </w:pPr>
                  <w:sdt>
                    <w:sdtPr>
                      <w:alias w:val="Numeris"/>
                      <w:tag w:val="nr_2410a37d010b42398d14e380324792c7"/>
                      <w:lock w:val="sdtLocked"/>
                      <w:richText/>
                    </w:sdtPr>
                    <w:sdtContent>
                      <w:r>
                        <w:rPr>
                          <w:b/>
                          <w:bCs/>
                        </w:rPr>
                        <w:t>3</w:t>
                      </w:r>
                    </w:sdtContent>
                  </w:sdt>
                  <w:r>
                    <w:rPr>
                      <w:b/>
                      <w:bCs/>
                    </w:rPr>
                    <w:t>. Kaip šiuo metu yra reguliuojami sprendimo projekte aptarti teisiniai santykiai.</w:t>
                  </w:r>
                </w:p>
                <w:p>
                  <w:pPr>
                    <w:ind w:firstLine="851"/>
                    <w:jc w:val="both"/>
                    <w:rPr>
                      <w:color w:val="000000"/>
                      <w:szCs w:val="24"/>
                      <w:lang w:eastAsia="lt-LT"/>
                    </w:rPr>
                  </w:pPr>
                  <w:r>
                    <w:rPr>
                      <w:color w:val="000000"/>
                      <w:szCs w:val="24"/>
                      <w:lang w:eastAsia="lt-LT"/>
                    </w:rPr>
                    <w:t>Šis sprendimas parengtas vadovaujantis Lietuvos Respublikos vietos savivaldos įstatymo 15 straipsnio 2 dalimi, 32 punktu, ir Radviliškio rajono savivaldybės tarybos 2022 m. gegužės 26 d. sprendimu Nr.T-751 „Dėl Radviliškio rajono plėtros 2022–2030 metų strategijos patvirtinimo“.</w:t>
                  </w:r>
                </w:p>
              </w:sdtContent>
            </w:sdt>
            <w:sdt>
              <w:sdtPr>
                <w:alias w:val="4 p."/>
                <w:tag w:val="part_9dbc90c409bc4cf697883308dd6c7f1e"/>
                <w:lock w:val="sdtLocked"/>
                <w:richText/>
              </w:sdtPr>
              <w:sdtContent>
                <w:p>
                  <w:pPr>
                    <w:ind w:firstLine="851"/>
                    <w:jc w:val="both"/>
                    <w:rPr>
                      <w:b/>
                      <w:bCs/>
                    </w:rPr>
                  </w:pPr>
                  <w:sdt>
                    <w:sdtPr>
                      <w:alias w:val="Numeris"/>
                      <w:tag w:val="nr_9dbc90c409bc4cf697883308dd6c7f1e"/>
                      <w:lock w:val="sdtLocked"/>
                      <w:richText/>
                    </w:sdtPr>
                    <w:sdtContent>
                      <w:r>
                        <w:rPr>
                          <w:b/>
                          <w:color w:val="000000"/>
                          <w:szCs w:val="24"/>
                          <w:lang w:eastAsia="lt-LT"/>
                        </w:rPr>
                        <w:t>4</w:t>
                      </w:r>
                    </w:sdtContent>
                  </w:sdt>
                  <w:r>
                    <w:rPr>
                      <w:b/>
                      <w:color w:val="000000"/>
                      <w:szCs w:val="24"/>
                      <w:lang w:eastAsia="lt-LT"/>
                    </w:rPr>
                    <w:t>.</w:t>
                  </w:r>
                  <w:r>
                    <w:rPr>
                      <w:color w:val="000000"/>
                      <w:szCs w:val="24"/>
                      <w:lang w:eastAsia="lt-LT"/>
                    </w:rPr>
                    <w:t xml:space="preserve"> </w:t>
                  </w:r>
                  <w:r>
                    <w:rPr>
                      <w:b/>
                      <w:bCs/>
                    </w:rPr>
                    <w:t>Kokios siūlomos naujos teisinio reguliavimo nuostatos, kokių teigiamų rezultatų laukiama.</w:t>
                  </w:r>
                </w:p>
                <w:p>
                  <w:pPr>
                    <w:tabs>
                      <w:tab w:val="left" w:pos="851"/>
                    </w:tabs>
                    <w:ind w:firstLine="851"/>
                    <w:jc w:val="both"/>
                  </w:pPr>
                  <w:r>
                    <w:t>Priėmus sprendimą, bus patvirtinta Radviliškio rajono kultūros plėtros 2022–2030 m. strategijos priemonių įgyvendinimo ir rodiklių pasiekimo 2023–2024 m. tarpinė ataskaita, kuri užtikrins aiškų kultūros plėtros pažangos vertinimą bei sudarys sąlygas efektyvesniam strategijos įgyvendinimui.</w:t>
                  </w:r>
                </w:p>
              </w:sdtContent>
            </w:sdt>
            <w:sdt>
              <w:sdtPr>
                <w:alias w:val="5 p."/>
                <w:tag w:val="part_d1290505ff4e4df598a512b9ba3e691c"/>
                <w:lock w:val="sdtLocked"/>
                <w:richText/>
              </w:sdtPr>
              <w:sdtContent>
                <w:p>
                  <w:pPr>
                    <w:ind w:firstLine="851"/>
                    <w:jc w:val="both"/>
                  </w:pPr>
                  <w:sdt>
                    <w:sdtPr>
                      <w:alias w:val="Numeris"/>
                      <w:tag w:val="nr_d1290505ff4e4df598a512b9ba3e691c"/>
                      <w:lock w:val="sdtLocked"/>
                      <w:richText/>
                    </w:sdtPr>
                    <w:sdtContent>
                      <w:r>
                        <w:rPr>
                          <w:b/>
                        </w:rPr>
                        <w:t>5</w:t>
                      </w:r>
                    </w:sdtContent>
                  </w:sdt>
                  <w:r>
                    <w:rPr>
                      <w:b/>
                    </w:rPr>
                    <w:t>.</w:t>
                  </w:r>
                  <w:r>
                    <w:t xml:space="preserve"> </w:t>
                  </w:r>
                  <w:r>
                    <w:rPr>
                      <w:b/>
                      <w:bCs/>
                      <w:iCs/>
                    </w:rPr>
                    <w:t>Galimos neigiamos priimto sprendimo projekto pasekmės ir kokių priemonių reiktų imtis, kad tokių pasekmių būtų išvengta.</w:t>
                  </w:r>
                </w:p>
                <w:p>
                  <w:pPr>
                    <w:ind w:firstLine="851"/>
                    <w:jc w:val="both"/>
                    <w:rPr>
                      <w:szCs w:val="24"/>
                    </w:rPr>
                  </w:pPr>
                  <w:r>
                    <w:rPr>
                      <w:szCs w:val="24"/>
                    </w:rPr>
                    <w:t xml:space="preserve">Neigiamų pasekmių nenumatoma. </w:t>
                  </w:r>
                </w:p>
              </w:sdtContent>
            </w:sdt>
            <w:sdt>
              <w:sdtPr>
                <w:alias w:val="6 p."/>
                <w:tag w:val="part_7b6d5a93acf74abdb3d68de7697877d5"/>
                <w:lock w:val="sdtLocked"/>
                <w:richText/>
              </w:sdtPr>
              <w:sdtContent>
                <w:p>
                  <w:pPr>
                    <w:tabs>
                      <w:tab w:val="left" w:pos="1276"/>
                    </w:tabs>
                    <w:ind w:left="851"/>
                    <w:jc w:val="both"/>
                    <w:rPr>
                      <w:b/>
                      <w:bCs/>
                      <w:iCs/>
                    </w:rPr>
                  </w:pPr>
                  <w:sdt>
                    <w:sdtPr>
                      <w:alias w:val="Numeris"/>
                      <w:tag w:val="nr_7b6d5a93acf74abdb3d68de7697877d5"/>
                      <w:lock w:val="sdtLocked"/>
                      <w:richText/>
                    </w:sdtPr>
                    <w:sdtContent>
                      <w:r>
                        <w:rPr>
                          <w:b/>
                          <w:bCs/>
                          <w:iCs/>
                        </w:rPr>
                        <w:t>6</w:t>
                      </w:r>
                    </w:sdtContent>
                  </w:sdt>
                  <w:r>
                    <w:rPr>
                      <w:b/>
                      <w:bCs/>
                      <w:iCs/>
                    </w:rPr>
                    <w:t>. Kokius teisės aktus būtina priimti, kokius galiojančius teisės aktus būtina pakeisti</w:t>
                  </w:r>
                </w:p>
              </w:sdtContent>
            </w:sdt>
          </w:sdtContent>
        </w:sdt>
        <w:sdt>
          <w:sdtPr>
            <w:alias w:val="skirsnis"/>
            <w:tag w:val="part_82f06a64605847af9a34a80c0b82ed4b"/>
            <w:lock w:val="sdtLocked"/>
            <w:richText/>
          </w:sdtPr>
          <w:sdtContent>
            <w:p>
              <w:pPr>
                <w:tabs>
                  <w:tab w:val="left" w:pos="1276"/>
                </w:tabs>
                <w:jc w:val="both"/>
                <w:rPr>
                  <w:b/>
                  <w:bCs/>
                  <w:iCs/>
                </w:rPr>
              </w:pPr>
              <w:sdt>
                <w:sdtPr>
                  <w:alias w:val="Pavadinimas"/>
                  <w:tag w:val="title_82f06a64605847af9a34a80c0b82ed4b"/>
                  <w:lock w:val="sdtLocked"/>
                  <w:richText/>
                </w:sdtPr>
                <w:sdtContent>
                  <w:r>
                    <w:rPr>
                      <w:b/>
                      <w:bCs/>
                      <w:iCs/>
                    </w:rPr>
                    <w:t>ar pripažinti netekusiais galios priėmus sprendimo projektą.</w:t>
                  </w:r>
                </w:sdtContent>
              </w:sdt>
            </w:p>
            <w:p>
              <w:pPr>
                <w:ind w:firstLine="851"/>
                <w:jc w:val="both"/>
                <w:rPr>
                  <w:bCs/>
                  <w:szCs w:val="24"/>
                </w:rPr>
              </w:pPr>
              <w:r>
                <w:rPr>
                  <w:bCs/>
                  <w:szCs w:val="24"/>
                </w:rPr>
                <w:t>Papildomo teisinio reglamentavimo nereikia.</w:t>
              </w:r>
            </w:p>
            <w:sdt>
              <w:sdtPr>
                <w:alias w:val="7 p."/>
                <w:tag w:val="part_2979ad9cc1094a4bbfd15b9bed0f70c7"/>
                <w:lock w:val="sdtLocked"/>
                <w:richText/>
              </w:sdtPr>
              <w:sdtContent>
                <w:p>
                  <w:pPr>
                    <w:ind w:firstLine="851"/>
                    <w:jc w:val="both"/>
                    <w:rPr>
                      <w:b/>
                      <w:bCs/>
                      <w:iCs/>
                    </w:rPr>
                  </w:pPr>
                  <w:sdt>
                    <w:sdtPr>
                      <w:alias w:val="Numeris"/>
                      <w:tag w:val="nr_2979ad9cc1094a4bbfd15b9bed0f70c7"/>
                      <w:lock w:val="sdtLocked"/>
                      <w:richText/>
                    </w:sdtPr>
                    <w:sdtContent>
                      <w:r>
                        <w:rPr>
                          <w:b/>
                          <w:bCs/>
                          <w:iCs/>
                        </w:rPr>
                        <w:t>7</w:t>
                      </w:r>
                    </w:sdtContent>
                  </w:sdt>
                  <w:r>
                    <w:rPr>
                      <w:b/>
                      <w:bCs/>
                      <w:iCs/>
                    </w:rPr>
                    <w:t>. Sprendimo projektui įgyvendinti reikalingos lėšos, finansavimo šaltiniai.</w:t>
                  </w:r>
                </w:p>
                <w:p>
                  <w:pPr>
                    <w:ind w:firstLine="856"/>
                    <w:jc w:val="both"/>
                    <w:rPr>
                      <w:iCs/>
                    </w:rPr>
                  </w:pPr>
                  <w:r>
                    <w:rPr>
                      <w:iCs/>
                    </w:rPr>
                    <w:t>Sprendimo projektui įgyvendinti lėšų nereikės.</w:t>
                  </w:r>
                </w:p>
              </w:sdtContent>
            </w:sdt>
            <w:sdt>
              <w:sdtPr>
                <w:alias w:val="8 p."/>
                <w:tag w:val="part_a096f5f331e54e48a337658fef793298"/>
                <w:lock w:val="sdtLocked"/>
                <w:richText/>
              </w:sdtPr>
              <w:sdtContent>
                <w:p>
                  <w:pPr>
                    <w:ind w:firstLine="851"/>
                    <w:jc w:val="both"/>
                    <w:rPr>
                      <w:b/>
                      <w:bCs/>
                      <w:iCs/>
                    </w:rPr>
                  </w:pPr>
                  <w:sdt>
                    <w:sdtPr>
                      <w:alias w:val="Numeris"/>
                      <w:tag w:val="nr_a096f5f331e54e48a337658fef793298"/>
                      <w:lock w:val="sdtLocked"/>
                      <w:richText/>
                    </w:sdtPr>
                    <w:sdtContent>
                      <w:r>
                        <w:rPr>
                          <w:b/>
                          <w:bCs/>
                          <w:iCs/>
                        </w:rPr>
                        <w:t>8</w:t>
                      </w:r>
                    </w:sdtContent>
                  </w:sdt>
                  <w:r>
                    <w:rPr>
                      <w:b/>
                      <w:bCs/>
                      <w:iCs/>
                    </w:rPr>
                    <w:t>. Sprendimo projekto rengimo metu gauti specialistų vertinimai ir išvados.</w:t>
                  </w:r>
                </w:p>
                <w:p>
                  <w:pPr>
                    <w:spacing w:line="290" w:lineRule="exact"/>
                    <w:ind w:firstLine="851"/>
                    <w:jc w:val="both"/>
                    <w:rPr>
                      <w:b/>
                      <w:bCs/>
                      <w:iCs/>
                    </w:rPr>
                  </w:pPr>
                  <w:r>
                    <w:rPr>
                      <w:bCs/>
                    </w:rPr>
                    <w:t>Sprendimo projektas</w:t>
                  </w:r>
                  <w:r>
                    <w:rPr>
                      <w:b/>
                    </w:rPr>
                    <w:t xml:space="preserve"> </w:t>
                  </w:r>
                  <w:r>
                    <w:rPr>
                      <w:bCs/>
                    </w:rPr>
                    <w:t>suderintas su Savivaldybės administracijos direktore, juristu, kalbininku, vicemerais ir meru.</w:t>
                  </w:r>
                </w:p>
              </w:sdtContent>
            </w:sdt>
            <w:sdt>
              <w:sdtPr>
                <w:alias w:val="9 p."/>
                <w:tag w:val="part_655972ac649b4c118a17230d39d3b27f"/>
                <w:lock w:val="sdtLocked"/>
                <w:richText/>
              </w:sdtPr>
              <w:sdtContent>
                <w:p>
                  <w:pPr>
                    <w:ind w:left="856"/>
                    <w:jc w:val="both"/>
                    <w:rPr>
                      <w:b/>
                      <w:bCs/>
                      <w:iCs/>
                    </w:rPr>
                  </w:pPr>
                  <w:sdt>
                    <w:sdtPr>
                      <w:alias w:val="Numeris"/>
                      <w:tag w:val="nr_655972ac649b4c118a17230d39d3b27f"/>
                      <w:lock w:val="sdtLocked"/>
                      <w:richText/>
                    </w:sdtPr>
                    <w:sdtContent>
                      <w:r>
                        <w:rPr>
                          <w:b/>
                          <w:bCs/>
                          <w:iCs/>
                        </w:rPr>
                        <w:t>9</w:t>
                      </w:r>
                    </w:sdtContent>
                  </w:sdt>
                  <w:r>
                    <w:rPr>
                      <w:b/>
                      <w:bCs/>
                      <w:iCs/>
                    </w:rPr>
                    <w:t>. Numatomo teisinio reguliavimo poveikio vertinimo rezultatai.</w:t>
                  </w:r>
                </w:p>
                <w:p>
                  <w:pPr>
                    <w:ind w:firstLine="856"/>
                    <w:jc w:val="both"/>
                    <w:rPr>
                      <w:iCs/>
                    </w:rPr>
                  </w:pPr>
                  <w:r>
                    <w:t xml:space="preserve">Rezultatai nenumatomi. </w:t>
                  </w:r>
                </w:p>
              </w:sdtContent>
            </w:sdt>
            <w:sdt>
              <w:sdtPr>
                <w:alias w:val="10 p."/>
                <w:tag w:val="part_d1347e4fb21f4e63b0e2399c8b31f20c"/>
                <w:lock w:val="sdtLocked"/>
                <w:richText/>
              </w:sdtPr>
              <w:sdtContent>
                <w:p>
                  <w:pPr>
                    <w:ind w:left="856"/>
                    <w:jc w:val="both"/>
                    <w:rPr>
                      <w:b/>
                      <w:bCs/>
                      <w:iCs/>
                    </w:rPr>
                  </w:pPr>
                  <w:sdt>
                    <w:sdtPr>
                      <w:alias w:val="Numeris"/>
                      <w:tag w:val="nr_d1347e4fb21f4e63b0e2399c8b31f20c"/>
                      <w:lock w:val="sdtLocked"/>
                      <w:richText/>
                    </w:sdtPr>
                    <w:sdtContent>
                      <w:r>
                        <w:rPr>
                          <w:b/>
                          <w:bCs/>
                          <w:iCs/>
                        </w:rPr>
                        <w:t>10</w:t>
                      </w:r>
                    </w:sdtContent>
                  </w:sdt>
                  <w:r>
                    <w:rPr>
                      <w:b/>
                      <w:bCs/>
                      <w:iCs/>
                    </w:rPr>
                    <w:t>. Sprendimo projekto antikorupcinis vertinimas.</w:t>
                  </w:r>
                </w:p>
                <w:p>
                  <w:pPr>
                    <w:ind w:left="856"/>
                    <w:jc w:val="both"/>
                    <w:rPr>
                      <w:iCs/>
                    </w:rPr>
                  </w:pPr>
                  <w:r>
                    <w:t xml:space="preserve">Antikorupciniam vertinimui sprendimo projektas neteikiamas. </w:t>
                  </w:r>
                </w:p>
              </w:sdtContent>
            </w:sdt>
            <w:sdt>
              <w:sdtPr>
                <w:alias w:val="11 p."/>
                <w:tag w:val="part_5973b01f71ca468e9e7f78f07e7a6e8d"/>
                <w:lock w:val="sdtLocked"/>
                <w:richText/>
              </w:sdtPr>
              <w:sdtContent>
                <w:p>
                  <w:pPr>
                    <w:ind w:firstLine="856"/>
                    <w:jc w:val="both"/>
                    <w:rPr>
                      <w:b/>
                      <w:bCs/>
                      <w:iCs/>
                    </w:rPr>
                  </w:pPr>
                  <w:sdt>
                    <w:sdtPr>
                      <w:alias w:val="Numeris"/>
                      <w:tag w:val="nr_5973b01f71ca468e9e7f78f07e7a6e8d"/>
                      <w:lock w:val="sdtLocked"/>
                      <w:richText/>
                    </w:sdtPr>
                    <w:sdtContent>
                      <w:r>
                        <w:rPr>
                          <w:b/>
                          <w:bCs/>
                          <w:iCs/>
                        </w:rPr>
                        <w:t>11</w:t>
                      </w:r>
                    </w:sdtContent>
                  </w:sdt>
                  <w:r>
                    <w:rPr>
                      <w:b/>
                      <w:bCs/>
                      <w:iCs/>
                    </w:rPr>
                    <w:t>. Kiti, iniciatoriaus nuomone, reikalingi pagrindimai ir paaiškinimai.</w:t>
                  </w:r>
                </w:p>
                <w:p>
                  <w:pPr>
                    <w:ind w:left="856"/>
                    <w:jc w:val="both"/>
                    <w:rPr>
                      <w:iCs/>
                    </w:rPr>
                  </w:pPr>
                  <w:r>
                    <w:rPr>
                      <w:iCs/>
                    </w:rPr>
                    <w:t>Nėra.</w:t>
                  </w:r>
                </w:p>
              </w:sdtContent>
            </w:sdt>
            <w:sdt>
              <w:sdtPr>
                <w:alias w:val="12 p."/>
                <w:tag w:val="part_c2e8b9c8cbd1422ba6cdbae3918fe54d"/>
                <w:lock w:val="sdtLocked"/>
                <w:richText/>
              </w:sdtPr>
              <w:sdtContent>
                <w:p>
                  <w:pPr>
                    <w:ind w:firstLine="856"/>
                    <w:jc w:val="both"/>
                    <w:rPr>
                      <w:b/>
                      <w:bCs/>
                      <w:iCs/>
                    </w:rPr>
                  </w:pPr>
                  <w:sdt>
                    <w:sdtPr>
                      <w:alias w:val="Numeris"/>
                      <w:tag w:val="nr_c2e8b9c8cbd1422ba6cdbae3918fe54d"/>
                      <w:lock w:val="sdtLocked"/>
                      <w:richText/>
                    </w:sdtPr>
                    <w:sdtContent>
                      <w:r>
                        <w:rPr>
                          <w:b/>
                          <w:bCs/>
                          <w:iCs/>
                        </w:rPr>
                        <w:t>12</w:t>
                      </w:r>
                    </w:sdtContent>
                  </w:sdt>
                  <w:r>
                    <w:rPr>
                      <w:b/>
                      <w:bCs/>
                      <w:iCs/>
                    </w:rPr>
                    <w:t>. Pridedami dokumentai.</w:t>
                  </w:r>
                </w:p>
                <w:p>
                  <w:pPr>
                    <w:ind w:firstLine="856"/>
                    <w:jc w:val="both"/>
                    <w:rPr>
                      <w:bCs/>
                      <w:iCs/>
                    </w:rPr>
                  </w:pPr>
                  <w:r>
                    <w:rPr>
                      <w:bCs/>
                      <w:iCs/>
                    </w:rPr>
                    <w:t>Ataskaita, 27 lapai.</w:t>
                  </w:r>
                </w:p>
                <w:p>
                  <w:pPr>
                    <w:ind w:firstLine="856"/>
                    <w:jc w:val="both"/>
                    <w:rPr>
                      <w:bCs/>
                      <w:iCs/>
                    </w:rPr>
                  </w:pPr>
                </w:p>
                <w:p>
                  <w:pPr>
                    <w:ind w:firstLine="856"/>
                    <w:jc w:val="both"/>
                    <w:rPr>
                      <w:bCs/>
                      <w:iCs/>
                    </w:rPr>
                  </w:pPr>
                </w:p>
                <w:p>
                  <w:pPr>
                    <w:ind w:firstLine="856"/>
                    <w:jc w:val="both"/>
                    <w:rPr>
                      <w:bCs/>
                      <w:iCs/>
                    </w:rPr>
                  </w:pPr>
                </w:p>
              </w:sdtContent>
            </w:sdt>
          </w:sdtContent>
        </w:sdt>
        <w:sdt>
          <w:sdtPr>
            <w:alias w:val="signatura"/>
            <w:tag w:val="part_f8d1277b55244d76b1ceccbd5111b673"/>
            <w:lock w:val="sdtLocked"/>
            <w:richText/>
          </w:sdtPr>
          <w:sdtContent>
            <w:p>
              <w:pPr>
                <w:spacing w:line="360" w:lineRule="auto"/>
                <w:jc w:val="both"/>
              </w:pPr>
              <w:r>
                <w:t xml:space="preserve">Kultūros, paveldosaugos ir turizmo skyriaus vyriausioji specialistė                   Milda Mineikytė-Juknė</w:t>
              </w:r>
            </w:p>
            <w:p>
              <w:pPr>
                <w:ind w:firstLine="918"/>
                <w:jc w:val="both"/>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3F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E8ABBEB-D4FE-480F-97BC-478836C1FE3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5979983">
      <w:bodyDiv w:val="1"/>
      <w:marLeft w:val="0"/>
      <w:marRight w:val="0"/>
      <w:marTop w:val="0"/>
      <w:marBottom w:val="0"/>
      <w:divBdr>
        <w:top w:val="none" w:sz="0" w:space="0" w:color="auto"/>
        <w:left w:val="none" w:sz="0" w:space="0" w:color="auto"/>
        <w:bottom w:val="none" w:sz="0" w:space="0" w:color="auto"/>
        <w:right w:val="none" w:sz="0" w:space="0" w:color="auto"/>
      </w:divBdr>
    </w:div>
    <w:div w:id="666179263">
      <w:bodyDiv w:val="1"/>
      <w:marLeft w:val="0"/>
      <w:marRight w:val="0"/>
      <w:marTop w:val="0"/>
      <w:marBottom w:val="0"/>
      <w:divBdr>
        <w:top w:val="none" w:sz="0" w:space="0" w:color="auto"/>
        <w:left w:val="none" w:sz="0" w:space="0" w:color="auto"/>
        <w:bottom w:val="none" w:sz="0" w:space="0" w:color="auto"/>
        <w:right w:val="none" w:sz="0" w:space="0" w:color="auto"/>
      </w:divBdr>
    </w:div>
    <w:div w:id="830292243">
      <w:bodyDiv w:val="1"/>
      <w:marLeft w:val="0"/>
      <w:marRight w:val="0"/>
      <w:marTop w:val="0"/>
      <w:marBottom w:val="0"/>
      <w:divBdr>
        <w:top w:val="none" w:sz="0" w:space="0" w:color="auto"/>
        <w:left w:val="none" w:sz="0" w:space="0" w:color="auto"/>
        <w:bottom w:val="none" w:sz="0" w:space="0" w:color="auto"/>
        <w:right w:val="none" w:sz="0" w:space="0" w:color="auto"/>
      </w:divBdr>
    </w:div>
    <w:div w:id="894244911">
      <w:bodyDiv w:val="1"/>
      <w:marLeft w:val="0"/>
      <w:marRight w:val="0"/>
      <w:marTop w:val="0"/>
      <w:marBottom w:val="0"/>
      <w:divBdr>
        <w:top w:val="none" w:sz="0" w:space="0" w:color="auto"/>
        <w:left w:val="none" w:sz="0" w:space="0" w:color="auto"/>
        <w:bottom w:val="none" w:sz="0" w:space="0" w:color="auto"/>
        <w:right w:val="none" w:sz="0" w:space="0" w:color="auto"/>
      </w:divBdr>
    </w:div>
    <w:div w:id="1370649180">
      <w:bodyDiv w:val="1"/>
      <w:marLeft w:val="0"/>
      <w:marRight w:val="0"/>
      <w:marTop w:val="0"/>
      <w:marBottom w:val="0"/>
      <w:divBdr>
        <w:top w:val="none" w:sz="0" w:space="0" w:color="auto"/>
        <w:left w:val="none" w:sz="0" w:space="0" w:color="auto"/>
        <w:bottom w:val="none" w:sz="0" w:space="0" w:color="auto"/>
        <w:right w:val="none" w:sz="0" w:space="0" w:color="auto"/>
      </w:divBdr>
    </w:div>
    <w:div w:id="1600065031">
      <w:bodyDiv w:val="1"/>
      <w:marLeft w:val="0"/>
      <w:marRight w:val="0"/>
      <w:marTop w:val="0"/>
      <w:marBottom w:val="0"/>
      <w:divBdr>
        <w:top w:val="none" w:sz="0" w:space="0" w:color="auto"/>
        <w:left w:val="none" w:sz="0" w:space="0" w:color="auto"/>
        <w:bottom w:val="none" w:sz="0" w:space="0" w:color="auto"/>
        <w:right w:val="none" w:sz="0" w:space="0" w:color="auto"/>
      </w:divBdr>
      <w:divsChild>
        <w:div w:id="2027635556">
          <w:marLeft w:val="0"/>
          <w:marRight w:val="0"/>
          <w:marTop w:val="0"/>
          <w:marBottom w:val="0"/>
          <w:divBdr>
            <w:top w:val="none" w:sz="0" w:space="0" w:color="auto"/>
            <w:left w:val="none" w:sz="0" w:space="0" w:color="auto"/>
            <w:bottom w:val="none" w:sz="0" w:space="0" w:color="auto"/>
            <w:right w:val="none" w:sz="0" w:space="0" w:color="auto"/>
          </w:divBdr>
          <w:divsChild>
            <w:div w:id="306401192">
              <w:marLeft w:val="0"/>
              <w:marRight w:val="0"/>
              <w:marTop w:val="0"/>
              <w:marBottom w:val="0"/>
              <w:divBdr>
                <w:top w:val="none" w:sz="0" w:space="0" w:color="auto"/>
                <w:left w:val="none" w:sz="0" w:space="0" w:color="auto"/>
                <w:bottom w:val="none" w:sz="0" w:space="0" w:color="auto"/>
                <w:right w:val="none" w:sz="0" w:space="0" w:color="auto"/>
              </w:divBdr>
            </w:div>
            <w:div w:id="434983780">
              <w:marLeft w:val="0"/>
              <w:marRight w:val="0"/>
              <w:marTop w:val="0"/>
              <w:marBottom w:val="0"/>
              <w:divBdr>
                <w:top w:val="none" w:sz="0" w:space="0" w:color="auto"/>
                <w:left w:val="none" w:sz="0" w:space="0" w:color="auto"/>
                <w:bottom w:val="none" w:sz="0" w:space="0" w:color="auto"/>
                <w:right w:val="none" w:sz="0" w:space="0" w:color="auto"/>
              </w:divBdr>
              <w:divsChild>
                <w:div w:id="2129659639">
                  <w:marLeft w:val="0"/>
                  <w:marRight w:val="0"/>
                  <w:marTop w:val="0"/>
                  <w:marBottom w:val="0"/>
                  <w:divBdr>
                    <w:top w:val="none" w:sz="0" w:space="0" w:color="auto"/>
                    <w:left w:val="none" w:sz="0" w:space="0" w:color="auto"/>
                    <w:bottom w:val="none" w:sz="0" w:space="0" w:color="auto"/>
                    <w:right w:val="none" w:sz="0" w:space="0" w:color="auto"/>
                  </w:divBdr>
                </w:div>
                <w:div w:id="739325576">
                  <w:marLeft w:val="0"/>
                  <w:marRight w:val="0"/>
                  <w:marTop w:val="0"/>
                  <w:marBottom w:val="0"/>
                  <w:divBdr>
                    <w:top w:val="none" w:sz="0" w:space="0" w:color="auto"/>
                    <w:left w:val="none" w:sz="0" w:space="0" w:color="auto"/>
                    <w:bottom w:val="none" w:sz="0" w:space="0" w:color="auto"/>
                    <w:right w:val="none" w:sz="0" w:space="0" w:color="auto"/>
                  </w:divBdr>
                  <w:divsChild>
                    <w:div w:id="694966631">
                      <w:marLeft w:val="0"/>
                      <w:marRight w:val="0"/>
                      <w:marTop w:val="0"/>
                      <w:marBottom w:val="0"/>
                      <w:divBdr>
                        <w:top w:val="none" w:sz="0" w:space="0" w:color="auto"/>
                        <w:left w:val="none" w:sz="0" w:space="0" w:color="auto"/>
                        <w:bottom w:val="none" w:sz="0" w:space="0" w:color="auto"/>
                        <w:right w:val="none" w:sz="0" w:space="0" w:color="auto"/>
                      </w:divBdr>
                    </w:div>
                    <w:div w:id="1715958580">
                      <w:marLeft w:val="0"/>
                      <w:marRight w:val="0"/>
                      <w:marTop w:val="0"/>
                      <w:marBottom w:val="0"/>
                      <w:divBdr>
                        <w:top w:val="none" w:sz="0" w:space="0" w:color="auto"/>
                        <w:left w:val="none" w:sz="0" w:space="0" w:color="auto"/>
                        <w:bottom w:val="none" w:sz="0" w:space="0" w:color="auto"/>
                        <w:right w:val="none" w:sz="0" w:space="0" w:color="auto"/>
                      </w:divBdr>
                    </w:div>
                  </w:divsChild>
                </w:div>
                <w:div w:id="197813591">
                  <w:marLeft w:val="0"/>
                  <w:marRight w:val="0"/>
                  <w:marTop w:val="0"/>
                  <w:marBottom w:val="0"/>
                  <w:divBdr>
                    <w:top w:val="none" w:sz="0" w:space="0" w:color="auto"/>
                    <w:left w:val="none" w:sz="0" w:space="0" w:color="auto"/>
                    <w:bottom w:val="none" w:sz="0" w:space="0" w:color="auto"/>
                    <w:right w:val="none" w:sz="0" w:space="0" w:color="auto"/>
                  </w:divBdr>
                </w:div>
                <w:div w:id="1330593626">
                  <w:marLeft w:val="0"/>
                  <w:marRight w:val="0"/>
                  <w:marTop w:val="0"/>
                  <w:marBottom w:val="0"/>
                  <w:divBdr>
                    <w:top w:val="none" w:sz="0" w:space="0" w:color="auto"/>
                    <w:left w:val="none" w:sz="0" w:space="0" w:color="auto"/>
                    <w:bottom w:val="none" w:sz="0" w:space="0" w:color="auto"/>
                    <w:right w:val="none" w:sz="0" w:space="0" w:color="auto"/>
                  </w:divBdr>
                </w:div>
                <w:div w:id="94250678">
                  <w:marLeft w:val="0"/>
                  <w:marRight w:val="0"/>
                  <w:marTop w:val="0"/>
                  <w:marBottom w:val="0"/>
                  <w:divBdr>
                    <w:top w:val="none" w:sz="0" w:space="0" w:color="auto"/>
                    <w:left w:val="none" w:sz="0" w:space="0" w:color="auto"/>
                    <w:bottom w:val="none" w:sz="0" w:space="0" w:color="auto"/>
                    <w:right w:val="none" w:sz="0" w:space="0" w:color="auto"/>
                  </w:divBdr>
                </w:div>
              </w:divsChild>
            </w:div>
            <w:div w:id="91443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149114">
      <w:bodyDiv w:val="1"/>
      <w:marLeft w:val="0"/>
      <w:marRight w:val="0"/>
      <w:marTop w:val="0"/>
      <w:marBottom w:val="0"/>
      <w:divBdr>
        <w:top w:val="none" w:sz="0" w:space="0" w:color="auto"/>
        <w:left w:val="none" w:sz="0" w:space="0" w:color="auto"/>
        <w:bottom w:val="none" w:sz="0" w:space="0" w:color="auto"/>
        <w:right w:val="none" w:sz="0" w:space="0" w:color="auto"/>
      </w:divBdr>
      <w:divsChild>
        <w:div w:id="1236278077">
          <w:marLeft w:val="0"/>
          <w:marRight w:val="0"/>
          <w:marTop w:val="0"/>
          <w:marBottom w:val="0"/>
          <w:divBdr>
            <w:top w:val="none" w:sz="0" w:space="0" w:color="auto"/>
            <w:left w:val="none" w:sz="0" w:space="0" w:color="auto"/>
            <w:bottom w:val="none" w:sz="0" w:space="0" w:color="auto"/>
            <w:right w:val="none" w:sz="0" w:space="0" w:color="auto"/>
          </w:divBdr>
          <w:divsChild>
            <w:div w:id="175369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477702">
      <w:bodyDiv w:val="1"/>
      <w:marLeft w:val="225"/>
      <w:marRight w:val="225"/>
      <w:marTop w:val="0"/>
      <w:marBottom w:val="0"/>
      <w:divBdr>
        <w:top w:val="none" w:sz="0" w:space="0" w:color="auto"/>
        <w:left w:val="none" w:sz="0" w:space="0" w:color="auto"/>
        <w:bottom w:val="none" w:sz="0" w:space="0" w:color="auto"/>
        <w:right w:val="none" w:sz="0" w:space="0" w:color="auto"/>
      </w:divBdr>
      <w:divsChild>
        <w:div w:id="675809380">
          <w:marLeft w:val="0"/>
          <w:marRight w:val="0"/>
          <w:marTop w:val="0"/>
          <w:marBottom w:val="0"/>
          <w:divBdr>
            <w:top w:val="none" w:sz="0" w:space="0" w:color="auto"/>
            <w:left w:val="none" w:sz="0" w:space="0" w:color="auto"/>
            <w:bottom w:val="none" w:sz="0" w:space="0" w:color="auto"/>
            <w:right w:val="none" w:sz="0" w:space="0" w:color="auto"/>
          </w:divBdr>
        </w:div>
      </w:divsChild>
    </w:div>
    <w:div w:id="2122799189">
      <w:bodyDiv w:val="1"/>
      <w:marLeft w:val="0"/>
      <w:marRight w:val="0"/>
      <w:marTop w:val="0"/>
      <w:marBottom w:val="0"/>
      <w:divBdr>
        <w:top w:val="none" w:sz="0" w:space="0" w:color="auto"/>
        <w:left w:val="none" w:sz="0" w:space="0" w:color="auto"/>
        <w:bottom w:val="none" w:sz="0" w:space="0" w:color="auto"/>
        <w:right w:val="none" w:sz="0" w:space="0" w:color="auto"/>
      </w:divBdr>
    </w:div>
    <w:div w:id="2140417005">
      <w:bodyDiv w:val="1"/>
      <w:marLeft w:val="0"/>
      <w:marRight w:val="0"/>
      <w:marTop w:val="0"/>
      <w:marBottom w:val="0"/>
      <w:divBdr>
        <w:top w:val="none" w:sz="0" w:space="0" w:color="auto"/>
        <w:left w:val="none" w:sz="0" w:space="0" w:color="auto"/>
        <w:bottom w:val="none" w:sz="0" w:space="0" w:color="auto"/>
        <w:right w:val="none" w:sz="0" w:space="0" w:color="auto"/>
      </w:divBdr>
      <w:divsChild>
        <w:div w:id="607563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916d078d2374dda9fca46e2f71eb59d" PartId="d6bb504791814624922c59b5b33a31fb">
    <Part Type="preambule" DocPartId="224a7deb049947a9906a19e723479474" PartId="47b143fe23f24086ac4379dd8faaabd3"/>
    <Part Type="punktas" Nr="1" Abbr="1 p." DocPartId="27b446dd025d40f6bce70aaaf2b55df0" PartId="99855570556e4b61931e2ca9e3d51a2d"/>
    <Part Type="punktas" Nr="2" Abbr="2 p." DocPartId="11dcf97bf7144d738c1a85db7e974d8b" PartId="b8aa21914b27402395613f2988a3a7d1"/>
    <Part Type="skirsnis" Title="RADVILIŠKIO RAJONO SAVIVALDYBĖS TARYBOS SPRENDIMO PROJEKTO  „DĖL RADVILIŠKIO RAJONO KULTŪROS PLĖTROS 2022–2030 M. STRATEGIJOS PRIEMONIŲ ĮGYVENDINIMO IR RODIKLIŲ PASIEKIMO 2023–2024 M. TARPINĖS ATASKAITOS PATVIRTINIMO“ AIŠKINAMASIS RAŠTAS" DocPartId="14a4cd82ae144e4abbdca5485f788b0c" PartId="c3308b3ba5814c7bba40568cb8b75cc7">
      <Part Type="punktas" Nr="1" Abbr="1 p." DocPartId="0bf72068e1c346b89499b7801c60dfcc" PartId="97662c5922ae4f5e94adc51a4deadcb5"/>
      <Part Type="punktas" Nr="2" Abbr="2 p." DocPartId="98b040f121804d6b86ef17db23b1173f" PartId="61d88c9c62d44134b77ae0c48380e63b"/>
      <Part Type="punktas" Nr="3" Abbr="3 p." DocPartId="6c15a3cf71b94049a55c16000d793690" PartId="2410a37d010b42398d14e380324792c7"/>
      <Part Type="punktas" Nr="4" Abbr="4 p." DocPartId="d70e78af944440e2b36005378d5f2ca1" PartId="9dbc90c409bc4cf697883308dd6c7f1e"/>
      <Part Type="punktas" Nr="5" Abbr="5 p." DocPartId="f8ced0ae8c73432e94311ef64dabce48" PartId="d1290505ff4e4df598a512b9ba3e691c"/>
      <Part Type="punktas" Nr="6" Abbr="6 p." DocPartId="f28df044f9bf4e699fe4d9c68476d043" PartId="7b6d5a93acf74abdb3d68de7697877d5"/>
    </Part>
    <Part Type="skirsnis" Title="ar pripažinti netekusiais galios priėmus sprendimo projektą." DocPartId="68c63f9f22ba47c387ec82d3a439a5c0" PartId="82f06a64605847af9a34a80c0b82ed4b">
      <Part Type="punktas" Nr="7" Abbr="7 p." DocPartId="b22c16246bb844efab61e5618685e63b" PartId="2979ad9cc1094a4bbfd15b9bed0f70c7"/>
      <Part Type="punktas" Nr="8" Abbr="8 p." DocPartId="9bc5aac63b0d45479ec7c66f1aa1d077" PartId="a096f5f331e54e48a337658fef793298"/>
      <Part Type="punktas" Nr="9" Abbr="9 p." DocPartId="ac4eed3dd4904db3a8ce23f4b2ccf5da" PartId="655972ac649b4c118a17230d39d3b27f"/>
      <Part Type="punktas" Nr="10" Abbr="10 p." DocPartId="ed5aad0e21fb4760b7407aaff02a072c" PartId="d1347e4fb21f4e63b0e2399c8b31f20c"/>
      <Part Type="punktas" Nr="11" Abbr="11 p." DocPartId="61f443dc460d4ab9a6883c387e94850f" PartId="5973b01f71ca468e9e7f78f07e7a6e8d"/>
      <Part Type="punktas" Nr="12" Abbr="12 p." DocPartId="de862d2d89bf469cb8e553d120e0217e" PartId="c2e8b9c8cbd1422ba6cdbae3918fe54d"/>
    </Part>
    <Part Type="signatura" DocPartId="f21ec8b4cc57430596f9cd59930c569f" PartId="f8d1277b55244d76b1ceccbd5111b673"/>
  </Part>
</Parts>
</file>

<file path=customXml/itemProps1.xml><?xml version="1.0" encoding="utf-8"?>
<ds:datastoreItem xmlns:ds="http://schemas.openxmlformats.org/officeDocument/2006/customXml" ds:itemID="{229E1A79-BD70-4B65-812D-4052EBDCE06A}">
  <ds:schemaRefs>
    <ds:schemaRef ds:uri="http://schemas.openxmlformats.org/officeDocument/2006/bibliography"/>
  </ds:schemaRefs>
</ds:datastoreItem>
</file>

<file path=customXml/itemProps2.xml><?xml version="1.0" encoding="utf-8"?>
<ds:datastoreItem xmlns:ds="http://schemas.openxmlformats.org/officeDocument/2006/customXml" ds:itemID="{9B9DFB30-0D39-4B62-8413-947C08E14F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605</Words>
  <Characters>4356</Characters>
  <Application>Microsoft Office Word</Application>
  <DocSecurity>4</DocSecurity>
  <Lines>117</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4911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2024-12-04T06:35:00Z</dcterms:created>
  <dc:creator>Rasa</dc:creator>
  <lastModifiedBy>adlibuser</lastModifiedBy>
  <lastPrinted>2024-12-03T12:19:00Z</lastPrinted>
  <dcterms:modified xsi:type="dcterms:W3CDTF">2024-12-04T06:35:00Z</dcterms:modified>
  <revision>2</revision>
</coreProperties>
</file>