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bcc952e2382b4859adf8078d90be611a"/>
        <w:lock w:val="sdtLocked"/>
        <w:richText/>
      </w:sdtPr>
      <w:sdtContent>
        <w:p>
          <w:pPr>
            <w:tabs>
              <w:tab w:val="center" w:pos="4819"/>
              <w:tab w:val="right" w:pos="9638"/>
            </w:tabs>
            <w:rPr>
              <w:kern w:val="2"/>
              <w:sz w:val="22"/>
              <w:szCs w:val="22"/>
            </w:rPr>
          </w:pPr>
        </w:p>
        <w:p>
          <w:pPr>
            <w:tabs>
              <w:tab w:val="left" w:pos="7485"/>
            </w:tabs>
            <w:suppressAutoHyphens/>
            <w:ind w:firstLine="7485"/>
            <w:rPr>
              <w:b/>
              <w:bCs/>
              <w:szCs w:val="24"/>
              <w:lang w:eastAsia="zh-CN"/>
            </w:rPr>
          </w:pPr>
        </w:p>
        <w:p>
          <w:pPr>
            <w:tabs>
              <w:tab w:val="left" w:pos="7485"/>
            </w:tabs>
            <w:suppressAutoHyphens/>
            <w:rPr>
              <w:b/>
              <w:bCs/>
              <w:szCs w:val="24"/>
              <w:lang w:eastAsia="zh-CN"/>
            </w:rPr>
          </w:pPr>
        </w:p>
        <w:p>
          <w:pPr>
            <w:tabs>
              <w:tab w:val="left" w:pos="7485"/>
            </w:tabs>
            <w:suppressAutoHyphens/>
            <w:rPr>
              <w:b/>
              <w:bCs/>
              <w:szCs w:val="24"/>
              <w:lang w:eastAsia="zh-CN"/>
            </w:rPr>
          </w:pPr>
        </w:p>
        <w:p>
          <w:pPr>
            <w:tabs>
              <w:tab w:val="left" w:pos="7485"/>
            </w:tabs>
            <w:suppressAutoHyphens/>
            <w:rPr>
              <w:b/>
              <w:bCs/>
              <w:szCs w:val="24"/>
              <w:lang w:eastAsia="zh-CN"/>
            </w:rPr>
          </w:pPr>
        </w:p>
        <w:p>
          <w:pPr>
            <w:tabs>
              <w:tab w:val="left" w:pos="7485"/>
            </w:tabs>
            <w:suppressAutoHyphens/>
            <w:ind w:left="7776" w:firstLine="8601"/>
            <w:jc w:val="right"/>
            <w:rPr>
              <w:b/>
              <w:bCs/>
              <w:szCs w:val="24"/>
              <w:lang w:eastAsia="zh-CN"/>
            </w:rPr>
          </w:pPr>
          <w:r>
            <w:rPr>
              <w:b/>
              <w:bCs/>
              <w:szCs w:val="24"/>
              <w:lang w:eastAsia="zh-CN"/>
            </w:rPr>
            <w:t>Projektas</w:t>
          </w:r>
        </w:p>
        <w:p>
          <w:pPr>
            <w:suppressAutoHyphens/>
            <w:jc w:val="center"/>
            <w:rPr>
              <w:b/>
              <w:bCs/>
              <w:szCs w:val="24"/>
              <w:lang w:eastAsia="zh-CN"/>
            </w:rPr>
          </w:pPr>
        </w:p>
        <w:p>
          <w:pPr>
            <w:suppressAutoHyphens/>
            <w:jc w:val="center"/>
            <w:rPr>
              <w:b/>
              <w:bCs/>
              <w:szCs w:val="24"/>
              <w:lang w:eastAsia="zh-CN"/>
            </w:rPr>
          </w:pPr>
          <w:r>
            <w:rPr>
              <w:b/>
              <w:bCs/>
              <w:szCs w:val="24"/>
              <w:lang w:eastAsia="zh-CN"/>
            </w:rPr>
            <w:t>LIETUVOS RESPUBLIKOS APLINKOS MINISTRAS</w:t>
          </w:r>
        </w:p>
        <w:p>
          <w:pPr>
            <w:suppressAutoHyphens/>
            <w:jc w:val="center"/>
            <w:rPr>
              <w:b/>
              <w:bCs/>
              <w:szCs w:val="24"/>
              <w:lang w:eastAsia="zh-CN"/>
            </w:rPr>
          </w:pPr>
        </w:p>
        <w:p>
          <w:pPr>
            <w:jc w:val="center"/>
            <w:textAlignment w:val="baseline"/>
            <w:rPr>
              <w:b/>
              <w:bCs/>
              <w:szCs w:val="24"/>
              <w:lang w:val="en-GB" w:eastAsia="en-GB"/>
            </w:rPr>
          </w:pPr>
          <w:r>
            <w:rPr>
              <w:b/>
              <w:bCs/>
              <w:szCs w:val="24"/>
              <w:lang w:val="en-GB" w:eastAsia="en-GB"/>
            </w:rPr>
            <w:t>ĮSAKYMAS</w:t>
          </w:r>
        </w:p>
        <w:p>
          <w:pPr>
            <w:ind w:firstLine="62"/>
            <w:jc w:val="center"/>
            <w:textAlignment w:val="baseline"/>
            <w:rPr>
              <w:b/>
              <w:bCs/>
              <w:szCs w:val="24"/>
              <w:lang w:val="en-GB" w:eastAsia="en-GB"/>
            </w:rPr>
          </w:pPr>
          <w:r>
            <w:rPr>
              <w:b/>
              <w:bCs/>
              <w:szCs w:val="24"/>
              <w:lang w:val="en-GB" w:eastAsia="en-GB"/>
            </w:rPr>
            <w:t>DĖL GARANTINIAM GERIAMOJO VANDENS TIEKIMO IR NUOTEKŲ TVARKYMO PASLAUGŲ UŽTIKRINIMUI MOKAMŲ ĮMOKŲ NAUDOJIMO TVARKOS APRAŠO PATVIRTINIMO</w:t>
          </w:r>
        </w:p>
        <w:p>
          <w:pPr>
            <w:ind w:firstLine="62"/>
            <w:jc w:val="center"/>
            <w:textAlignment w:val="baseline"/>
            <w:rPr>
              <w:szCs w:val="24"/>
              <w:lang w:val="en-GB" w:eastAsia="en-GB"/>
            </w:rPr>
          </w:pPr>
        </w:p>
        <w:p>
          <w:pPr>
            <w:jc w:val="center"/>
            <w:textAlignment w:val="baseline"/>
            <w:rPr>
              <w:szCs w:val="24"/>
              <w:lang w:val="en-GB" w:eastAsia="en-GB"/>
            </w:rPr>
          </w:pPr>
          <w:r>
            <w:rPr>
              <w:szCs w:val="24"/>
              <w:lang w:eastAsia="en-GB"/>
            </w:rPr>
            <w:t xml:space="preserve">2023 m.                              d. Nr. </w:t>
          </w:r>
          <w:r>
            <w:rPr>
              <w:szCs w:val="24"/>
              <w:lang w:val="en-GB" w:eastAsia="en-GB"/>
            </w:rPr>
            <w:t> </w:t>
          </w:r>
        </w:p>
        <w:p>
          <w:pPr>
            <w:jc w:val="center"/>
            <w:textAlignment w:val="baseline"/>
            <w:rPr>
              <w:szCs w:val="24"/>
              <w:lang w:val="en-GB" w:eastAsia="en-GB"/>
            </w:rPr>
          </w:pPr>
          <w:r>
            <w:rPr>
              <w:szCs w:val="24"/>
              <w:lang w:eastAsia="en-GB"/>
            </w:rPr>
            <w:t>Vilnius</w:t>
          </w:r>
          <w:r>
            <w:rPr>
              <w:szCs w:val="24"/>
              <w:lang w:val="en-GB" w:eastAsia="en-GB"/>
            </w:rPr>
            <w:t> </w:t>
            <w:br/>
          </w:r>
        </w:p>
        <w:p>
          <w:pPr>
            <w:jc w:val="center"/>
            <w:textAlignment w:val="baseline"/>
            <w:rPr>
              <w:szCs w:val="24"/>
              <w:lang w:val="en-GB" w:eastAsia="en-GB"/>
            </w:rPr>
          </w:pPr>
        </w:p>
        <w:sdt>
          <w:sdtPr>
            <w:alias w:val="preambule"/>
            <w:tag w:val="part_f0e2d6a7488f44038b6d2c4249e1493e"/>
            <w:lock w:val="sdtLocked"/>
            <w:richText/>
          </w:sdtPr>
          <w:sdtContent>
            <w:p>
              <w:pPr>
                <w:tabs>
                  <w:tab w:val="left" w:pos="993"/>
                </w:tabs>
                <w:suppressAutoHyphens/>
                <w:ind w:firstLine="993"/>
                <w:jc w:val="both"/>
                <w:textAlignment w:val="baseline"/>
                <w:rPr>
                  <w:color w:val="000000"/>
                  <w:kern w:val="2"/>
                  <w:szCs w:val="24"/>
                  <w:shd w:val="clear" w:color="auto" w:fill="FFFFFF"/>
                </w:rPr>
              </w:pPr>
              <w:r>
                <w:rPr>
                  <w:color w:val="000000"/>
                  <w:szCs w:val="24"/>
                  <w:shd w:val="clear" w:color="auto" w:fill="FFFFFF"/>
                  <w:lang w:eastAsia="zh-CN"/>
                </w:rPr>
                <w:t>Vadovaudamasis</w:t>
              </w:r>
              <w:r>
                <w:rPr>
                  <w:color w:val="000000"/>
                  <w:szCs w:val="24"/>
                  <w:lang w:eastAsia="lt-LT"/>
                </w:rPr>
                <w:t xml:space="preserve"> </w:t>
              </w:r>
              <w:r>
                <w:rPr>
                  <w:color w:val="000000"/>
                  <w:szCs w:val="24"/>
                  <w:shd w:val="clear" w:color="auto" w:fill="FFFFFF"/>
                  <w:lang w:eastAsia="zh-CN"/>
                </w:rPr>
                <w:t xml:space="preserve">Lietuvos Respublikos geriamojo vandens tiekimo ir nuotekų tvarkymo </w:t>
              </w:r>
              <w:r>
                <w:rPr>
                  <w:color w:val="000000"/>
                  <w:szCs w:val="24"/>
                  <w:lang w:eastAsia="lt-LT"/>
                </w:rPr>
                <w:t xml:space="preserve">įstatymo 15 straipsnio 14 dalimi, įgyvendindamas </w:t>
              </w:r>
              <w:r>
                <w:rPr>
                  <w:color w:val="000000"/>
                  <w:szCs w:val="24"/>
                  <w:shd w:val="clear" w:color="auto" w:fill="FFFFFF"/>
                  <w:lang w:eastAsia="zh-CN"/>
                </w:rPr>
                <w:t xml:space="preserve">Lietuvos Respublikos Vyriausybės </w:t>
              </w:r>
              <w:r>
                <w:rPr>
                  <w:color w:val="000000"/>
                  <w:szCs w:val="24"/>
                  <w:shd w:val="clear" w:color="auto" w:fill="FFFFFF"/>
                  <w:lang w:val="en-US" w:eastAsia="zh-CN"/>
                </w:rPr>
                <w:t xml:space="preserve">2023 m. birželio 7 d. nutarimo Nr. 440 </w:t>
              </w:r>
              <w:r>
                <w:rPr>
                  <w:color w:val="000000"/>
                  <w:kern w:val="2"/>
                  <w:szCs w:val="24"/>
                  <w:shd w:val="clear" w:color="auto" w:fill="FFFFFF"/>
                </w:rPr>
                <w:t>„Dėl Geriamojo vandens tiekimo ir nuotekų tvarkymo įstatymo įgyvendinimo“ 1</w:t>
              </w:r>
              <w:r>
                <w:rPr>
                  <w:color w:val="000000"/>
                  <w:kern w:val="2"/>
                  <w:szCs w:val="24"/>
                  <w:shd w:val="clear" w:color="auto" w:fill="FFFFFF"/>
                  <w:vertAlign w:val="superscript"/>
                </w:rPr>
                <w:t>1</w:t>
              </w:r>
              <w:r>
                <w:rPr>
                  <w:color w:val="000000"/>
                  <w:kern w:val="2"/>
                  <w:szCs w:val="24"/>
                  <w:shd w:val="clear" w:color="auto" w:fill="FFFFFF"/>
                </w:rPr>
                <w:t xml:space="preserve"> punktą:</w:t>
              </w:r>
            </w:p>
          </w:sdtContent>
        </w:sdt>
        <w:sdt>
          <w:sdtPr>
            <w:alias w:val="1 p."/>
            <w:tag w:val="part_0c38cc7d39cd467ea8f8a00b34d7c680"/>
            <w:lock w:val="sdtLocked"/>
            <w:richText/>
          </w:sdtPr>
          <w:sdtContent>
            <w:p>
              <w:pPr>
                <w:tabs>
                  <w:tab w:val="left" w:pos="993"/>
                </w:tabs>
                <w:suppressAutoHyphens/>
                <w:ind w:firstLine="993"/>
                <w:jc w:val="both"/>
                <w:textAlignment w:val="baseline"/>
                <w:rPr>
                  <w:rFonts w:eastAsia="Calibri"/>
                  <w:bCs/>
                  <w:color w:val="7030A0"/>
                  <w:szCs w:val="24"/>
                  <w:lang w:eastAsia="lt-LT"/>
                </w:rPr>
              </w:pPr>
              <w:sdt>
                <w:sdtPr>
                  <w:alias w:val="Numeris"/>
                  <w:tag w:val="nr_0c38cc7d39cd467ea8f8a00b34d7c680"/>
                  <w:lock w:val="sdtLocked"/>
                  <w:richText/>
                </w:sdtPr>
                <w:sdtContent>
                  <w:r>
                    <w:rPr>
                      <w:rFonts w:eastAsia="Calibri"/>
                      <w:color w:val="000000"/>
                      <w:szCs w:val="24"/>
                      <w:shd w:val="clear" w:color="auto" w:fill="FFFFFF"/>
                    </w:rPr>
                    <w:t>1</w:t>
                  </w:r>
                </w:sdtContent>
              </w:sdt>
              <w:r>
                <w:rPr>
                  <w:rFonts w:eastAsia="Calibri"/>
                  <w:color w:val="000000"/>
                  <w:szCs w:val="24"/>
                  <w:shd w:val="clear" w:color="auto" w:fill="FFFFFF"/>
                </w:rPr>
                <w:t>. T v i r t i n u Garantiniam geriamojo vandens tiekimo ir nuotekų tvarkymo paslaugų užtikrinimui mokamų įmokų</w:t>
              </w:r>
              <w:r>
                <w:rPr>
                  <w:color w:val="000000"/>
                  <w:szCs w:val="24"/>
                  <w:lang w:eastAsia="lt-LT"/>
                </w:rPr>
                <w:t xml:space="preserve"> naudojimo tvarkos aprašą</w:t>
              </w:r>
              <w:r>
                <w:rPr>
                  <w:rFonts w:eastAsia="Calibri"/>
                  <w:color w:val="000000"/>
                  <w:szCs w:val="24"/>
                  <w:shd w:val="clear" w:color="auto" w:fill="FFFFFF"/>
                </w:rPr>
                <w:t xml:space="preserve"> (pridedama).</w:t>
              </w:r>
            </w:p>
          </w:sdtContent>
        </w:sdt>
        <w:sdt>
          <w:sdtPr>
            <w:alias w:val="2 p."/>
            <w:tag w:val="part_743c3b51d3c64f769fd2392d1a655474"/>
            <w:lock w:val="sdtLocked"/>
            <w:richText/>
          </w:sdtPr>
          <w:sdtContent>
            <w:p>
              <w:pPr>
                <w:tabs>
                  <w:tab w:val="left" w:pos="993"/>
                </w:tabs>
                <w:suppressAutoHyphens/>
                <w:ind w:firstLine="993"/>
                <w:jc w:val="both"/>
                <w:textAlignment w:val="baseline"/>
                <w:rPr>
                  <w:bCs/>
                  <w:szCs w:val="24"/>
                  <w:lang w:eastAsia="lt-LT"/>
                </w:rPr>
              </w:pPr>
              <w:sdt>
                <w:sdtPr>
                  <w:alias w:val="Numeris"/>
                  <w:tag w:val="nr_743c3b51d3c64f769fd2392d1a655474"/>
                  <w:lock w:val="sdtLocked"/>
                  <w:richText/>
                </w:sdtPr>
                <w:sdtContent>
                  <w:r>
                    <w:rPr>
                      <w:rFonts w:eastAsia="Calibri"/>
                      <w:bCs/>
                      <w:szCs w:val="24"/>
                      <w:lang w:eastAsia="lt-LT"/>
                    </w:rPr>
                    <w:t>2</w:t>
                  </w:r>
                </w:sdtContent>
              </w:sdt>
              <w:r>
                <w:rPr>
                  <w:rFonts w:eastAsia="Calibri"/>
                  <w:bCs/>
                  <w:szCs w:val="24"/>
                  <w:lang w:eastAsia="lt-LT"/>
                </w:rPr>
                <w:t xml:space="preserve">. N u s t a t a u, kad </w:t>
              </w:r>
              <w:r>
                <w:rPr>
                  <w:color w:val="000000"/>
                  <w:kern w:val="2"/>
                  <w:szCs w:val="24"/>
                  <w:shd w:val="clear" w:color="auto" w:fill="FFFFFF"/>
                </w:rPr>
                <w:t xml:space="preserve">iki šio įsakymo įsigaliojimo garantiniam geriamojo vandens tiekimo ir (arba) nuotekų tvarkymo paslaugų užtikrinimui mokamos įmokos kaupiamos garantinio geriamojo vandens tiekėjo ir nuotekų tvarkytojo nurodytoje </w:t>
              </w:r>
              <w:r>
                <w:rPr>
                  <w:color w:val="000000"/>
                  <w:kern w:val="2"/>
                  <w:szCs w:val="24"/>
                  <w:shd w:val="clear" w:color="auto" w:fill="FFFFFF"/>
                  <w:lang w:val="en-US"/>
                </w:rPr>
                <w:t xml:space="preserve">banko </w:t>
              </w:r>
              <w:r>
                <w:rPr>
                  <w:color w:val="000000"/>
                  <w:kern w:val="2"/>
                  <w:szCs w:val="24"/>
                  <w:shd w:val="clear" w:color="auto" w:fill="FFFFFF"/>
                </w:rPr>
                <w:t>ar kitos kredito įstaigos sąskaitoje. Kai geriamojo vandens tiekimo ir (arba) nuotekų tvarkymo paslaugų užtikrinimui mokamos įmokos kaupiamos ne atskiroje banko ar kitos kredito įstaigos sąskaitoje, garantinis geriamojo vandens tiekėjas ir nuotekų tvarkytojas</w:t>
              </w:r>
              <w:r>
                <w:rPr>
                  <w:color w:val="000000"/>
                  <w:kern w:val="2"/>
                  <w:szCs w:val="24"/>
                  <w:shd w:val="clear" w:color="auto" w:fill="FFFFFF"/>
                  <w:lang w:val="en-US"/>
                </w:rPr>
                <w:t xml:space="preserve"> </w:t>
              </w:r>
              <w:r>
                <w:rPr>
                  <w:kern w:val="2"/>
                  <w:szCs w:val="24"/>
                  <w:shd w:val="clear" w:color="auto" w:fill="FFFFFF"/>
                </w:rPr>
                <w:t xml:space="preserve">ne vėliau kaip per </w:t>
              </w:r>
              <w:r>
                <w:rPr>
                  <w:kern w:val="2"/>
                  <w:szCs w:val="24"/>
                  <w:shd w:val="clear" w:color="auto" w:fill="FFFFFF"/>
                  <w:lang w:val="en-US"/>
                </w:rPr>
                <w:t>1 mėnesį nuo šio įsakymo įsigaliojimo</w:t>
              </w:r>
              <w:r>
                <w:rPr>
                  <w:kern w:val="2"/>
                  <w:szCs w:val="24"/>
                  <w:u w:val="single"/>
                  <w:shd w:val="clear" w:color="auto" w:fill="FFFFFF"/>
                  <w:lang w:val="en-US"/>
                </w:rPr>
                <w:t xml:space="preserve"> </w:t>
              </w:r>
              <w:r>
                <w:rPr>
                  <w:color w:val="000000"/>
                  <w:kern w:val="2"/>
                  <w:szCs w:val="24"/>
                  <w:shd w:val="clear" w:color="auto" w:fill="FFFFFF"/>
                  <w:lang w:val="en-US"/>
                </w:rPr>
                <w:t>atidaro atskir</w:t>
              </w:r>
              <w:r>
                <w:rPr>
                  <w:color w:val="000000"/>
                  <w:kern w:val="2"/>
                  <w:szCs w:val="24"/>
                  <w:shd w:val="clear" w:color="auto" w:fill="FFFFFF"/>
                </w:rPr>
                <w:t>ą</w:t>
              </w:r>
              <w:r>
                <w:rPr>
                  <w:color w:val="000000"/>
                  <w:kern w:val="2"/>
                  <w:szCs w:val="24"/>
                  <w:shd w:val="clear" w:color="auto" w:fill="FFFFFF"/>
                  <w:lang w:val="en-US"/>
                </w:rPr>
                <w:t xml:space="preserve"> banko </w:t>
              </w:r>
              <w:r>
                <w:rPr>
                  <w:color w:val="000000"/>
                  <w:kern w:val="2"/>
                  <w:szCs w:val="24"/>
                  <w:shd w:val="clear" w:color="auto" w:fill="FFFFFF"/>
                </w:rPr>
                <w:t xml:space="preserve">ar kitos kredito įstaigos </w:t>
              </w:r>
              <w:r>
                <w:rPr>
                  <w:color w:val="000000"/>
                  <w:kern w:val="2"/>
                  <w:szCs w:val="24"/>
                  <w:shd w:val="clear" w:color="auto" w:fill="FFFFFF"/>
                  <w:lang w:val="en-US"/>
                </w:rPr>
                <w:t xml:space="preserve">sąskaitą į kurią pervedamos </w:t>
              </w:r>
              <w:r>
                <w:rPr>
                  <w:color w:val="000000"/>
                  <w:kern w:val="2"/>
                  <w:szCs w:val="24"/>
                  <w:shd w:val="clear" w:color="auto" w:fill="FFFFFF"/>
                </w:rPr>
                <w:t>garantiniam geriamojo vandens tiekimo ir nuotekų tvarkymo paslaugų užtikrinimui skirtos lėšos.</w:t>
              </w:r>
            </w:p>
            <w:p>
              <w:pPr>
                <w:tabs>
                  <w:tab w:val="left" w:pos="993"/>
                </w:tabs>
                <w:suppressAutoHyphens/>
                <w:ind w:firstLine="567"/>
                <w:jc w:val="both"/>
                <w:textAlignment w:val="baseline"/>
                <w:rPr>
                  <w:bCs/>
                  <w:szCs w:val="24"/>
                  <w:lang w:eastAsia="lt-LT"/>
                </w:rPr>
              </w:pPr>
            </w:p>
            <w:p>
              <w:pPr>
                <w:tabs>
                  <w:tab w:val="left" w:pos="993"/>
                </w:tabs>
                <w:suppressAutoHyphens/>
                <w:ind w:firstLine="567"/>
                <w:jc w:val="both"/>
                <w:textAlignment w:val="baseline"/>
                <w:rPr>
                  <w:bCs/>
                  <w:szCs w:val="24"/>
                  <w:lang w:eastAsia="lt-LT"/>
                </w:rPr>
              </w:pPr>
            </w:p>
          </w:sdtContent>
        </w:sdt>
        <w:sdt>
          <w:sdtPr>
            <w:alias w:val="signatura"/>
            <w:tag w:val="part_635b1c9d598f4d64a7a9e90503a05174"/>
            <w:lock w:val="sdtLocked"/>
            <w:richText/>
          </w:sdtPr>
          <w:sdtContent>
            <w:p>
              <w:pPr>
                <w:tabs>
                  <w:tab w:val="left" w:pos="993"/>
                </w:tabs>
                <w:suppressAutoHyphens/>
                <w:jc w:val="both"/>
                <w:textAlignment w:val="baseline"/>
                <w:rPr>
                  <w:bCs/>
                  <w:szCs w:val="24"/>
                  <w:lang w:eastAsia="lt-LT"/>
                </w:rPr>
              </w:pPr>
              <w:r>
                <w:rPr>
                  <w:bCs/>
                  <w:szCs w:val="24"/>
                  <w:lang w:eastAsia="lt-LT"/>
                </w:rPr>
                <w:t>Aplinkos ministras</w:t>
                <w:tab/>
                <w:tab/>
                <w:tab/>
                <w:tab/>
                <w:tab/>
                <w:tab/>
                <w:tab/>
              </w:r>
            </w:p>
            <w:p>
              <w:pPr>
                <w:tabs>
                  <w:tab w:val="left" w:pos="993"/>
                </w:tabs>
                <w:suppressAutoHyphens/>
                <w:ind w:firstLine="567"/>
                <w:jc w:val="both"/>
                <w:textAlignment w:val="baseline"/>
                <w:rPr>
                  <w:bCs/>
                  <w:szCs w:val="24"/>
                  <w:lang w:eastAsia="lt-LT"/>
                </w:rPr>
              </w:pPr>
            </w:p>
            <w:p>
              <w:pPr>
                <w:tabs>
                  <w:tab w:val="left" w:pos="993"/>
                </w:tabs>
                <w:suppressAutoHyphens/>
                <w:ind w:left="-426" w:firstLine="993"/>
                <w:jc w:val="both"/>
                <w:textAlignment w:val="baseline"/>
                <w:rPr>
                  <w:bCs/>
                  <w:szCs w:val="24"/>
                  <w:lang w:eastAsia="lt-LT"/>
                </w:rPr>
              </w:pPr>
            </w:p>
            <w:p>
              <w:pPr>
                <w:tabs>
                  <w:tab w:val="left" w:pos="993"/>
                </w:tabs>
                <w:suppressAutoHyphens/>
                <w:ind w:firstLine="567"/>
                <w:jc w:val="both"/>
                <w:textAlignment w:val="baseline"/>
                <w:rPr>
                  <w:bCs/>
                  <w:szCs w:val="24"/>
                  <w:lang w:eastAsia="lt-LT"/>
                </w:rPr>
              </w:pPr>
            </w:p>
            <w:p>
              <w:pPr>
                <w:tabs>
                  <w:tab w:val="left" w:pos="993"/>
                </w:tabs>
                <w:suppressAutoHyphens/>
                <w:ind w:firstLine="567"/>
                <w:jc w:val="both"/>
                <w:textAlignment w:val="baseline"/>
                <w:rPr>
                  <w:bCs/>
                  <w:szCs w:val="24"/>
                  <w:lang w:eastAsia="lt-LT"/>
                </w:rPr>
              </w:pPr>
            </w:p>
            <w:p>
              <w:pPr>
                <w:tabs>
                  <w:tab w:val="left" w:pos="993"/>
                </w:tabs>
                <w:suppressAutoHyphens/>
                <w:ind w:firstLine="567"/>
                <w:jc w:val="both"/>
                <w:textAlignment w:val="baseline"/>
                <w:rPr>
                  <w:bCs/>
                  <w:szCs w:val="24"/>
                  <w:lang w:eastAsia="lt-LT"/>
                </w:rPr>
              </w:pPr>
            </w:p>
            <w:p>
              <w:pPr>
                <w:tabs>
                  <w:tab w:val="left" w:pos="993"/>
                </w:tabs>
                <w:suppressAutoHyphens/>
                <w:ind w:firstLine="567"/>
                <w:jc w:val="both"/>
                <w:textAlignment w:val="baseline"/>
                <w:rPr>
                  <w:bCs/>
                  <w:szCs w:val="24"/>
                  <w:lang w:eastAsia="lt-LT"/>
                </w:rPr>
              </w:pPr>
            </w:p>
            <w:p>
              <w:pPr>
                <w:tabs>
                  <w:tab w:val="left" w:pos="993"/>
                </w:tabs>
                <w:suppressAutoHyphens/>
                <w:ind w:firstLine="567"/>
                <w:jc w:val="both"/>
                <w:textAlignment w:val="baseline"/>
                <w:rPr>
                  <w:bCs/>
                  <w:szCs w:val="24"/>
                  <w:lang w:eastAsia="lt-LT"/>
                </w:rPr>
              </w:pPr>
            </w:p>
            <w:p>
              <w:pPr>
                <w:tabs>
                  <w:tab w:val="left" w:pos="993"/>
                </w:tabs>
                <w:suppressAutoHyphens/>
                <w:ind w:firstLine="567"/>
                <w:jc w:val="both"/>
                <w:textAlignment w:val="baseline"/>
                <w:rPr>
                  <w:bCs/>
                  <w:szCs w:val="24"/>
                  <w:lang w:eastAsia="lt-LT"/>
                </w:rPr>
              </w:pPr>
            </w:p>
            <w:p>
              <w:pPr>
                <w:tabs>
                  <w:tab w:val="left" w:pos="993"/>
                </w:tabs>
                <w:suppressAutoHyphens/>
                <w:ind w:firstLine="567"/>
                <w:jc w:val="both"/>
                <w:textAlignment w:val="baseline"/>
                <w:rPr>
                  <w:bCs/>
                  <w:szCs w:val="24"/>
                  <w:lang w:eastAsia="lt-LT"/>
                </w:rPr>
              </w:pPr>
            </w:p>
            <w:p>
              <w:pPr>
                <w:tabs>
                  <w:tab w:val="left" w:pos="993"/>
                </w:tabs>
                <w:suppressAutoHyphens/>
                <w:ind w:firstLine="567"/>
                <w:jc w:val="both"/>
                <w:textAlignment w:val="baseline"/>
                <w:rPr>
                  <w:bCs/>
                  <w:szCs w:val="24"/>
                  <w:lang w:eastAsia="lt-LT"/>
                </w:rPr>
              </w:pPr>
            </w:p>
            <w:p>
              <w:pPr>
                <w:tabs>
                  <w:tab w:val="left" w:pos="993"/>
                </w:tabs>
                <w:suppressAutoHyphens/>
                <w:ind w:firstLine="567"/>
                <w:jc w:val="both"/>
                <w:textAlignment w:val="baseline"/>
                <w:rPr>
                  <w:bCs/>
                  <w:szCs w:val="24"/>
                  <w:lang w:eastAsia="lt-LT"/>
                </w:rPr>
              </w:pPr>
            </w:p>
            <w:p>
              <w:pPr>
                <w:tabs>
                  <w:tab w:val="left" w:pos="993"/>
                </w:tabs>
                <w:suppressAutoHyphens/>
                <w:ind w:firstLine="567"/>
                <w:jc w:val="both"/>
                <w:textAlignment w:val="baseline"/>
                <w:rPr>
                  <w:bCs/>
                  <w:szCs w:val="24"/>
                  <w:lang w:eastAsia="lt-LT"/>
                </w:rPr>
              </w:pPr>
            </w:p>
            <w:p>
              <w:pPr>
                <w:tabs>
                  <w:tab w:val="left" w:pos="993"/>
                </w:tabs>
                <w:suppressAutoHyphens/>
                <w:jc w:val="both"/>
                <w:textAlignment w:val="baseline"/>
                <w:rPr>
                  <w:bCs/>
                  <w:szCs w:val="24"/>
                  <w:lang w:eastAsia="lt-LT"/>
                </w:rPr>
              </w:pPr>
            </w:p>
            <w:p>
              <w:pPr>
                <w:tabs>
                  <w:tab w:val="left" w:pos="993"/>
                </w:tabs>
                <w:suppressAutoHyphens/>
                <w:jc w:val="both"/>
                <w:textAlignment w:val="baseline"/>
                <w:rPr>
                  <w:bCs/>
                  <w:szCs w:val="24"/>
                  <w:lang w:eastAsia="lt-LT"/>
                </w:rPr>
              </w:pPr>
            </w:p>
            <w:p>
              <w:pPr>
                <w:tabs>
                  <w:tab w:val="left" w:pos="993"/>
                </w:tabs>
                <w:suppressAutoHyphens/>
                <w:jc w:val="both"/>
                <w:textAlignment w:val="baseline"/>
                <w:rPr>
                  <w:bCs/>
                  <w:szCs w:val="24"/>
                  <w:lang w:eastAsia="lt-LT"/>
                </w:rPr>
              </w:pPr>
            </w:p>
            <w:p>
              <w:pPr>
                <w:tabs>
                  <w:tab w:val="left" w:pos="993"/>
                </w:tabs>
                <w:suppressAutoHyphens/>
                <w:jc w:val="both"/>
                <w:textAlignment w:val="baseline"/>
                <w:rPr>
                  <w:bCs/>
                  <w:szCs w:val="24"/>
                  <w:lang w:eastAsia="lt-LT"/>
                </w:rPr>
                <w:sectPr>
                  <w:headerReference w:type="even" r:id="rId6"/>
                  <w:headerReference w:type="default" r:id="rId7"/>
                  <w:footerReference w:type="even" r:id="rId8"/>
                  <w:footerReference w:type="default" r:id="rId9"/>
                  <w:headerReference w:type="first" r:id="rId10"/>
                  <w:footerReference w:type="first" r:id="rId11"/>
                  <w:pgSz w:w="11906" w:h="16838"/>
                  <w:pgMar w:top="0" w:right="707" w:bottom="1134" w:left="1134" w:header="567" w:footer="567" w:gutter="0"/>
                  <w:pgNumType w:start="2"/>
                  <w:cols w:space="1296"/>
                  <w:titlePg/>
                  <w:docGrid w:linePitch="360"/>
                </w:sectPr>
              </w:pPr>
            </w:p>
            <w:p>
              <w:pPr>
                <w:tabs>
                  <w:tab w:val="center" w:pos="4819"/>
                  <w:tab w:val="right" w:pos="9638"/>
                </w:tabs>
                <w:rPr>
                  <w:kern w:val="2"/>
                  <w:sz w:val="22"/>
                  <w:szCs w:val="22"/>
                </w:rPr>
              </w:pPr>
            </w:p>
            <w:p>
              <w:pPr>
                <w:tabs>
                  <w:tab w:val="left" w:pos="993"/>
                </w:tabs>
                <w:suppressAutoHyphens/>
                <w:jc w:val="both"/>
                <w:textAlignment w:val="baseline"/>
                <w:rPr>
                  <w:bCs/>
                  <w:szCs w:val="24"/>
                  <w:lang w:eastAsia="lt-LT"/>
                </w:rPr>
              </w:pPr>
            </w:p>
            <w:p>
              <w:pPr>
                <w:tabs>
                  <w:tab w:val="left" w:pos="993"/>
                </w:tabs>
                <w:suppressAutoHyphens/>
                <w:ind w:left="6379" w:hanging="425"/>
                <w:jc w:val="both"/>
                <w:textAlignment w:val="baseline"/>
                <w:rPr>
                  <w:bCs/>
                  <w:szCs w:val="24"/>
                  <w:lang w:eastAsia="lt-LT"/>
                </w:rPr>
              </w:pPr>
            </w:p>
          </w:sdtContent>
        </w:sdt>
      </w:sdtContent>
    </w:sdt>
    <w:sdt>
      <w:sdtPr>
        <w:alias w:val="patvirtinta"/>
        <w:tag w:val="part_48bbeb85cfef4727a18aed4f40a4cae5"/>
        <w:lock w:val="sdtLocked"/>
        <w:richText/>
      </w:sdtPr>
      <w:sdtContent>
        <w:p>
          <w:pPr>
            <w:tabs>
              <w:tab w:val="left" w:pos="993"/>
            </w:tabs>
            <w:suppressAutoHyphens/>
            <w:ind w:left="5812"/>
            <w:jc w:val="both"/>
            <w:textAlignment w:val="baseline"/>
            <w:rPr>
              <w:bCs/>
              <w:szCs w:val="24"/>
              <w:lang w:eastAsia="lt-LT"/>
            </w:rPr>
          </w:pPr>
          <w:r>
            <w:rPr>
              <w:color w:val="000000"/>
              <w:szCs w:val="24"/>
              <w:shd w:val="clear" w:color="auto" w:fill="FFFFFF"/>
              <w:lang w:eastAsia="zh-CN"/>
            </w:rPr>
            <w:t>PATVIRTINTA</w:t>
          </w:r>
          <w:r>
            <w:rPr>
              <w:color w:val="000000"/>
              <w:szCs w:val="24"/>
              <w:lang w:eastAsia="zh-CN"/>
            </w:rPr>
            <w:br/>
          </w:r>
          <w:r>
            <w:rPr>
              <w:color w:val="000000"/>
              <w:szCs w:val="24"/>
              <w:shd w:val="clear" w:color="auto" w:fill="FFFFFF"/>
              <w:lang w:eastAsia="zh-CN"/>
            </w:rPr>
            <w:t>Lietuvos Respublikos aplinkos ministro</w:t>
          </w:r>
          <w:r>
            <w:rPr>
              <w:color w:val="000000"/>
              <w:szCs w:val="24"/>
              <w:lang w:eastAsia="zh-CN"/>
            </w:rPr>
            <w:br/>
          </w:r>
          <w:r>
            <w:rPr>
              <w:color w:val="000000"/>
              <w:szCs w:val="24"/>
              <w:shd w:val="clear" w:color="auto" w:fill="FFFFFF"/>
              <w:lang w:eastAsia="zh-CN"/>
            </w:rPr>
            <w:t xml:space="preserve">2023 m.                   įsakymu Nr.</w:t>
          </w:r>
        </w:p>
        <w:p>
          <w:pPr>
            <w:tabs>
              <w:tab w:val="left" w:pos="993"/>
            </w:tabs>
            <w:suppressAutoHyphens/>
            <w:ind w:firstLine="567"/>
            <w:jc w:val="both"/>
            <w:textAlignment w:val="baseline"/>
            <w:rPr>
              <w:bCs/>
              <w:szCs w:val="24"/>
              <w:lang w:eastAsia="lt-LT"/>
            </w:rPr>
          </w:pPr>
        </w:p>
        <w:p>
          <w:pPr>
            <w:tabs>
              <w:tab w:val="left" w:pos="993"/>
            </w:tabs>
            <w:suppressAutoHyphens/>
            <w:jc w:val="both"/>
            <w:textAlignment w:val="baseline"/>
            <w:rPr>
              <w:bCs/>
              <w:szCs w:val="24"/>
              <w:lang w:eastAsia="lt-LT"/>
            </w:rPr>
          </w:pPr>
        </w:p>
        <w:p>
          <w:pPr>
            <w:tabs>
              <w:tab w:val="left" w:pos="993"/>
            </w:tabs>
            <w:suppressAutoHyphens/>
            <w:jc w:val="both"/>
            <w:textAlignment w:val="baseline"/>
            <w:rPr>
              <w:bCs/>
              <w:szCs w:val="24"/>
              <w:lang w:eastAsia="lt-LT"/>
            </w:rPr>
          </w:pPr>
        </w:p>
        <w:sdt>
          <w:sdtPr>
            <w:alias w:val="Pavadinimas"/>
            <w:tag w:val="title_48bbeb85cfef4727a18aed4f40a4cae5"/>
            <w:lock w:val="sdtLocked"/>
            <w:richText/>
          </w:sdtPr>
          <w:sdtContent>
            <w:p>
              <w:pPr>
                <w:tabs>
                  <w:tab w:val="left" w:pos="993"/>
                </w:tabs>
                <w:suppressAutoHyphens/>
                <w:ind w:firstLine="567"/>
                <w:jc w:val="center"/>
                <w:textAlignment w:val="baseline"/>
                <w:rPr>
                  <w:b/>
                  <w:bCs/>
                  <w:szCs w:val="24"/>
                  <w:lang w:eastAsia="zh-CN"/>
                </w:rPr>
              </w:pPr>
              <w:r>
                <w:rPr>
                  <w:b/>
                  <w:bCs/>
                  <w:szCs w:val="24"/>
                  <w:lang w:eastAsia="zh-CN"/>
                </w:rPr>
                <w:t>GARANTINIAM GERIAMOJO VANDENS TIEKIMO IR NUOTEKŲ TVARKYMO PASLAUGŲ UŽTIKRINIMUI MOKAMŲ ĮMOKŲ NAUDOJIMO</w:t>
              </w:r>
            </w:p>
            <w:p>
              <w:pPr>
                <w:tabs>
                  <w:tab w:val="left" w:pos="993"/>
                </w:tabs>
                <w:suppressAutoHyphens/>
                <w:ind w:firstLine="629"/>
                <w:jc w:val="center"/>
                <w:textAlignment w:val="baseline"/>
                <w:rPr>
                  <w:bCs/>
                  <w:szCs w:val="24"/>
                  <w:lang w:eastAsia="lt-LT"/>
                </w:rPr>
              </w:pPr>
              <w:r>
                <w:rPr>
                  <w:b/>
                  <w:bCs/>
                  <w:szCs w:val="24"/>
                  <w:lang w:eastAsia="zh-CN"/>
                </w:rPr>
                <w:t>TVARKOS APRAŠAS</w:t>
              </w:r>
            </w:p>
          </w:sdtContent>
        </w:sdt>
        <w:p>
          <w:pPr>
            <w:tabs>
              <w:tab w:val="left" w:pos="993"/>
            </w:tabs>
            <w:suppressAutoHyphens/>
            <w:ind w:firstLine="567"/>
            <w:jc w:val="both"/>
            <w:textAlignment w:val="baseline"/>
            <w:rPr>
              <w:bCs/>
              <w:szCs w:val="24"/>
              <w:lang w:eastAsia="lt-LT"/>
            </w:rPr>
          </w:pPr>
        </w:p>
        <w:p>
          <w:pPr>
            <w:tabs>
              <w:tab w:val="left" w:pos="993"/>
            </w:tabs>
            <w:suppressAutoHyphens/>
            <w:ind w:firstLine="567"/>
            <w:jc w:val="both"/>
            <w:textAlignment w:val="baseline"/>
            <w:rPr>
              <w:bCs/>
              <w:szCs w:val="24"/>
              <w:lang w:eastAsia="lt-LT"/>
            </w:rPr>
          </w:pPr>
        </w:p>
        <w:p>
          <w:pPr>
            <w:tabs>
              <w:tab w:val="left" w:pos="993"/>
            </w:tabs>
            <w:suppressAutoHyphens/>
            <w:ind w:firstLine="567"/>
            <w:jc w:val="both"/>
            <w:textAlignment w:val="baseline"/>
            <w:rPr>
              <w:bCs/>
              <w:szCs w:val="24"/>
              <w:lang w:eastAsia="lt-LT"/>
            </w:rPr>
          </w:pPr>
        </w:p>
        <w:sdt>
          <w:sdtPr>
            <w:alias w:val="skirsnis"/>
            <w:tag w:val="part_2ebca2066ce94a5db826beef9137aeaf"/>
            <w:lock w:val="sdtLocked"/>
            <w:richText/>
          </w:sdtPr>
          <w:sdtContent>
            <w:p>
              <w:pPr>
                <w:tabs>
                  <w:tab w:val="left" w:pos="993"/>
                </w:tabs>
                <w:suppressAutoHyphens/>
                <w:ind w:firstLine="567"/>
                <w:jc w:val="center"/>
                <w:textAlignment w:val="baseline"/>
                <w:rPr>
                  <w:b/>
                  <w:bCs/>
                  <w:szCs w:val="24"/>
                  <w:lang w:eastAsia="lt-LT"/>
                </w:rPr>
              </w:pPr>
              <w:sdt>
                <w:sdtPr>
                  <w:alias w:val="Pavadinimas"/>
                  <w:tag w:val="title_2ebca2066ce94a5db826beef9137aeaf"/>
                  <w:lock w:val="sdtLocked"/>
                  <w:richText/>
                </w:sdtPr>
                <w:sdtContent>
                  <w:r>
                    <w:rPr>
                      <w:b/>
                      <w:bCs/>
                      <w:color w:val="000000"/>
                      <w:szCs w:val="24"/>
                      <w:shd w:val="clear" w:color="auto" w:fill="FFFFFF"/>
                      <w:lang w:eastAsia="zh-CN"/>
                    </w:rPr>
                    <w:t>I SKYRIUS</w:t>
                  </w:r>
                  <w:r>
                    <w:rPr>
                      <w:b/>
                      <w:bCs/>
                      <w:color w:val="000000"/>
                      <w:szCs w:val="24"/>
                      <w:lang w:eastAsia="zh-CN"/>
                    </w:rPr>
                    <w:br/>
                  </w:r>
                  <w:r>
                    <w:rPr>
                      <w:b/>
                      <w:bCs/>
                      <w:color w:val="000000"/>
                      <w:szCs w:val="24"/>
                      <w:shd w:val="clear" w:color="auto" w:fill="FFFFFF"/>
                      <w:lang w:eastAsia="zh-CN"/>
                    </w:rPr>
                    <w:t xml:space="preserve">          BENDROSIOS NUOSTATOS</w:t>
                  </w:r>
                </w:sdtContent>
              </w:sdt>
            </w:p>
            <w:p>
              <w:pPr>
                <w:tabs>
                  <w:tab w:val="left" w:pos="993"/>
                </w:tabs>
                <w:suppressAutoHyphens/>
                <w:ind w:firstLine="567"/>
                <w:jc w:val="both"/>
                <w:textAlignment w:val="baseline"/>
                <w:rPr>
                  <w:szCs w:val="24"/>
                  <w:lang w:eastAsia="lt-LT"/>
                </w:rPr>
              </w:pPr>
            </w:p>
            <w:sdt>
              <w:sdtPr>
                <w:alias w:val="1 p."/>
                <w:tag w:val="part_d019565964a440a4be7cab07d8ca505f"/>
                <w:lock w:val="sdtLocked"/>
                <w:richText/>
              </w:sdtPr>
              <w:sdtContent>
                <w:p>
                  <w:pPr>
                    <w:suppressAutoHyphens/>
                    <w:ind w:left="142" w:firstLine="851"/>
                    <w:jc w:val="both"/>
                    <w:textAlignment w:val="baseline"/>
                    <w:rPr>
                      <w:rFonts w:eastAsia="Calibri"/>
                      <w:color w:val="000000"/>
                      <w:szCs w:val="24"/>
                      <w:lang w:eastAsia="lt-LT"/>
                    </w:rPr>
                  </w:pPr>
                  <w:sdt>
                    <w:sdtPr>
                      <w:alias w:val="Numeris"/>
                      <w:tag w:val="nr_d019565964a440a4be7cab07d8ca505f"/>
                      <w:lock w:val="sdtLocked"/>
                      <w:richText/>
                    </w:sdtPr>
                    <w:sdtContent>
                      <w:r>
                        <w:rPr>
                          <w:rFonts w:eastAsia="Calibri"/>
                          <w:color w:val="000000"/>
                          <w:szCs w:val="24"/>
                          <w:lang w:eastAsia="lt-LT"/>
                        </w:rPr>
                        <w:t>1</w:t>
                      </w:r>
                    </w:sdtContent>
                  </w:sdt>
                  <w:r>
                    <w:rPr>
                      <w:rFonts w:eastAsia="Calibri"/>
                      <w:color w:val="000000"/>
                      <w:szCs w:val="24"/>
                      <w:lang w:eastAsia="lt-LT"/>
                    </w:rPr>
                    <w:t>.</w:t>
                    <w:tab/>
                  </w:r>
                  <w:r>
                    <w:rPr>
                      <w:rFonts w:eastAsia="Calibri"/>
                      <w:color w:val="000000"/>
                      <w:szCs w:val="24"/>
                      <w:shd w:val="clear" w:color="auto" w:fill="FFFFFF"/>
                    </w:rPr>
                    <w:t>Garantiniam geriamojo vandens tiekimo ir nuotekų tvarkymo paslaugų užtikrinimui mokamų įmokų</w:t>
                  </w:r>
                  <w:r>
                    <w:rPr>
                      <w:color w:val="000000"/>
                      <w:szCs w:val="24"/>
                      <w:lang w:eastAsia="lt-LT"/>
                    </w:rPr>
                    <w:t xml:space="preserve"> (toliau</w:t>
                  </w:r>
                  <w:r>
                    <w:rPr>
                      <w:rFonts w:eastAsia="Calibri"/>
                      <w:color w:val="000000"/>
                      <w:szCs w:val="24"/>
                      <w:shd w:val="clear" w:color="auto" w:fill="FFFFFF"/>
                    </w:rPr>
                    <w:t xml:space="preserve"> – </w:t>
                  </w:r>
                  <w:r>
                    <w:rPr>
                      <w:color w:val="000000"/>
                      <w:szCs w:val="24"/>
                      <w:lang w:eastAsia="lt-LT"/>
                    </w:rPr>
                    <w:t>įmokos) naudojimo tvarkos apraš</w:t>
                  </w:r>
                  <w:r>
                    <w:rPr>
                      <w:rFonts w:eastAsia="Calibri"/>
                      <w:color w:val="000000"/>
                      <w:szCs w:val="24"/>
                      <w:lang w:eastAsia="lt-LT"/>
                    </w:rPr>
                    <w:t xml:space="preserve">as </w:t>
                  </w:r>
                  <w:r>
                    <w:rPr>
                      <w:rFonts w:eastAsia="Calibri"/>
                      <w:color w:val="000000"/>
                      <w:szCs w:val="24"/>
                      <w:shd w:val="clear" w:color="auto" w:fill="FFFFFF"/>
                    </w:rPr>
                    <w:t xml:space="preserve">(toliau – Aprašas) nustato garantiniam  geriamojo vandens tiekimo ir nuotekų tvarkymo paslaugų užtikrinimui (toliau – garantinis vandens tiekimas) </w:t>
                  </w:r>
                  <w:r>
                    <w:rPr>
                      <w:kern w:val="2"/>
                      <w:szCs w:val="24"/>
                    </w:rPr>
                    <w:t xml:space="preserve">viešųjų geriamojo vandens tiekėjų ir nuotekų tvarkytojų (toliau – </w:t>
                  </w:r>
                  <w:r>
                    <w:rPr>
                      <w:color w:val="000000"/>
                      <w:kern w:val="2"/>
                      <w:szCs w:val="24"/>
                    </w:rPr>
                    <w:t>viešasis vandens tiekėjas)</w:t>
                  </w:r>
                  <w:r>
                    <w:rPr>
                      <w:kern w:val="2"/>
                      <w:szCs w:val="24"/>
                    </w:rPr>
                    <w:t xml:space="preserve"> į garantinio geriamojo vandens tiekėjo ir nuotekų tvarkytojo</w:t>
                  </w:r>
                  <w:r>
                    <w:rPr>
                      <w:rFonts w:eastAsia="Calibri"/>
                      <w:color w:val="000000"/>
                      <w:szCs w:val="24"/>
                      <w:shd w:val="clear" w:color="auto" w:fill="FFFFFF"/>
                    </w:rPr>
                    <w:t xml:space="preserve"> (</w:t>
                  </w:r>
                  <w:r>
                    <w:rPr>
                      <w:kern w:val="2"/>
                      <w:szCs w:val="24"/>
                    </w:rPr>
                    <w:t>toliau – garantinis vandens tiekėjas</w:t>
                  </w:r>
                  <w:r>
                    <w:rPr>
                      <w:rFonts w:eastAsia="Calibri"/>
                      <w:color w:val="000000"/>
                      <w:szCs w:val="24"/>
                      <w:shd w:val="clear" w:color="auto" w:fill="FFFFFF"/>
                    </w:rPr>
                    <w:t>) sąskaitą, kurioje kaupiamos garantiniam geriamojo vandens tiekimo ir nuotekų tvarkymo paslaugų užtikrinimui mokamos įmokos,</w:t>
                  </w:r>
                  <w:r>
                    <w:rPr>
                      <w:kern w:val="2"/>
                      <w:szCs w:val="24"/>
                    </w:rPr>
                    <w:t xml:space="preserve"> įmokėtų įmokų </w:t>
                  </w:r>
                  <w:r>
                    <w:rPr>
                      <w:color w:val="000000"/>
                      <w:szCs w:val="24"/>
                      <w:lang w:eastAsia="lt-LT"/>
                    </w:rPr>
                    <w:t>naudojimo tvark</w:t>
                  </w:r>
                  <w:r>
                    <w:rPr>
                      <w:rFonts w:eastAsia="Calibri"/>
                      <w:color w:val="000000"/>
                      <w:szCs w:val="24"/>
                      <w:lang w:eastAsia="lt-LT"/>
                    </w:rPr>
                    <w:t xml:space="preserve">ą. </w:t>
                  </w:r>
                </w:p>
              </w:sdtContent>
            </w:sdt>
            <w:sdt>
              <w:sdtPr>
                <w:alias w:val="2 p."/>
                <w:tag w:val="part_472df4446d3740089e06fd02a87e78d2"/>
                <w:lock w:val="sdtLocked"/>
                <w:richText/>
              </w:sdtPr>
              <w:sdtContent>
                <w:p>
                  <w:pPr>
                    <w:suppressAutoHyphens/>
                    <w:ind w:left="142" w:firstLine="851"/>
                    <w:jc w:val="both"/>
                    <w:textAlignment w:val="baseline"/>
                    <w:rPr>
                      <w:rFonts w:eastAsia="Calibri"/>
                      <w:color w:val="000000"/>
                      <w:szCs w:val="24"/>
                      <w:lang w:eastAsia="lt-LT"/>
                    </w:rPr>
                  </w:pPr>
                  <w:sdt>
                    <w:sdtPr>
                      <w:alias w:val="Numeris"/>
                      <w:tag w:val="nr_472df4446d3740089e06fd02a87e78d2"/>
                      <w:lock w:val="sdtLocked"/>
                      <w:richText/>
                    </w:sdtPr>
                    <w:sdtContent>
                      <w:r>
                        <w:rPr>
                          <w:rFonts w:eastAsia="Calibri"/>
                          <w:color w:val="000000"/>
                          <w:szCs w:val="24"/>
                          <w:lang w:eastAsia="lt-LT"/>
                        </w:rPr>
                        <w:t>2</w:t>
                      </w:r>
                    </w:sdtContent>
                  </w:sdt>
                  <w:r>
                    <w:rPr>
                      <w:rFonts w:eastAsia="Calibri"/>
                      <w:color w:val="000000"/>
                      <w:szCs w:val="24"/>
                      <w:lang w:eastAsia="lt-LT"/>
                    </w:rPr>
                    <w:t>.</w:t>
                    <w:tab/>
                  </w:r>
                  <w:r>
                    <w:rPr>
                      <w:color w:val="000000"/>
                      <w:kern w:val="2"/>
                      <w:szCs w:val="24"/>
                      <w:shd w:val="clear" w:color="auto" w:fill="FFFFFF"/>
                    </w:rPr>
                    <w:t>Apraše</w:t>
                  </w:r>
                  <w:r>
                    <w:rPr>
                      <w:rFonts w:eastAsia="Calibri"/>
                      <w:color w:val="000000"/>
                      <w:szCs w:val="24"/>
                      <w:shd w:val="clear" w:color="auto" w:fill="FFFFFF"/>
                    </w:rPr>
                    <w:t xml:space="preserve"> vartojamos sąvokos </w:t>
                  </w:r>
                  <w:r>
                    <w:rPr>
                      <w:color w:val="000000"/>
                      <w:kern w:val="2"/>
                      <w:szCs w:val="24"/>
                      <w:shd w:val="clear" w:color="auto" w:fill="FFFFFF"/>
                    </w:rPr>
                    <w:t>suprantamos taip, kaip jos</w:t>
                  </w:r>
                  <w:r>
                    <w:rPr>
                      <w:rFonts w:eastAsia="Calibri"/>
                      <w:color w:val="000000"/>
                      <w:szCs w:val="24"/>
                      <w:shd w:val="clear" w:color="auto" w:fill="FFFFFF"/>
                    </w:rPr>
                    <w:t xml:space="preserve"> apibrėžtos arba vartojamos, Lietuvos Respublikos geriamojo vandens tiekimo ir nuotekų tvarkymo įstatyme (toliau – Įstatymas), Lietuvos Respublikos statybos įstatyme, </w:t>
                  </w:r>
                  <w:r>
                    <w:rPr>
                      <w:color w:val="000000"/>
                      <w:kern w:val="2"/>
                      <w:szCs w:val="24"/>
                      <w:shd w:val="clear" w:color="auto" w:fill="FFFFFF"/>
                    </w:rPr>
                    <w:t>Lietuvos Respublikos pirkimų, atliekamų vandentvarkos, energetikos, transporto ar pašto paslaugų srities perkančiųjų subjektų, įstatyme (toliau – Pirkimų įstatymas)</w:t>
                  </w:r>
                  <w:r>
                    <w:rPr>
                      <w:rFonts w:eastAsia="Calibri"/>
                      <w:color w:val="000000"/>
                      <w:szCs w:val="24"/>
                      <w:shd w:val="clear" w:color="auto" w:fill="FFFFFF"/>
                    </w:rPr>
                    <w:t>.</w:t>
                  </w:r>
                </w:p>
                <w:p>
                  <w:pPr>
                    <w:tabs>
                      <w:tab w:val="left" w:pos="993"/>
                    </w:tabs>
                    <w:suppressAutoHyphens/>
                    <w:ind w:left="284"/>
                    <w:jc w:val="both"/>
                    <w:textAlignment w:val="baseline"/>
                    <w:rPr>
                      <w:color w:val="000000"/>
                      <w:szCs w:val="24"/>
                      <w:lang w:eastAsia="zh-CN"/>
                    </w:rPr>
                  </w:pPr>
                </w:p>
              </w:sdtContent>
            </w:sdt>
          </w:sdtContent>
        </w:sdt>
        <w:sdt>
          <w:sdtPr>
            <w:alias w:val="skyrius"/>
            <w:tag w:val="part_558e83f5c6784140a3b670825b61f7aa"/>
            <w:lock w:val="sdtLocked"/>
            <w:richText/>
          </w:sdtPr>
          <w:sdtContent>
            <w:p>
              <w:pPr>
                <w:shd w:val="clear" w:color="auto" w:fill="FFFFFF"/>
                <w:jc w:val="center"/>
                <w:rPr>
                  <w:color w:val="000000"/>
                  <w:szCs w:val="24"/>
                  <w:lang w:eastAsia="lt-LT"/>
                </w:rPr>
              </w:pPr>
              <w:sdt>
                <w:sdtPr>
                  <w:alias w:val="Numeris"/>
                  <w:tag w:val="nr_558e83f5c6784140a3b670825b61f7aa"/>
                  <w:lock w:val="sdtLocked"/>
                  <w:richText/>
                </w:sdtPr>
                <w:sdtContent>
                  <w:r>
                    <w:rPr>
                      <w:b/>
                      <w:bCs/>
                      <w:color w:val="000000"/>
                      <w:szCs w:val="24"/>
                      <w:lang w:eastAsia="lt-LT"/>
                    </w:rPr>
                    <w:t>II</w:t>
                  </w:r>
                </w:sdtContent>
              </w:sdt>
              <w:r>
                <w:rPr>
                  <w:b/>
                  <w:bCs/>
                  <w:color w:val="000000"/>
                  <w:szCs w:val="24"/>
                  <w:lang w:eastAsia="lt-LT"/>
                </w:rPr>
                <w:t xml:space="preserve"> SKYRIUS</w:t>
              </w:r>
            </w:p>
            <w:p>
              <w:pPr>
                <w:shd w:val="clear" w:color="auto" w:fill="FFFFFF"/>
                <w:jc w:val="center"/>
                <w:rPr>
                  <w:b/>
                  <w:bCs/>
                  <w:color w:val="000000"/>
                  <w:szCs w:val="24"/>
                  <w:lang w:eastAsia="lt-LT"/>
                </w:rPr>
              </w:pPr>
              <w:sdt>
                <w:sdtPr>
                  <w:alias w:val="Pavadinimas"/>
                  <w:tag w:val="title_558e83f5c6784140a3b670825b61f7aa"/>
                  <w:lock w:val="sdtLocked"/>
                  <w:richText/>
                </w:sdtPr>
                <w:sdtContent>
                  <w:r>
                    <w:rPr>
                      <w:b/>
                      <w:bCs/>
                      <w:color w:val="000000"/>
                      <w:szCs w:val="24"/>
                      <w:lang w:eastAsia="lt-LT"/>
                    </w:rPr>
                    <w:t>ĮMOKŲ LĖŠŲ KAUPIMAS IR APSAUGA</w:t>
                  </w:r>
                </w:sdtContent>
              </w:sdt>
            </w:p>
            <w:p>
              <w:pPr>
                <w:shd w:val="clear" w:color="auto" w:fill="FFFFFF"/>
                <w:jc w:val="center"/>
                <w:rPr>
                  <w:b/>
                  <w:bCs/>
                  <w:color w:val="000000"/>
                  <w:szCs w:val="24"/>
                  <w:lang w:eastAsia="lt-LT"/>
                </w:rPr>
              </w:pPr>
            </w:p>
            <w:p>
              <w:pPr>
                <w:shd w:val="clear" w:color="auto" w:fill="FFFFFF"/>
                <w:ind w:firstLine="720"/>
                <w:jc w:val="both"/>
                <w:rPr>
                  <w:szCs w:val="24"/>
                  <w:shd w:val="clear" w:color="auto" w:fill="FFFFFF"/>
                  <w:lang w:eastAsia="lt-LT"/>
                </w:rPr>
              </w:pPr>
            </w:p>
            <w:sdt>
              <w:sdtPr>
                <w:alias w:val="3 p."/>
                <w:tag w:val="part_6c68e046407746b7ae5d677a7db1ee95"/>
                <w:lock w:val="sdtLocked"/>
                <w:richText/>
              </w:sdtPr>
              <w:sdtContent>
                <w:p>
                  <w:pPr>
                    <w:shd w:val="clear" w:color="auto" w:fill="FFFFFF"/>
                    <w:suppressAutoHyphens/>
                    <w:ind w:left="284" w:firstLine="850"/>
                    <w:jc w:val="both"/>
                    <w:rPr>
                      <w:szCs w:val="24"/>
                      <w:lang w:eastAsia="lt-LT"/>
                    </w:rPr>
                  </w:pPr>
                  <w:sdt>
                    <w:sdtPr>
                      <w:alias w:val="Numeris"/>
                      <w:tag w:val="nr_6c68e046407746b7ae5d677a7db1ee95"/>
                      <w:lock w:val="sdtLocked"/>
                      <w:richText/>
                    </w:sdtPr>
                    <w:sdtContent>
                      <w:r>
                        <w:rPr>
                          <w:rFonts w:eastAsia="Calibri"/>
                          <w:szCs w:val="24"/>
                          <w:shd w:val="clear" w:color="auto" w:fill="FFFFFF"/>
                        </w:rPr>
                        <w:t>3</w:t>
                      </w:r>
                    </w:sdtContent>
                  </w:sdt>
                  <w:r>
                    <w:rPr>
                      <w:rFonts w:eastAsia="Calibri"/>
                      <w:szCs w:val="24"/>
                      <w:shd w:val="clear" w:color="auto" w:fill="FFFFFF"/>
                    </w:rPr>
                    <w:t xml:space="preserve">. Garantiniam geriamojo vandens </w:t>
                  </w:r>
                  <w:r>
                    <w:rPr>
                      <w:kern w:val="2"/>
                      <w:szCs w:val="24"/>
                    </w:rPr>
                    <w:t xml:space="preserve">tiekimo </w:t>
                  </w:r>
                  <w:r>
                    <w:rPr>
                      <w:rFonts w:eastAsia="Calibri"/>
                      <w:szCs w:val="24"/>
                      <w:shd w:val="clear" w:color="auto" w:fill="FFFFFF"/>
                    </w:rPr>
                    <w:t xml:space="preserve">ir nuotekų </w:t>
                  </w:r>
                  <w:r>
                    <w:rPr>
                      <w:kern w:val="2"/>
                      <w:szCs w:val="24"/>
                    </w:rPr>
                    <w:t>tvarkymo</w:t>
                  </w:r>
                  <w:r>
                    <w:rPr>
                      <w:rFonts w:eastAsia="Calibri"/>
                      <w:szCs w:val="24"/>
                      <w:shd w:val="clear" w:color="auto" w:fill="FFFFFF"/>
                    </w:rPr>
                    <w:t xml:space="preserve"> paslaugų užtikrinimui mokamų įmokų lėšos naudojamos </w:t>
                  </w:r>
                  <w:r>
                    <w:rPr>
                      <w:kern w:val="2"/>
                      <w:szCs w:val="24"/>
                    </w:rPr>
                    <w:t>geriamojo vandens tiekimo ir nuotekų tvarkymo paslaugų tęstinumui užtikrinti</w:t>
                  </w:r>
                  <w:r>
                    <w:rPr>
                      <w:kern w:val="2"/>
                      <w:szCs w:val="24"/>
                      <w:shd w:val="clear" w:color="auto" w:fill="FFFFFF"/>
                    </w:rPr>
                    <w:t>, kai viešajam vandens tiekėjui jo veiklos teritorijoje panaikinamas licencijos galiojimas. </w:t>
                  </w:r>
                </w:p>
              </w:sdtContent>
            </w:sdt>
            <w:sdt>
              <w:sdtPr>
                <w:alias w:val="4 p."/>
                <w:tag w:val="part_efebd2e8164c4049afb0acb8476f3e4e"/>
                <w:lock w:val="sdtLocked"/>
                <w:richText/>
              </w:sdtPr>
              <w:sdtContent>
                <w:p>
                  <w:pPr>
                    <w:shd w:val="clear" w:color="auto" w:fill="FFFFFF"/>
                    <w:suppressAutoHyphens/>
                    <w:ind w:left="284" w:firstLine="850"/>
                    <w:jc w:val="both"/>
                    <w:rPr>
                      <w:szCs w:val="24"/>
                      <w:lang w:eastAsia="lt-LT"/>
                    </w:rPr>
                  </w:pPr>
                  <w:sdt>
                    <w:sdtPr>
                      <w:alias w:val="Numeris"/>
                      <w:tag w:val="nr_efebd2e8164c4049afb0acb8476f3e4e"/>
                      <w:lock w:val="sdtLocked"/>
                      <w:richText/>
                    </w:sdtPr>
                    <w:sdtContent>
                      <w:r>
                        <w:rPr>
                          <w:rFonts w:eastAsia="Calibri"/>
                          <w:szCs w:val="24"/>
                          <w:shd w:val="clear" w:color="auto" w:fill="FFFFFF"/>
                        </w:rPr>
                        <w:t>4</w:t>
                      </w:r>
                    </w:sdtContent>
                  </w:sdt>
                  <w:r>
                    <w:rPr>
                      <w:rFonts w:eastAsia="Calibri"/>
                      <w:szCs w:val="24"/>
                      <w:shd w:val="clear" w:color="auto" w:fill="FFFFFF"/>
                    </w:rPr>
                    <w:t>. Garantinį</w:t>
                  </w:r>
                  <w:r>
                    <w:rPr>
                      <w:kern w:val="2"/>
                      <w:szCs w:val="24"/>
                    </w:rPr>
                    <w:t xml:space="preserve"> geriamojo vandens tiekimą ir nuotekų tvarkymą vykdo Įstatymo 15 straipsnio </w:t>
                  </w:r>
                  <w:r>
                    <w:rPr>
                      <w:kern w:val="2"/>
                      <w:szCs w:val="24"/>
                      <w:lang w:val="en-US"/>
                    </w:rPr>
                    <w:t xml:space="preserve">10 </w:t>
                  </w:r>
                  <w:r>
                    <w:rPr>
                      <w:color w:val="000000"/>
                      <w:kern w:val="2"/>
                      <w:szCs w:val="24"/>
                      <w:shd w:val="clear" w:color="auto" w:fill="FFFFFF"/>
                    </w:rPr>
                    <w:t>dalyje nustatyta tvarka</w:t>
                  </w:r>
                  <w:r>
                    <w:rPr>
                      <w:kern w:val="2"/>
                      <w:szCs w:val="24"/>
                    </w:rPr>
                    <w:t xml:space="preserve"> paskirtas </w:t>
                  </w:r>
                  <w:r>
                    <w:rPr>
                      <w:kern w:val="2"/>
                      <w:szCs w:val="24"/>
                      <w:shd w:val="clear" w:color="auto" w:fill="FFFFFF"/>
                    </w:rPr>
                    <w:t>garantinis vandens tiekėjas, kai viešajam vandens tiekėjui jo veiklos teritorijoje panaikinamas licencijos galiojimas.</w:t>
                  </w:r>
                </w:p>
              </w:sdtContent>
            </w:sdt>
            <w:sdt>
              <w:sdtPr>
                <w:alias w:val="5 p."/>
                <w:tag w:val="part_d838cd8b8dd14ce6a121a3683ebf6bd3"/>
                <w:lock w:val="sdtLocked"/>
                <w:richText/>
              </w:sdtPr>
              <w:sdtContent>
                <w:p>
                  <w:pPr>
                    <w:shd w:val="clear" w:color="auto" w:fill="FFFFFF"/>
                    <w:suppressAutoHyphens/>
                    <w:ind w:left="284" w:firstLine="850"/>
                    <w:jc w:val="both"/>
                    <w:rPr>
                      <w:rFonts w:eastAsia="Calibri"/>
                      <w:color w:val="000000"/>
                      <w:szCs w:val="24"/>
                      <w:lang w:eastAsia="lt-LT"/>
                    </w:rPr>
                  </w:pPr>
                  <w:sdt>
                    <w:sdtPr>
                      <w:alias w:val="Numeris"/>
                      <w:tag w:val="nr_d838cd8b8dd14ce6a121a3683ebf6bd3"/>
                      <w:lock w:val="sdtLocked"/>
                      <w:richText/>
                    </w:sdtPr>
                    <w:sdtContent>
                      <w:r>
                        <w:rPr>
                          <w:kern w:val="2"/>
                          <w:szCs w:val="24"/>
                        </w:rPr>
                        <w:t>5</w:t>
                      </w:r>
                    </w:sdtContent>
                  </w:sdt>
                  <w:r>
                    <w:rPr>
                      <w:kern w:val="2"/>
                      <w:szCs w:val="24"/>
                    </w:rPr>
                    <w:t xml:space="preserve">. Viešojo geriamojo vandens tiekimo ir nuotekų tvarkymo </w:t>
                  </w:r>
                  <w:r>
                    <w:rPr>
                      <w:color w:val="000000"/>
                      <w:kern w:val="2"/>
                      <w:szCs w:val="24"/>
                      <w:shd w:val="clear" w:color="auto" w:fill="FFFFFF"/>
                    </w:rPr>
                    <w:t>regione esantys viešieji vandens tiekėjai</w:t>
                  </w:r>
                  <w:r>
                    <w:rPr>
                      <w:color w:val="000000"/>
                      <w:szCs w:val="24"/>
                      <w:lang w:eastAsia="lt-LT"/>
                    </w:rPr>
                    <w:t xml:space="preserve"> įmokas į garantinio vandens tiekėjo raštu nurodytą </w:t>
                  </w:r>
                  <w:r>
                    <w:rPr>
                      <w:rFonts w:eastAsia="Calibri"/>
                      <w:color w:val="000000"/>
                      <w:szCs w:val="24"/>
                      <w:shd w:val="clear" w:color="auto" w:fill="FFFFFF"/>
                      <w:lang w:val="en-US"/>
                    </w:rPr>
                    <w:t xml:space="preserve">banko </w:t>
                  </w:r>
                  <w:r>
                    <w:rPr>
                      <w:color w:val="000000"/>
                      <w:kern w:val="2"/>
                      <w:szCs w:val="24"/>
                      <w:shd w:val="clear" w:color="auto" w:fill="FFFFFF"/>
                    </w:rPr>
                    <w:t>ar kitos kredito įstaigos</w:t>
                  </w:r>
                  <w:r>
                    <w:rPr>
                      <w:color w:val="000000"/>
                      <w:szCs w:val="24"/>
                      <w:lang w:eastAsia="lt-LT"/>
                    </w:rPr>
                    <w:t xml:space="preserve"> sąskaitą (toliau</w:t>
                  </w:r>
                  <w:r>
                    <w:rPr>
                      <w:rFonts w:eastAsia="Calibri"/>
                      <w:color w:val="000000"/>
                      <w:szCs w:val="24"/>
                      <w:shd w:val="clear" w:color="auto" w:fill="FFFFFF"/>
                    </w:rPr>
                    <w:t xml:space="preserve"> – </w:t>
                  </w:r>
                  <w:r>
                    <w:rPr>
                      <w:color w:val="000000"/>
                      <w:szCs w:val="24"/>
                      <w:lang w:eastAsia="lt-LT"/>
                    </w:rPr>
                    <w:t xml:space="preserve">sąskaita) perveda </w:t>
                  </w:r>
                  <w:r>
                    <w:rPr>
                      <w:color w:val="000000"/>
                      <w:kern w:val="2"/>
                      <w:szCs w:val="24"/>
                      <w:shd w:val="clear" w:color="auto" w:fill="FFFFFF"/>
                    </w:rPr>
                    <w:t xml:space="preserve">kiekvieną kalendorinių metų ketvirtį, bet ne vėliau kaip iki kito </w:t>
                  </w:r>
                  <w:r>
                    <w:rPr>
                      <w:kern w:val="2"/>
                      <w:szCs w:val="24"/>
                    </w:rPr>
                    <w:t>ketvirčio pirmojo mėnesio paskutinės dienos,</w:t>
                  </w:r>
                  <w:r>
                    <w:rPr>
                      <w:color w:val="000000"/>
                      <w:kern w:val="2"/>
                      <w:szCs w:val="24"/>
                      <w:shd w:val="clear" w:color="auto" w:fill="FFFFFF"/>
                    </w:rPr>
                    <w:t xml:space="preserve"> nuo garantinio vandens tiekėjo paskyrimo dienos</w:t>
                  </w:r>
                  <w:r>
                    <w:rPr>
                      <w:color w:val="000000"/>
                      <w:szCs w:val="24"/>
                      <w:lang w:eastAsia="lt-LT"/>
                    </w:rPr>
                    <w:t>.</w:t>
                  </w:r>
                </w:p>
              </w:sdtContent>
            </w:sdt>
            <w:sdt>
              <w:sdtPr>
                <w:alias w:val="6 p."/>
                <w:tag w:val="part_20f67c571967419bbf864a102d855609"/>
                <w:lock w:val="sdtLocked"/>
                <w:richText/>
              </w:sdtPr>
              <w:sdtContent>
                <w:p>
                  <w:pPr>
                    <w:shd w:val="clear" w:color="auto" w:fill="FFFFFF"/>
                    <w:suppressAutoHyphens/>
                    <w:ind w:left="284" w:firstLine="850"/>
                    <w:jc w:val="both"/>
                    <w:rPr>
                      <w:b/>
                      <w:bCs/>
                      <w:color w:val="000000"/>
                      <w:szCs w:val="24"/>
                      <w:lang w:val="en-US" w:eastAsia="lt-LT"/>
                    </w:rPr>
                  </w:pPr>
                  <w:sdt>
                    <w:sdtPr>
                      <w:alias w:val="Numeris"/>
                      <w:tag w:val="nr_20f67c571967419bbf864a102d855609"/>
                      <w:lock w:val="sdtLocked"/>
                      <w:richText/>
                    </w:sdtPr>
                    <w:sdtContent>
                      <w:r>
                        <w:rPr>
                          <w:rFonts w:eastAsia="Calibri"/>
                          <w:color w:val="000000"/>
                          <w:szCs w:val="24"/>
                          <w:lang w:val="en-US" w:eastAsia="lt-LT"/>
                        </w:rPr>
                        <w:t>6</w:t>
                      </w:r>
                    </w:sdtContent>
                  </w:sdt>
                  <w:r>
                    <w:rPr>
                      <w:rFonts w:eastAsia="Calibri"/>
                      <w:color w:val="000000"/>
                      <w:szCs w:val="24"/>
                      <w:lang w:val="en-US" w:eastAsia="lt-LT"/>
                    </w:rPr>
                    <w:t>.</w:t>
                  </w:r>
                  <w:r>
                    <w:rPr>
                      <w:rFonts w:eastAsia="Calibri"/>
                      <w:color w:val="000000"/>
                      <w:szCs w:val="24"/>
                      <w:lang w:eastAsia="lt-LT"/>
                    </w:rPr>
                    <w:t xml:space="preserve"> Sąskaita atidaroma per vieną mėnesį nuo paskyrimo garantiniu vandens tiekėju dienos, per 5 darbo dienas nuo nurodytos sąskaitos atidarymo garantinis vandens tiekėjas raštu informuoja jo teritorijoje esančius viešuosius vandens tiekėjus apie sąskaitos atidarymą, nurodo jos numerį. </w:t>
                  </w:r>
                </w:p>
              </w:sdtContent>
            </w:sdt>
            <w:sdt>
              <w:sdtPr>
                <w:alias w:val="7 p."/>
                <w:tag w:val="part_3a818ed5fd644fd180fd5203c952407b"/>
                <w:lock w:val="sdtLocked"/>
                <w:richText/>
              </w:sdtPr>
              <w:sdtContent>
                <w:p>
                  <w:pPr>
                    <w:shd w:val="clear" w:color="auto" w:fill="FFFFFF"/>
                    <w:suppressAutoHyphens/>
                    <w:ind w:left="284" w:firstLine="850"/>
                    <w:jc w:val="both"/>
                    <w:rPr>
                      <w:color w:val="000000"/>
                      <w:kern w:val="2"/>
                      <w:szCs w:val="24"/>
                      <w:shd w:val="clear" w:color="auto" w:fill="FFFFFF"/>
                    </w:rPr>
                  </w:pPr>
                  <w:sdt>
                    <w:sdtPr>
                      <w:alias w:val="Numeris"/>
                      <w:tag w:val="nr_3a818ed5fd644fd180fd5203c952407b"/>
                      <w:lock w:val="sdtLocked"/>
                      <w:richText/>
                    </w:sdtPr>
                    <w:sdtContent>
                      <w:r>
                        <w:rPr>
                          <w:color w:val="000000"/>
                          <w:kern w:val="2"/>
                          <w:szCs w:val="24"/>
                          <w:shd w:val="clear" w:color="auto" w:fill="FFFFFF"/>
                        </w:rPr>
                        <w:t>7</w:t>
                      </w:r>
                    </w:sdtContent>
                  </w:sdt>
                  <w:r>
                    <w:rPr>
                      <w:color w:val="000000"/>
                      <w:kern w:val="2"/>
                      <w:szCs w:val="24"/>
                      <w:shd w:val="clear" w:color="auto" w:fill="FFFFFF"/>
                    </w:rPr>
                    <w:t xml:space="preserve">. Garantinio vandens tiekėjo tvarkomos sąskaitos lėšas sudaro </w:t>
                  </w:r>
                  <w:r>
                    <w:rPr>
                      <w:color w:val="000000"/>
                      <w:szCs w:val="24"/>
                      <w:shd w:val="clear" w:color="auto" w:fill="FFFFFF"/>
                      <w:lang w:eastAsia="lt-LT"/>
                    </w:rPr>
                    <w:t>geriamojo vandens tiekimo ir nuotekų tvarkymo paslaugų užtikrinimui mokamos įmokos.</w:t>
                  </w:r>
                </w:p>
              </w:sdtContent>
            </w:sdt>
            <w:sdt>
              <w:sdtPr>
                <w:alias w:val="8 p."/>
                <w:tag w:val="part_5958a99dc1dc47bb82f5a791ae449794"/>
                <w:lock w:val="sdtLocked"/>
                <w:richText/>
              </w:sdtPr>
              <w:sdtContent>
                <w:p>
                  <w:pPr>
                    <w:shd w:val="clear" w:color="auto" w:fill="FFFFFF"/>
                    <w:suppressAutoHyphens/>
                    <w:ind w:left="284" w:firstLine="850"/>
                    <w:jc w:val="both"/>
                    <w:rPr>
                      <w:color w:val="000000"/>
                      <w:szCs w:val="24"/>
                      <w:shd w:val="clear" w:color="auto" w:fill="FFFFFF"/>
                      <w:lang w:eastAsia="lt-LT"/>
                    </w:rPr>
                  </w:pPr>
                  <w:sdt>
                    <w:sdtPr>
                      <w:alias w:val="Numeris"/>
                      <w:tag w:val="nr_5958a99dc1dc47bb82f5a791ae449794"/>
                      <w:lock w:val="sdtLocked"/>
                      <w:richText/>
                    </w:sdtPr>
                    <w:sdtContent>
                      <w:r>
                        <w:rPr>
                          <w:color w:val="000000"/>
                          <w:kern w:val="2"/>
                          <w:szCs w:val="24"/>
                          <w:shd w:val="clear" w:color="auto" w:fill="FFFFFF"/>
                          <w:lang w:val="en-US"/>
                        </w:rPr>
                        <w:t>8</w:t>
                      </w:r>
                    </w:sdtContent>
                  </w:sdt>
                  <w:r>
                    <w:rPr>
                      <w:color w:val="000000"/>
                      <w:kern w:val="2"/>
                      <w:szCs w:val="24"/>
                      <w:shd w:val="clear" w:color="auto" w:fill="FFFFFF"/>
                      <w:lang w:val="en-US"/>
                    </w:rPr>
                    <w:t xml:space="preserve">. </w:t>
                  </w:r>
                  <w:r>
                    <w:rPr>
                      <w:color w:val="000000"/>
                      <w:kern w:val="2"/>
                      <w:szCs w:val="24"/>
                      <w:shd w:val="clear" w:color="auto" w:fill="FFFFFF"/>
                    </w:rPr>
                    <w:t xml:space="preserve">Įmokų lėšoms kaupti </w:t>
                  </w:r>
                  <w:r>
                    <w:rPr>
                      <w:kern w:val="2"/>
                      <w:szCs w:val="24"/>
                    </w:rPr>
                    <w:t>garantinis vandens tiekėjas</w:t>
                  </w:r>
                  <w:r>
                    <w:rPr>
                      <w:color w:val="000000"/>
                      <w:kern w:val="2"/>
                      <w:szCs w:val="24"/>
                      <w:shd w:val="clear" w:color="auto" w:fill="FFFFFF"/>
                    </w:rPr>
                    <w:t xml:space="preserve"> atidaro ir tvarko atskirą kaupiamųjų lėšų sąskaitą banke ar kitoje kredito įstaigoje. Vadovaudamasis Lietuvos Respublikos indėlių ir įsipareigojimų investuotojams draudimo įstatymu, </w:t>
                  </w:r>
                  <w:r>
                    <w:rPr>
                      <w:kern w:val="2"/>
                      <w:szCs w:val="24"/>
                    </w:rPr>
                    <w:t>garantinis vandens tiekėjas</w:t>
                  </w:r>
                  <w:r>
                    <w:rPr>
                      <w:rFonts w:eastAsia="Calibri"/>
                      <w:color w:val="000000"/>
                      <w:szCs w:val="24"/>
                      <w:shd w:val="clear" w:color="auto" w:fill="FFFFFF"/>
                    </w:rPr>
                    <w:t xml:space="preserve">, </w:t>
                  </w:r>
                  <w:r>
                    <w:rPr>
                      <w:color w:val="000000"/>
                      <w:kern w:val="2"/>
                      <w:szCs w:val="24"/>
                      <w:shd w:val="clear" w:color="auto" w:fill="FFFFFF"/>
                    </w:rPr>
                    <w:t>administruodamas kaupiamųjų lėšų sąskaitoje esančias lėšas, veikia kaip indėlininkas.</w:t>
                  </w:r>
                </w:p>
              </w:sdtContent>
            </w:sdt>
            <w:sdt>
              <w:sdtPr>
                <w:alias w:val="9 p."/>
                <w:tag w:val="part_b809ac6e3e7b4e90919fa2038bda0ead"/>
                <w:lock w:val="sdtLocked"/>
                <w:richText/>
              </w:sdtPr>
              <w:sdtContent>
                <w:p>
                  <w:pPr>
                    <w:shd w:val="clear" w:color="auto" w:fill="FFFFFF"/>
                    <w:suppressAutoHyphens/>
                    <w:ind w:left="284" w:firstLine="850"/>
                    <w:jc w:val="both"/>
                    <w:rPr>
                      <w:color w:val="000000"/>
                      <w:kern w:val="2"/>
                      <w:szCs w:val="24"/>
                      <w:shd w:val="clear" w:color="auto" w:fill="FFFFFF"/>
                      <w:lang w:val="en-US"/>
                    </w:rPr>
                  </w:pPr>
                  <w:sdt>
                    <w:sdtPr>
                      <w:alias w:val="Numeris"/>
                      <w:tag w:val="nr_b809ac6e3e7b4e90919fa2038bda0ead"/>
                      <w:lock w:val="sdtLocked"/>
                      <w:richText/>
                    </w:sdtPr>
                    <w:sdtContent>
                      <w:r>
                        <w:rPr>
                          <w:color w:val="000000"/>
                          <w:kern w:val="2"/>
                          <w:szCs w:val="24"/>
                          <w:shd w:val="clear" w:color="auto" w:fill="FFFFFF"/>
                        </w:rPr>
                        <w:t>9</w:t>
                      </w:r>
                    </w:sdtContent>
                  </w:sdt>
                  <w:r>
                    <w:rPr>
                      <w:color w:val="000000"/>
                      <w:kern w:val="2"/>
                      <w:szCs w:val="24"/>
                      <w:shd w:val="clear" w:color="auto" w:fill="FFFFFF"/>
                    </w:rPr>
                    <w:t xml:space="preserve">. Sukauptos įmokų lėšos naudojamos pagal paskirtį, nurodytą Aprašo </w:t>
                  </w:r>
                  <w:r>
                    <w:rPr>
                      <w:color w:val="000000"/>
                      <w:kern w:val="2"/>
                      <w:szCs w:val="24"/>
                      <w:shd w:val="clear" w:color="auto" w:fill="FFFFFF"/>
                      <w:lang w:val="en-US"/>
                    </w:rPr>
                    <w:t>12, 13 ir 14 punktuose.</w:t>
                  </w:r>
                </w:p>
              </w:sdtContent>
            </w:sdt>
            <w:sdt>
              <w:sdtPr>
                <w:alias w:val="10 p."/>
                <w:tag w:val="part_98ff35f948094fdb994d12a3b0a24375"/>
                <w:lock w:val="sdtLocked"/>
                <w:richText/>
              </w:sdtPr>
              <w:sdtContent>
                <w:p>
                  <w:pPr>
                    <w:shd w:val="clear" w:color="auto" w:fill="FFFFFF"/>
                    <w:suppressAutoHyphens/>
                    <w:ind w:left="284" w:firstLine="709"/>
                    <w:jc w:val="both"/>
                    <w:rPr>
                      <w:color w:val="000000"/>
                      <w:kern w:val="2"/>
                      <w:szCs w:val="24"/>
                      <w:shd w:val="clear" w:color="auto" w:fill="FFFFFF"/>
                      <w:lang w:val="en-US"/>
                    </w:rPr>
                  </w:pPr>
                  <w:sdt>
                    <w:sdtPr>
                      <w:alias w:val="Numeris"/>
                      <w:tag w:val="nr_98ff35f948094fdb994d12a3b0a24375"/>
                      <w:lock w:val="sdtLocked"/>
                      <w:richText/>
                    </w:sdtPr>
                    <w:sdtContent>
                      <w:r>
                        <w:rPr>
                          <w:color w:val="000000"/>
                          <w:kern w:val="2"/>
                          <w:szCs w:val="24"/>
                          <w:shd w:val="clear" w:color="auto" w:fill="FFFFFF"/>
                        </w:rPr>
                        <w:t>10</w:t>
                      </w:r>
                    </w:sdtContent>
                  </w:sdt>
                  <w:r>
                    <w:rPr>
                      <w:color w:val="000000"/>
                      <w:kern w:val="2"/>
                      <w:szCs w:val="24"/>
                      <w:shd w:val="clear" w:color="auto" w:fill="FFFFFF"/>
                    </w:rPr>
                    <w:t>. Įmokų lėšų panaudojimas turi būti pagrįstas išlaidų apmokėjimo dokumentais, išlaidų apmokėjimą pagrindžiantys dokumentai: banko arba kitos kredito įstaigos sąskaitos išrašai, kasos pajamų ir išlaidų orderiai ir (ar) kiti dokumentai, kuriais įrodoma, kad pagal išlaidų pagrindimo dokumentus buvo atliktas mokėjimas; rangovų, paslaugų teikėjų ar prekių tiekėjų pateiktos sąskaitos faktūros, perdavimo aktai, darbo užmokesčio apskaitos dokumentai, dokumentai, kuriais pagrindžiamos patirtos išlaidos.</w:t>
                  </w:r>
                </w:p>
                <w:p>
                  <w:pPr>
                    <w:shd w:val="clear" w:color="auto" w:fill="FFFFFF"/>
                    <w:ind w:left="284"/>
                    <w:jc w:val="center"/>
                    <w:rPr>
                      <w:rFonts w:eastAsia="Calibri"/>
                      <w:color w:val="000000"/>
                      <w:szCs w:val="24"/>
                      <w:lang w:eastAsia="lt-LT"/>
                    </w:rPr>
                  </w:pPr>
                </w:p>
              </w:sdtContent>
            </w:sdt>
          </w:sdtContent>
        </w:sdt>
        <w:sdt>
          <w:sdtPr>
            <w:alias w:val="skyrius"/>
            <w:tag w:val="part_8dd5c4a1b91947a1903b8c8d937e54c6"/>
            <w:lock w:val="sdtLocked"/>
            <w:richText/>
          </w:sdtPr>
          <w:sdtContent>
            <w:p>
              <w:pPr>
                <w:shd w:val="clear" w:color="auto" w:fill="FFFFFF"/>
                <w:ind w:left="284"/>
                <w:jc w:val="center"/>
                <w:rPr>
                  <w:color w:val="000000"/>
                  <w:szCs w:val="24"/>
                  <w:lang w:eastAsia="lt-LT"/>
                </w:rPr>
              </w:pPr>
              <w:sdt>
                <w:sdtPr>
                  <w:alias w:val="Numeris"/>
                  <w:tag w:val="nr_8dd5c4a1b91947a1903b8c8d937e54c6"/>
                  <w:lock w:val="sdtLocked"/>
                  <w:richText/>
                </w:sdtPr>
                <w:sdtContent>
                  <w:r>
                    <w:rPr>
                      <w:b/>
                      <w:bCs/>
                      <w:color w:val="000000"/>
                      <w:szCs w:val="24"/>
                      <w:lang w:eastAsia="lt-LT"/>
                    </w:rPr>
                    <w:t>III</w:t>
                  </w:r>
                </w:sdtContent>
              </w:sdt>
              <w:r>
                <w:rPr>
                  <w:b/>
                  <w:bCs/>
                  <w:color w:val="000000"/>
                  <w:szCs w:val="24"/>
                  <w:lang w:eastAsia="lt-LT"/>
                </w:rPr>
                <w:t xml:space="preserve"> SKYRIUS</w:t>
              </w:r>
            </w:p>
            <w:p>
              <w:pPr>
                <w:shd w:val="clear" w:color="auto" w:fill="FFFFFF"/>
                <w:ind w:left="284"/>
                <w:jc w:val="center"/>
                <w:rPr>
                  <w:b/>
                  <w:bCs/>
                  <w:color w:val="000000"/>
                  <w:szCs w:val="24"/>
                  <w:lang w:eastAsia="lt-LT"/>
                </w:rPr>
              </w:pPr>
              <w:sdt>
                <w:sdtPr>
                  <w:alias w:val="Pavadinimas"/>
                  <w:tag w:val="title_8dd5c4a1b91947a1903b8c8d937e54c6"/>
                  <w:lock w:val="sdtLocked"/>
                  <w:richText/>
                </w:sdtPr>
                <w:sdtContent>
                  <w:r>
                    <w:rPr>
                      <w:b/>
                      <w:bCs/>
                      <w:color w:val="000000"/>
                      <w:szCs w:val="24"/>
                      <w:lang w:eastAsia="lt-LT"/>
                    </w:rPr>
                    <w:t>ĮMOKŲ LĖŠŲ NAUDOJIMAS</w:t>
                  </w:r>
                </w:sdtContent>
              </w:sdt>
            </w:p>
            <w:p>
              <w:pPr>
                <w:tabs>
                  <w:tab w:val="left" w:pos="993"/>
                </w:tabs>
                <w:suppressAutoHyphens/>
                <w:ind w:left="993"/>
                <w:jc w:val="both"/>
                <w:textAlignment w:val="baseline"/>
                <w:rPr>
                  <w:rFonts w:eastAsia="Calibri"/>
                  <w:color w:val="000000"/>
                  <w:szCs w:val="24"/>
                  <w:lang w:eastAsia="lt-LT"/>
                </w:rPr>
              </w:pPr>
            </w:p>
            <w:p>
              <w:pPr>
                <w:tabs>
                  <w:tab w:val="left" w:pos="993"/>
                </w:tabs>
                <w:suppressAutoHyphens/>
                <w:ind w:left="284" w:firstLine="62"/>
                <w:jc w:val="both"/>
                <w:textAlignment w:val="baseline"/>
                <w:rPr>
                  <w:rFonts w:eastAsia="Calibri"/>
                  <w:color w:val="000000"/>
                  <w:szCs w:val="24"/>
                  <w:lang w:eastAsia="lt-LT"/>
                </w:rPr>
              </w:pPr>
            </w:p>
            <w:sdt>
              <w:sdtPr>
                <w:alias w:val="11 p."/>
                <w:tag w:val="part_96ed912f516a4ce0a01e609bb815873e"/>
                <w:lock w:val="sdtLocked"/>
                <w:richText/>
              </w:sdtPr>
              <w:sdtContent>
                <w:p>
                  <w:pPr>
                    <w:tabs>
                      <w:tab w:val="left" w:pos="993"/>
                    </w:tabs>
                    <w:suppressAutoHyphens/>
                    <w:ind w:firstLine="993"/>
                    <w:jc w:val="both"/>
                    <w:textAlignment w:val="baseline"/>
                    <w:rPr>
                      <w:rFonts w:eastAsia="Calibri"/>
                      <w:color w:val="000000"/>
                      <w:szCs w:val="24"/>
                      <w:lang w:eastAsia="lt-LT"/>
                    </w:rPr>
                  </w:pPr>
                  <w:sdt>
                    <w:sdtPr>
                      <w:alias w:val="Numeris"/>
                      <w:tag w:val="nr_96ed912f516a4ce0a01e609bb815873e"/>
                      <w:lock w:val="sdtLocked"/>
                      <w:richText/>
                    </w:sdtPr>
                    <w:sdtContent>
                      <w:r>
                        <w:rPr>
                          <w:color w:val="000000"/>
                          <w:kern w:val="2"/>
                          <w:szCs w:val="24"/>
                          <w:shd w:val="clear" w:color="auto" w:fill="FFFFFF"/>
                          <w:lang w:val="en-US"/>
                        </w:rPr>
                        <w:t>11</w:t>
                      </w:r>
                    </w:sdtContent>
                  </w:sdt>
                  <w:r>
                    <w:rPr>
                      <w:color w:val="000000"/>
                      <w:kern w:val="2"/>
                      <w:szCs w:val="24"/>
                      <w:shd w:val="clear" w:color="auto" w:fill="FFFFFF"/>
                    </w:rPr>
                    <w:t>. Garantinio vandens tiekėjo</w:t>
                  </w:r>
                  <w:r>
                    <w:rPr>
                      <w:rFonts w:eastAsia="Calibri"/>
                      <w:szCs w:val="24"/>
                      <w:lang w:eastAsia="lt-LT"/>
                    </w:rPr>
                    <w:t xml:space="preserve"> sprendimas dėl planuojamo finansavimo skyrimo priimamas raštu, kurį pasirašo įmonės vadovas, vadovaujantis Aprašo 12, </w:t>
                  </w:r>
                  <w:r>
                    <w:rPr>
                      <w:rFonts w:eastAsia="Calibri"/>
                      <w:szCs w:val="24"/>
                      <w:lang w:val="en-US" w:eastAsia="lt-LT"/>
                    </w:rPr>
                    <w:t xml:space="preserve">13 </w:t>
                  </w:r>
                  <w:r>
                    <w:rPr>
                      <w:rFonts w:eastAsia="Calibri"/>
                      <w:szCs w:val="24"/>
                      <w:lang w:eastAsia="lt-LT"/>
                    </w:rPr>
                    <w:t>punktais.</w:t>
                  </w:r>
                </w:p>
              </w:sdtContent>
            </w:sdt>
            <w:sdt>
              <w:sdtPr>
                <w:alias w:val="12 p."/>
                <w:tag w:val="part_f012b55c2a3d44f9ac244ffed2f3a176"/>
                <w:lock w:val="sdtLocked"/>
                <w:richText/>
              </w:sdtPr>
              <w:sdtContent>
                <w:p>
                  <w:pPr>
                    <w:tabs>
                      <w:tab w:val="left" w:pos="993"/>
                    </w:tabs>
                    <w:suppressAutoHyphens/>
                    <w:ind w:firstLine="993"/>
                    <w:jc w:val="both"/>
                    <w:textAlignment w:val="baseline"/>
                    <w:rPr>
                      <w:rFonts w:eastAsia="Calibri"/>
                      <w:color w:val="000000"/>
                      <w:szCs w:val="24"/>
                      <w:lang w:eastAsia="lt-LT"/>
                    </w:rPr>
                  </w:pPr>
                  <w:sdt>
                    <w:sdtPr>
                      <w:alias w:val="Numeris"/>
                      <w:tag w:val="nr_f012b55c2a3d44f9ac244ffed2f3a176"/>
                      <w:lock w:val="sdtLocked"/>
                      <w:richText/>
                    </w:sdtPr>
                    <w:sdtContent>
                      <w:r>
                        <w:rPr>
                          <w:rFonts w:eastAsia="Calibri"/>
                          <w:color w:val="000000"/>
                          <w:szCs w:val="24"/>
                          <w:lang w:eastAsia="lt-LT"/>
                        </w:rPr>
                        <w:t>12</w:t>
                      </w:r>
                    </w:sdtContent>
                  </w:sdt>
                  <w:r>
                    <w:rPr>
                      <w:rFonts w:eastAsia="Calibri"/>
                      <w:color w:val="000000"/>
                      <w:szCs w:val="24"/>
                      <w:lang w:eastAsia="lt-LT"/>
                    </w:rPr>
                    <w:t xml:space="preserve">. Garantinis vandens tiekėjas turi teisę naudoti įmokų lėšas </w:t>
                  </w:r>
                  <w:r>
                    <w:rPr>
                      <w:kern w:val="2"/>
                      <w:szCs w:val="24"/>
                    </w:rPr>
                    <w:t xml:space="preserve"> nepertraukiamam geriamojo vandens tiekimui ir nuotekų tvarkymui bei priežiūrai užtikrinti, garantinio geriamojo vandens tiekimo ir nuotekų tvarkymo veiklos vykdymo metu naudojamos geriamojo vandens tiekimo ir nuotekų tvarkymo infrastruktūros, kito valdomo turto,  reikalingo garantiniam geriamojo vandens tiekimui ir nuotekų tvarkymui (toliau – infrastruktūros objektai),</w:t>
                  </w:r>
                  <w:r>
                    <w:rPr>
                      <w:rFonts w:eastAsia="Calibri"/>
                      <w:color w:val="000000"/>
                      <w:szCs w:val="24"/>
                      <w:lang w:eastAsia="lt-LT"/>
                    </w:rPr>
                    <w:t xml:space="preserve"> </w:t>
                  </w:r>
                  <w:r>
                    <w:rPr>
                      <w:rFonts w:eastAsia="Calibri"/>
                      <w:szCs w:val="24"/>
                      <w:lang w:eastAsia="lt-LT"/>
                    </w:rPr>
                    <w:t xml:space="preserve">remontui, </w:t>
                  </w:r>
                  <w:r>
                    <w:rPr>
                      <w:rFonts w:eastAsia="Calibri"/>
                      <w:color w:val="000000"/>
                      <w:szCs w:val="24"/>
                      <w:lang w:eastAsia="lt-LT"/>
                    </w:rPr>
                    <w:t>kai viešajam vandens tiekėjui panaikintas licencijos galiojimas ir garantinis vandens tiekėjas vykdo garantinį vandens tiekimą ir yra šios sąlygos:</w:t>
                  </w:r>
                </w:p>
                <w:sdt>
                  <w:sdtPr>
                    <w:alias w:val="12.1 pp."/>
                    <w:tag w:val="part_731072a2e199465b9d1f959a16f978b0"/>
                    <w:lock w:val="sdtLocked"/>
                    <w:richText/>
                  </w:sdtPr>
                  <w:sdtContent>
                    <w:p>
                      <w:pPr>
                        <w:tabs>
                          <w:tab w:val="left" w:pos="993"/>
                        </w:tabs>
                        <w:suppressAutoHyphens/>
                        <w:ind w:firstLine="993"/>
                        <w:jc w:val="both"/>
                        <w:textAlignment w:val="baseline"/>
                        <w:rPr>
                          <w:rFonts w:eastAsia="Calibri"/>
                          <w:color w:val="000000"/>
                          <w:szCs w:val="24"/>
                          <w:lang w:eastAsia="lt-LT"/>
                        </w:rPr>
                      </w:pPr>
                      <w:sdt>
                        <w:sdtPr>
                          <w:alias w:val="Numeris"/>
                          <w:tag w:val="nr_731072a2e199465b9d1f959a16f978b0"/>
                          <w:lock w:val="sdtLocked"/>
                          <w:richText/>
                        </w:sdtPr>
                        <w:sdtContent>
                          <w:r>
                            <w:rPr>
                              <w:rFonts w:eastAsia="Calibri"/>
                              <w:color w:val="000000"/>
                              <w:szCs w:val="24"/>
                              <w:lang w:eastAsia="lt-LT"/>
                            </w:rPr>
                            <w:t>12.</w:t>
                          </w:r>
                          <w:r>
                            <w:rPr>
                              <w:rFonts w:eastAsia="Calibri"/>
                              <w:color w:val="000000"/>
                              <w:szCs w:val="24"/>
                              <w:lang w:val="en-US" w:eastAsia="lt-LT"/>
                            </w:rPr>
                            <w:t>1</w:t>
                          </w:r>
                        </w:sdtContent>
                      </w:sdt>
                      <w:r>
                        <w:rPr>
                          <w:rFonts w:eastAsia="Calibri"/>
                          <w:color w:val="000000"/>
                          <w:szCs w:val="24"/>
                          <w:lang w:eastAsia="lt-LT"/>
                        </w:rPr>
                        <w:t>. įmokų lėšomis finansuojama infrastruktūros plėtra ar rekonstrukcija vykdoma licenciją praradusio viešojo vandens tiekėjo aptarnautoje teritorijoje;</w:t>
                      </w:r>
                    </w:p>
                  </w:sdtContent>
                </w:sdt>
                <w:sdt>
                  <w:sdtPr>
                    <w:alias w:val="12.2 pp."/>
                    <w:tag w:val="part_328029e59a2145458f9d064d7f8179e3"/>
                    <w:lock w:val="sdtLocked"/>
                    <w:richText/>
                  </w:sdtPr>
                  <w:sdtContent>
                    <w:p>
                      <w:pPr>
                        <w:tabs>
                          <w:tab w:val="left" w:pos="993"/>
                        </w:tabs>
                        <w:suppressAutoHyphens/>
                        <w:ind w:firstLine="993"/>
                        <w:jc w:val="both"/>
                        <w:textAlignment w:val="baseline"/>
                        <w:rPr>
                          <w:rFonts w:eastAsia="Calibri"/>
                          <w:color w:val="000000"/>
                          <w:szCs w:val="24"/>
                          <w:lang w:eastAsia="lt-LT"/>
                        </w:rPr>
                      </w:pPr>
                      <w:sdt>
                        <w:sdtPr>
                          <w:alias w:val="Numeris"/>
                          <w:tag w:val="nr_328029e59a2145458f9d064d7f8179e3"/>
                          <w:lock w:val="sdtLocked"/>
                          <w:richText/>
                        </w:sdtPr>
                        <w:sdtContent>
                          <w:r>
                            <w:rPr>
                              <w:rFonts w:eastAsia="Calibri"/>
                              <w:color w:val="000000"/>
                              <w:szCs w:val="24"/>
                              <w:lang w:eastAsia="lt-LT"/>
                            </w:rPr>
                            <w:t>12.2</w:t>
                          </w:r>
                        </w:sdtContent>
                      </w:sdt>
                      <w:r>
                        <w:rPr>
                          <w:rFonts w:eastAsia="Calibri"/>
                          <w:color w:val="000000"/>
                          <w:szCs w:val="24"/>
                          <w:lang w:eastAsia="lt-LT"/>
                        </w:rPr>
                        <w:t xml:space="preserve">. įvykdytos su infrastruktūros plėtra ar rekonstrukcijos vykdymu susijusios viešųjų pirkimų procedūros, jeigu </w:t>
                      </w:r>
                      <w:r>
                        <w:rPr>
                          <w:color w:val="000000"/>
                          <w:kern w:val="2"/>
                          <w:szCs w:val="24"/>
                          <w:shd w:val="clear" w:color="auto" w:fill="FFFFFF"/>
                        </w:rPr>
                        <w:t>neišvengiamai būtina pirkimą atlikti ypač skubiai dėl įvykio, kurio perkantysis subjektas negalėjo numatyti, vadovaujamasi Pirkimų įstatymo penktuoju skirsniu.</w:t>
                      </w:r>
                    </w:p>
                  </w:sdtContent>
                </w:sdt>
              </w:sdtContent>
            </w:sdt>
            <w:sdt>
              <w:sdtPr>
                <w:alias w:val="13 p."/>
                <w:tag w:val="part_5f97ebd3c42a4257b3b66798649b2730"/>
                <w:lock w:val="sdtLocked"/>
                <w:richText/>
              </w:sdtPr>
              <w:sdtContent>
                <w:p>
                  <w:pPr>
                    <w:tabs>
                      <w:tab w:val="left" w:pos="993"/>
                    </w:tabs>
                    <w:suppressAutoHyphens/>
                    <w:ind w:firstLine="993"/>
                    <w:jc w:val="both"/>
                    <w:textAlignment w:val="baseline"/>
                    <w:rPr>
                      <w:color w:val="000000"/>
                      <w:kern w:val="2"/>
                      <w:szCs w:val="24"/>
                      <w:shd w:val="clear" w:color="auto" w:fill="FFFFFF"/>
                    </w:rPr>
                  </w:pPr>
                  <w:sdt>
                    <w:sdtPr>
                      <w:alias w:val="Numeris"/>
                      <w:tag w:val="nr_5f97ebd3c42a4257b3b66798649b2730"/>
                      <w:lock w:val="sdtLocked"/>
                      <w:richText/>
                    </w:sdtPr>
                    <w:sdtContent>
                      <w:r>
                        <w:rPr>
                          <w:rFonts w:eastAsia="Calibri"/>
                          <w:color w:val="000000"/>
                          <w:szCs w:val="24"/>
                          <w:lang w:eastAsia="lt-LT"/>
                        </w:rPr>
                        <w:t>13</w:t>
                      </w:r>
                    </w:sdtContent>
                  </w:sdt>
                  <w:r>
                    <w:rPr>
                      <w:rFonts w:eastAsia="Calibri"/>
                      <w:color w:val="000000"/>
                      <w:szCs w:val="24"/>
                      <w:lang w:eastAsia="lt-LT"/>
                    </w:rPr>
                    <w:t xml:space="preserve">. </w:t>
                  </w:r>
                  <w:r>
                    <w:rPr>
                      <w:color w:val="000000"/>
                      <w:kern w:val="2"/>
                      <w:szCs w:val="24"/>
                      <w:shd w:val="clear" w:color="auto" w:fill="FFFFFF"/>
                    </w:rPr>
                    <w:t>Kai yra visos Aprašo 12 punkte nurodytos sąlygos, įmokų lėšos gali būti naudojamos:</w:t>
                  </w:r>
                </w:p>
                <w:sdt>
                  <w:sdtPr>
                    <w:alias w:val="13.1 pp."/>
                    <w:tag w:val="part_1afb5c3912ab44afaa058426f6d573ee"/>
                    <w:lock w:val="sdtLocked"/>
                    <w:richText/>
                  </w:sdtPr>
                  <w:sdtContent>
                    <w:p>
                      <w:pPr>
                        <w:tabs>
                          <w:tab w:val="left" w:pos="993"/>
                        </w:tabs>
                        <w:suppressAutoHyphens/>
                        <w:ind w:firstLine="993"/>
                        <w:jc w:val="both"/>
                        <w:textAlignment w:val="baseline"/>
                        <w:rPr>
                          <w:rFonts w:eastAsia="Calibri"/>
                          <w:color w:val="000000"/>
                          <w:szCs w:val="24"/>
                          <w:lang w:eastAsia="lt-LT"/>
                        </w:rPr>
                      </w:pPr>
                      <w:sdt>
                        <w:sdtPr>
                          <w:alias w:val="Numeris"/>
                          <w:tag w:val="nr_1afb5c3912ab44afaa058426f6d573ee"/>
                          <w:lock w:val="sdtLocked"/>
                          <w:richText/>
                        </w:sdtPr>
                        <w:sdtContent>
                          <w:r>
                            <w:rPr>
                              <w:color w:val="000000"/>
                              <w:kern w:val="2"/>
                              <w:szCs w:val="24"/>
                              <w:shd w:val="clear" w:color="auto" w:fill="FFFFFF"/>
                            </w:rPr>
                            <w:t>13.1</w:t>
                          </w:r>
                        </w:sdtContent>
                      </w:sdt>
                      <w:r>
                        <w:rPr>
                          <w:color w:val="000000"/>
                          <w:kern w:val="2"/>
                          <w:szCs w:val="24"/>
                          <w:shd w:val="clear" w:color="auto" w:fill="FFFFFF"/>
                        </w:rPr>
                        <w:t xml:space="preserve">. </w:t>
                      </w:r>
                      <w:r>
                        <w:rPr>
                          <w:rFonts w:eastAsia="Calibri"/>
                          <w:color w:val="000000"/>
                          <w:szCs w:val="24"/>
                          <w:lang w:eastAsia="lt-LT"/>
                        </w:rPr>
                        <w:t xml:space="preserve">geriamojo vandens tiekimo ir (arba) nuotekų tvarkymo infrastruktūrai inventorizuoti, atliekant </w:t>
                      </w:r>
                      <w:r>
                        <w:rPr>
                          <w:color w:val="000000"/>
                          <w:kern w:val="2"/>
                          <w:szCs w:val="24"/>
                          <w:shd w:val="clear" w:color="auto" w:fill="FFFFFF"/>
                        </w:rPr>
                        <w:t>turto ir įsipareigojimų patikrinimą ir faktinės situacijos palyginimą su buhalterinės apskaitos duomenimis, Lietuvos Respublikos nekilnojamojo turto registre (toliau</w:t>
                      </w:r>
                      <w:r>
                        <w:rPr>
                          <w:rFonts w:eastAsia="Calibri"/>
                          <w:color w:val="000000"/>
                          <w:szCs w:val="24"/>
                          <w:shd w:val="clear" w:color="auto" w:fill="FFFFFF"/>
                        </w:rPr>
                        <w:t xml:space="preserve"> – </w:t>
                      </w:r>
                      <w:r>
                        <w:rPr>
                          <w:color w:val="000000"/>
                          <w:kern w:val="2"/>
                          <w:szCs w:val="24"/>
                          <w:shd w:val="clear" w:color="auto" w:fill="FFFFFF"/>
                        </w:rPr>
                        <w:t xml:space="preserve">registras) registruojant inventorizuotą nekilnojamąjį turtą, tikslinant </w:t>
                      </w:r>
                      <w:r>
                        <w:rPr>
                          <w:kern w:val="2"/>
                          <w:szCs w:val="24"/>
                        </w:rPr>
                        <w:t>netikslius ir klaidingus registro duomenis</w:t>
                      </w:r>
                      <w:r>
                        <w:rPr>
                          <w:rFonts w:eastAsia="Calibri"/>
                          <w:color w:val="000000"/>
                          <w:szCs w:val="24"/>
                          <w:lang w:eastAsia="lt-LT"/>
                        </w:rPr>
                        <w:t>;</w:t>
                      </w:r>
                    </w:p>
                  </w:sdtContent>
                </w:sdt>
                <w:sdt>
                  <w:sdtPr>
                    <w:alias w:val="13.2 pp."/>
                    <w:tag w:val="part_565acf65f79d44a99c228f916664867b"/>
                    <w:lock w:val="sdtLocked"/>
                    <w:richText/>
                  </w:sdtPr>
                  <w:sdtContent>
                    <w:p>
                      <w:pPr>
                        <w:tabs>
                          <w:tab w:val="left" w:pos="993"/>
                        </w:tabs>
                        <w:suppressAutoHyphens/>
                        <w:ind w:firstLine="993"/>
                        <w:jc w:val="both"/>
                        <w:textAlignment w:val="baseline"/>
                        <w:rPr>
                          <w:rFonts w:eastAsia="Calibri"/>
                          <w:color w:val="000000"/>
                          <w:szCs w:val="24"/>
                          <w:lang w:eastAsia="lt-LT"/>
                        </w:rPr>
                      </w:pPr>
                      <w:sdt>
                        <w:sdtPr>
                          <w:alias w:val="Numeris"/>
                          <w:tag w:val="nr_565acf65f79d44a99c228f916664867b"/>
                          <w:lock w:val="sdtLocked"/>
                          <w:richText/>
                        </w:sdtPr>
                        <w:sdtContent>
                          <w:r>
                            <w:rPr>
                              <w:rFonts w:eastAsia="Calibri"/>
                              <w:color w:val="000000"/>
                              <w:szCs w:val="24"/>
                              <w:lang w:eastAsia="lt-LT"/>
                            </w:rPr>
                            <w:t>13.2</w:t>
                          </w:r>
                        </w:sdtContent>
                      </w:sdt>
                      <w:r>
                        <w:rPr>
                          <w:rFonts w:eastAsia="Calibri"/>
                          <w:color w:val="000000"/>
                          <w:szCs w:val="24"/>
                          <w:lang w:eastAsia="lt-LT"/>
                        </w:rPr>
                        <w:t>. geriamojo vandens tiekimo ir (arba) nuotekų tvarkymo infrastruktūroje įvykusioms avarijoms likviduoti;</w:t>
                      </w:r>
                    </w:p>
                  </w:sdtContent>
                </w:sdt>
                <w:sdt>
                  <w:sdtPr>
                    <w:alias w:val="13.3 pp."/>
                    <w:tag w:val="part_8245e8e44c3c4377afb70f2c6f9863fa"/>
                    <w:lock w:val="sdtLocked"/>
                    <w:richText/>
                  </w:sdtPr>
                  <w:sdtContent>
                    <w:p>
                      <w:pPr>
                        <w:tabs>
                          <w:tab w:val="left" w:pos="993"/>
                        </w:tabs>
                        <w:suppressAutoHyphens/>
                        <w:ind w:firstLine="993"/>
                        <w:jc w:val="both"/>
                        <w:textAlignment w:val="baseline"/>
                        <w:rPr>
                          <w:rFonts w:eastAsia="Calibri"/>
                          <w:color w:val="000000"/>
                          <w:szCs w:val="24"/>
                          <w:lang w:eastAsia="lt-LT"/>
                        </w:rPr>
                      </w:pPr>
                      <w:sdt>
                        <w:sdtPr>
                          <w:alias w:val="Numeris"/>
                          <w:tag w:val="nr_8245e8e44c3c4377afb70f2c6f9863fa"/>
                          <w:lock w:val="sdtLocked"/>
                          <w:richText/>
                        </w:sdtPr>
                        <w:sdtContent>
                          <w:r>
                            <w:rPr>
                              <w:rFonts w:eastAsia="Calibri"/>
                              <w:color w:val="000000"/>
                              <w:szCs w:val="24"/>
                              <w:lang w:eastAsia="lt-LT"/>
                            </w:rPr>
                            <w:t>13.3</w:t>
                          </w:r>
                        </w:sdtContent>
                      </w:sdt>
                      <w:r>
                        <w:rPr>
                          <w:rFonts w:eastAsia="Calibri"/>
                          <w:color w:val="000000"/>
                          <w:szCs w:val="24"/>
                          <w:lang w:eastAsia="lt-LT"/>
                        </w:rPr>
                        <w:t>. geriamojo vandens tiekimo ir (arba) nuotekų tvarkymo infrastruktūros plėtrai ir (arba) renovacijai.</w:t>
                      </w:r>
                    </w:p>
                  </w:sdtContent>
                </w:sdt>
              </w:sdtContent>
            </w:sdt>
            <w:sdt>
              <w:sdtPr>
                <w:alias w:val="14 p."/>
                <w:tag w:val="part_a85545a526e04568ad979349e8a62010"/>
                <w:lock w:val="sdtLocked"/>
                <w:richText/>
              </w:sdtPr>
              <w:sdtContent>
                <w:p>
                  <w:pPr>
                    <w:tabs>
                      <w:tab w:val="left" w:pos="993"/>
                    </w:tabs>
                    <w:suppressAutoHyphens/>
                    <w:ind w:firstLine="993"/>
                    <w:jc w:val="both"/>
                    <w:textAlignment w:val="baseline"/>
                    <w:rPr>
                      <w:rFonts w:eastAsia="Calibri"/>
                      <w:color w:val="000000"/>
                      <w:szCs w:val="24"/>
                      <w:lang w:eastAsia="lt-LT"/>
                    </w:rPr>
                  </w:pPr>
                  <w:sdt>
                    <w:sdtPr>
                      <w:alias w:val="Numeris"/>
                      <w:tag w:val="nr_a85545a526e04568ad979349e8a62010"/>
                      <w:lock w:val="sdtLocked"/>
                      <w:richText/>
                    </w:sdtPr>
                    <w:sdtContent>
                      <w:r>
                        <w:rPr>
                          <w:rFonts w:eastAsia="Calibri"/>
                          <w:color w:val="000000"/>
                          <w:szCs w:val="24"/>
                          <w:lang w:val="en-US" w:eastAsia="lt-LT"/>
                        </w:rPr>
                        <w:t>14</w:t>
                      </w:r>
                    </w:sdtContent>
                  </w:sdt>
                  <w:r>
                    <w:rPr>
                      <w:rFonts w:eastAsia="Calibri"/>
                      <w:color w:val="000000"/>
                      <w:szCs w:val="24"/>
                      <w:lang w:val="en-US" w:eastAsia="lt-LT"/>
                    </w:rPr>
                    <w:t xml:space="preserve">. </w:t>
                  </w:r>
                  <w:r>
                    <w:rPr>
                      <w:rFonts w:eastAsia="Calibri"/>
                      <w:color w:val="000000"/>
                      <w:szCs w:val="24"/>
                      <w:lang w:eastAsia="lt-LT"/>
                    </w:rPr>
                    <w:t>Garantinis vandens tiekėjas turi teisę naudoti įmokų lėšas sąskaitos, į kurią mokamos įmokos, administravimo išlaidoms padengti.</w:t>
                  </w:r>
                </w:p>
              </w:sdtContent>
            </w:sdt>
            <w:sdt>
              <w:sdtPr>
                <w:alias w:val="15 p."/>
                <w:tag w:val="part_2a4486b744414d2ca331a52e4b61f667"/>
                <w:lock w:val="sdtLocked"/>
                <w:richText/>
              </w:sdtPr>
              <w:sdtContent>
                <w:p>
                  <w:pPr>
                    <w:tabs>
                      <w:tab w:val="left" w:pos="993"/>
                    </w:tabs>
                    <w:suppressAutoHyphens/>
                    <w:ind w:firstLine="993"/>
                    <w:jc w:val="both"/>
                    <w:textAlignment w:val="baseline"/>
                    <w:rPr>
                      <w:rFonts w:eastAsia="Calibri"/>
                      <w:color w:val="000000"/>
                      <w:szCs w:val="24"/>
                      <w:lang w:eastAsia="lt-LT"/>
                    </w:rPr>
                  </w:pPr>
                  <w:sdt>
                    <w:sdtPr>
                      <w:alias w:val="Numeris"/>
                      <w:tag w:val="nr_2a4486b744414d2ca331a52e4b61f667"/>
                      <w:lock w:val="sdtLocked"/>
                      <w:richText/>
                    </w:sdtPr>
                    <w:sdtContent>
                      <w:r>
                        <w:rPr>
                          <w:color w:val="000000"/>
                          <w:kern w:val="2"/>
                          <w:szCs w:val="24"/>
                          <w:shd w:val="clear" w:color="auto" w:fill="FFFFFF"/>
                        </w:rPr>
                        <w:t>15</w:t>
                      </w:r>
                    </w:sdtContent>
                  </w:sdt>
                  <w:r>
                    <w:rPr>
                      <w:color w:val="000000"/>
                      <w:kern w:val="2"/>
                      <w:szCs w:val="24"/>
                      <w:shd w:val="clear" w:color="auto" w:fill="FFFFFF"/>
                    </w:rPr>
                    <w:t>. Sąskaitos administravimo išlaidoms priskiriamos darbuotojų, vykdančių sąskaitos administravimo funkcijas, darbo užmokesčio ir socialinio draudimo, jų darbo vietų įrengimo ir išlaikymo, administracinių patalpų, naudojamų sąskaitai administruoti, išlaikymo, sąskaitai administruoti, banko atsikaitomosios sąskaitos mokesčių ir kitų paslaugų, susijusių su sąskaitos administravimu, išlaidos.</w:t>
                  </w:r>
                </w:p>
              </w:sdtContent>
            </w:sdt>
            <w:sdt>
              <w:sdtPr>
                <w:alias w:val="16 p."/>
                <w:tag w:val="part_100605cd52f54aec8db499374d5a4b88"/>
                <w:lock w:val="sdtLocked"/>
                <w:richText/>
              </w:sdtPr>
              <w:sdtContent>
                <w:p>
                  <w:pPr>
                    <w:suppressAutoHyphens/>
                    <w:ind w:firstLine="993"/>
                    <w:jc w:val="both"/>
                    <w:textAlignment w:val="baseline"/>
                    <w:rPr>
                      <w:rFonts w:eastAsia="Calibri"/>
                      <w:color w:val="000000"/>
                      <w:szCs w:val="24"/>
                      <w:lang w:eastAsia="lt-LT"/>
                    </w:rPr>
                  </w:pPr>
                  <w:sdt>
                    <w:sdtPr>
                      <w:alias w:val="Numeris"/>
                      <w:tag w:val="nr_100605cd52f54aec8db499374d5a4b88"/>
                      <w:lock w:val="sdtLocked"/>
                      <w:richText/>
                    </w:sdtPr>
                    <w:sdtContent>
                      <w:r>
                        <w:rPr>
                          <w:color w:val="000000"/>
                          <w:kern w:val="2"/>
                          <w:szCs w:val="24"/>
                          <w:shd w:val="clear" w:color="auto" w:fill="FFFFFF"/>
                        </w:rPr>
                        <w:t>16</w:t>
                      </w:r>
                    </w:sdtContent>
                  </w:sdt>
                  <w:r>
                    <w:rPr>
                      <w:color w:val="000000"/>
                      <w:kern w:val="2"/>
                      <w:szCs w:val="24"/>
                      <w:shd w:val="clear" w:color="auto" w:fill="FFFFFF"/>
                    </w:rPr>
                    <w:t>. Garantinio vandens tiekėjo</w:t>
                  </w:r>
                  <w:r>
                    <w:rPr>
                      <w:rFonts w:eastAsia="Calibri"/>
                      <w:szCs w:val="24"/>
                      <w:lang w:eastAsia="lt-LT"/>
                    </w:rPr>
                    <w:t xml:space="preserve"> sprendime, nurodytame Aprašo 11 punkte, dėl planuojamo finansavimo skyrimo nurodoma:</w:t>
                  </w:r>
                </w:p>
                <w:sdt>
                  <w:sdtPr>
                    <w:alias w:val="16.1 pp."/>
                    <w:tag w:val="part_46da470717c34a90b1ef907a8b601828"/>
                    <w:lock w:val="sdtLocked"/>
                    <w:richText/>
                  </w:sdtPr>
                  <w:sdtContent>
                    <w:p>
                      <w:pPr>
                        <w:tabs>
                          <w:tab w:val="left" w:pos="993"/>
                        </w:tabs>
                        <w:suppressAutoHyphens/>
                        <w:ind w:left="1135" w:hanging="142"/>
                        <w:jc w:val="both"/>
                        <w:textAlignment w:val="baseline"/>
                        <w:rPr>
                          <w:rFonts w:eastAsia="Calibri"/>
                          <w:color w:val="000000"/>
                          <w:szCs w:val="24"/>
                          <w:lang w:eastAsia="lt-LT"/>
                        </w:rPr>
                      </w:pPr>
                      <w:sdt>
                        <w:sdtPr>
                          <w:alias w:val="Numeris"/>
                          <w:tag w:val="nr_46da470717c34a90b1ef907a8b601828"/>
                          <w:lock w:val="sdtLocked"/>
                          <w:richText/>
                        </w:sdtPr>
                        <w:sdtContent>
                          <w:r>
                            <w:rPr>
                              <w:rFonts w:eastAsia="Calibri"/>
                              <w:szCs w:val="24"/>
                              <w:lang w:eastAsia="lt-LT"/>
                            </w:rPr>
                            <w:t>16.1</w:t>
                          </w:r>
                        </w:sdtContent>
                      </w:sdt>
                      <w:r>
                        <w:rPr>
                          <w:rFonts w:eastAsia="Calibri"/>
                          <w:szCs w:val="24"/>
                          <w:lang w:eastAsia="lt-LT"/>
                        </w:rPr>
                        <w:t>. teisinis ir faktinis pagrindas panaudoti lėšas;</w:t>
                      </w:r>
                    </w:p>
                  </w:sdtContent>
                </w:sdt>
                <w:sdt>
                  <w:sdtPr>
                    <w:alias w:val="16.2 pp."/>
                    <w:tag w:val="part_14daa72154cb4732a6b55aafb8526ab9"/>
                    <w:lock w:val="sdtLocked"/>
                    <w:richText/>
                  </w:sdtPr>
                  <w:sdtContent>
                    <w:p>
                      <w:pPr>
                        <w:tabs>
                          <w:tab w:val="left" w:pos="993"/>
                        </w:tabs>
                        <w:suppressAutoHyphens/>
                        <w:ind w:left="1135" w:hanging="142"/>
                        <w:jc w:val="both"/>
                        <w:textAlignment w:val="baseline"/>
                        <w:rPr>
                          <w:rFonts w:eastAsia="Calibri"/>
                          <w:color w:val="000000"/>
                          <w:szCs w:val="24"/>
                          <w:lang w:eastAsia="lt-LT"/>
                        </w:rPr>
                      </w:pPr>
                      <w:sdt>
                        <w:sdtPr>
                          <w:alias w:val="Numeris"/>
                          <w:tag w:val="nr_14daa72154cb4732a6b55aafb8526ab9"/>
                          <w:lock w:val="sdtLocked"/>
                          <w:richText/>
                        </w:sdtPr>
                        <w:sdtContent>
                          <w:r>
                            <w:rPr>
                              <w:rFonts w:eastAsia="Calibri"/>
                              <w:szCs w:val="24"/>
                              <w:lang w:eastAsia="lt-LT"/>
                            </w:rPr>
                            <w:t>16.2</w:t>
                          </w:r>
                        </w:sdtContent>
                      </w:sdt>
                      <w:r>
                        <w:rPr>
                          <w:rFonts w:eastAsia="Calibri"/>
                          <w:szCs w:val="24"/>
                          <w:lang w:eastAsia="lt-LT"/>
                        </w:rPr>
                        <w:t>. infrastruktūros objektai, kuriems planuojama naudoti lėšas;</w:t>
                      </w:r>
                    </w:p>
                  </w:sdtContent>
                </w:sdt>
                <w:sdt>
                  <w:sdtPr>
                    <w:alias w:val="16.3 pp."/>
                    <w:tag w:val="part_e15b6ec9fef341ce96cf25d8a60d777d"/>
                    <w:lock w:val="sdtLocked"/>
                    <w:richText/>
                  </w:sdtPr>
                  <w:sdtContent>
                    <w:p>
                      <w:pPr>
                        <w:tabs>
                          <w:tab w:val="left" w:pos="993"/>
                        </w:tabs>
                        <w:suppressAutoHyphens/>
                        <w:ind w:left="1135" w:hanging="142"/>
                        <w:jc w:val="both"/>
                        <w:textAlignment w:val="baseline"/>
                        <w:rPr>
                          <w:rFonts w:eastAsia="Calibri"/>
                          <w:color w:val="000000"/>
                          <w:szCs w:val="24"/>
                          <w:lang w:eastAsia="lt-LT"/>
                        </w:rPr>
                      </w:pPr>
                      <w:sdt>
                        <w:sdtPr>
                          <w:alias w:val="Numeris"/>
                          <w:tag w:val="nr_e15b6ec9fef341ce96cf25d8a60d777d"/>
                          <w:lock w:val="sdtLocked"/>
                          <w:richText/>
                        </w:sdtPr>
                        <w:sdtContent>
                          <w:r>
                            <w:rPr>
                              <w:rFonts w:eastAsia="Calibri"/>
                              <w:szCs w:val="24"/>
                              <w:lang w:eastAsia="lt-LT"/>
                            </w:rPr>
                            <w:t>16.3</w:t>
                          </w:r>
                        </w:sdtContent>
                      </w:sdt>
                      <w:r>
                        <w:rPr>
                          <w:rFonts w:eastAsia="Calibri"/>
                          <w:szCs w:val="24"/>
                          <w:lang w:eastAsia="lt-LT"/>
                        </w:rPr>
                        <w:t>. kiekvienam infrastruktūros objektui planuojama skirti lėšų suma.</w:t>
                      </w:r>
                    </w:p>
                  </w:sdtContent>
                </w:sdt>
              </w:sdtContent>
            </w:sdt>
            <w:sdt>
              <w:sdtPr>
                <w:alias w:val="17 p."/>
                <w:tag w:val="part_8437d2ff2777449aa2b8e417565028b8"/>
                <w:lock w:val="sdtLocked"/>
                <w:richText/>
              </w:sdtPr>
              <w:sdtContent>
                <w:p>
                  <w:pPr>
                    <w:tabs>
                      <w:tab w:val="left" w:pos="993"/>
                    </w:tabs>
                    <w:suppressAutoHyphens/>
                    <w:ind w:firstLine="993"/>
                    <w:jc w:val="both"/>
                    <w:textAlignment w:val="baseline"/>
                    <w:rPr>
                      <w:rFonts w:eastAsia="Calibri"/>
                      <w:color w:val="000000"/>
                      <w:szCs w:val="24"/>
                      <w:lang w:eastAsia="lt-LT"/>
                    </w:rPr>
                  </w:pPr>
                  <w:sdt>
                    <w:sdtPr>
                      <w:alias w:val="Numeris"/>
                      <w:tag w:val="nr_8437d2ff2777449aa2b8e417565028b8"/>
                      <w:lock w:val="sdtLocked"/>
                      <w:richText/>
                    </w:sdtPr>
                    <w:sdtContent>
                      <w:r>
                        <w:rPr>
                          <w:color w:val="000000"/>
                          <w:szCs w:val="24"/>
                          <w:lang w:eastAsia="lt-LT"/>
                        </w:rPr>
                        <w:t>17</w:t>
                      </w:r>
                    </w:sdtContent>
                  </w:sdt>
                  <w:r>
                    <w:rPr>
                      <w:color w:val="000000"/>
                      <w:szCs w:val="24"/>
                      <w:lang w:eastAsia="lt-LT"/>
                    </w:rPr>
                    <w:t xml:space="preserve">. Garantinis vandens tiekėjas pasibaigus kalendoriniams metams iki pirmojo ketvirčio antrojo mėnesio pabaigos savo </w:t>
                  </w:r>
                  <w:r>
                    <w:rPr>
                      <w:color w:val="000000"/>
                      <w:szCs w:val="24"/>
                      <w:shd w:val="clear" w:color="auto" w:fill="FFFFFF"/>
                      <w:lang w:eastAsia="lt-LT"/>
                    </w:rPr>
                    <w:t xml:space="preserve">interneto svetainėje paskelbia geriamojo vandens tiekimo ir nuotekų tvarkymo paslaugoms užtikrinti praėjusiais metrais panaudotų įmokų lėšų sumą,  suteiktas paslaugas, atliktus darbus infrastruktūros objektuose.</w:t>
                  </w:r>
                </w:p>
              </w:sdtContent>
            </w:sdt>
            <w:sdt>
              <w:sdtPr>
                <w:alias w:val="18 p."/>
                <w:tag w:val="part_dcd5df5c3fcc48f7b31d97e2e0b66e3a"/>
                <w:lock w:val="sdtLocked"/>
                <w:richText/>
              </w:sdtPr>
              <w:sdtContent>
                <w:p>
                  <w:pPr>
                    <w:tabs>
                      <w:tab w:val="left" w:pos="993"/>
                    </w:tabs>
                    <w:suppressAutoHyphens/>
                    <w:ind w:firstLine="993"/>
                    <w:jc w:val="both"/>
                    <w:textAlignment w:val="baseline"/>
                    <w:rPr>
                      <w:color w:val="000000"/>
                      <w:kern w:val="2"/>
                      <w:szCs w:val="24"/>
                      <w:shd w:val="clear" w:color="auto" w:fill="FFFFFF"/>
                    </w:rPr>
                  </w:pPr>
                  <w:sdt>
                    <w:sdtPr>
                      <w:alias w:val="Numeris"/>
                      <w:tag w:val="nr_dcd5df5c3fcc48f7b31d97e2e0b66e3a"/>
                      <w:lock w:val="sdtLocked"/>
                      <w:richText/>
                    </w:sdtPr>
                    <w:sdtContent>
                      <w:r>
                        <w:rPr>
                          <w:color w:val="000000"/>
                          <w:kern w:val="2"/>
                          <w:szCs w:val="24"/>
                          <w:shd w:val="clear" w:color="auto" w:fill="FFFFFF"/>
                        </w:rPr>
                        <w:t>18</w:t>
                      </w:r>
                    </w:sdtContent>
                  </w:sdt>
                  <w:r>
                    <w:rPr>
                      <w:color w:val="000000"/>
                      <w:kern w:val="2"/>
                      <w:szCs w:val="24"/>
                      <w:shd w:val="clear" w:color="auto" w:fill="FFFFFF"/>
                    </w:rPr>
                    <w:t>. Nepanaudotos einamųjų metų sąskaitos lėšos įtraukiamos į kitų metų garantinio vandens tiekėjo sąmatą.</w:t>
                  </w:r>
                </w:p>
              </w:sdtContent>
            </w:sdt>
            <w:sdt>
              <w:sdtPr>
                <w:alias w:val="19 p."/>
                <w:tag w:val="part_cd05958d73fd47fcb75c53dc7fb09956"/>
                <w:lock w:val="sdtLocked"/>
                <w:richText/>
              </w:sdtPr>
              <w:sdtContent>
                <w:p>
                  <w:pPr>
                    <w:tabs>
                      <w:tab w:val="left" w:pos="993"/>
                    </w:tabs>
                    <w:suppressAutoHyphens/>
                    <w:ind w:firstLine="993"/>
                    <w:jc w:val="both"/>
                    <w:textAlignment w:val="baseline"/>
                    <w:rPr>
                      <w:rFonts w:eastAsia="Calibri"/>
                      <w:color w:val="000000"/>
                      <w:szCs w:val="24"/>
                      <w:lang w:eastAsia="lt-LT"/>
                    </w:rPr>
                  </w:pPr>
                  <w:sdt>
                    <w:sdtPr>
                      <w:alias w:val="Numeris"/>
                      <w:tag w:val="nr_cd05958d73fd47fcb75c53dc7fb09956"/>
                      <w:lock w:val="sdtLocked"/>
                      <w:richText/>
                    </w:sdtPr>
                    <w:sdtContent>
                      <w:r>
                        <w:rPr>
                          <w:color w:val="000000"/>
                          <w:kern w:val="2"/>
                          <w:szCs w:val="24"/>
                          <w:shd w:val="clear" w:color="auto" w:fill="FFFFFF"/>
                          <w:lang w:val="en-US"/>
                        </w:rPr>
                        <w:t>19</w:t>
                      </w:r>
                    </w:sdtContent>
                  </w:sdt>
                  <w:r>
                    <w:rPr>
                      <w:color w:val="000000"/>
                      <w:kern w:val="2"/>
                      <w:szCs w:val="24"/>
                      <w:shd w:val="clear" w:color="auto" w:fill="FFFFFF"/>
                      <w:lang w:val="en-US"/>
                    </w:rPr>
                    <w:t xml:space="preserve">. </w:t>
                  </w:r>
                  <w:r>
                    <w:rPr>
                      <w:color w:val="000000"/>
                      <w:kern w:val="2"/>
                      <w:szCs w:val="24"/>
                      <w:shd w:val="clear" w:color="auto" w:fill="FFFFFF"/>
                    </w:rPr>
                    <w:t xml:space="preserve">Valstybinei energetikos reguliavimo tarybai, vadovaujantis Įstatymo </w:t>
                  </w:r>
                  <w:r>
                    <w:rPr>
                      <w:color w:val="000000"/>
                      <w:kern w:val="2"/>
                      <w:szCs w:val="24"/>
                      <w:shd w:val="clear" w:color="auto" w:fill="FFFFFF"/>
                      <w:lang w:val="en-US"/>
                    </w:rPr>
                    <w:t>15 straipsnio 13 dalimi,</w:t>
                  </w:r>
                  <w:r>
                    <w:rPr>
                      <w:color w:val="000000"/>
                      <w:kern w:val="2"/>
                      <w:szCs w:val="24"/>
                      <w:shd w:val="clear" w:color="auto" w:fill="FFFFFF"/>
                    </w:rPr>
                    <w:t xml:space="preserve"> paskyrus kitą garantinį vandens tiekėją, nepanaudotos įmokų lėšos pervedamos paskirtam garantiniam vandens tiekėjui per </w:t>
                  </w:r>
                  <w:r>
                    <w:rPr>
                      <w:color w:val="000000"/>
                      <w:kern w:val="2"/>
                      <w:szCs w:val="24"/>
                      <w:shd w:val="clear" w:color="auto" w:fill="FFFFFF"/>
                      <w:lang w:val="en-US"/>
                    </w:rPr>
                    <w:t xml:space="preserve">5 darbo dienas, nuo sąskaitos numerio pateikimo garantinį vandens tiekimą vykdžiusiam </w:t>
                  </w:r>
                  <w:r>
                    <w:rPr>
                      <w:kern w:val="2"/>
                      <w:szCs w:val="24"/>
                    </w:rPr>
                    <w:t>viešajam geriamojo vandens tiekėjui.</w:t>
                  </w:r>
                </w:p>
                <w:p>
                  <w:pPr>
                    <w:tabs>
                      <w:tab w:val="left" w:pos="993"/>
                    </w:tabs>
                    <w:suppressAutoHyphens/>
                    <w:jc w:val="both"/>
                    <w:textAlignment w:val="baseline"/>
                    <w:rPr>
                      <w:rFonts w:eastAsia="Calibri"/>
                      <w:color w:val="000000"/>
                      <w:szCs w:val="24"/>
                      <w:lang w:eastAsia="lt-LT"/>
                    </w:rPr>
                  </w:pPr>
                  <w:r>
                    <w:rPr>
                      <w:rFonts w:eastAsia="Calibri"/>
                      <w:szCs w:val="24"/>
                      <w:lang w:eastAsia="lt-LT"/>
                    </w:rPr>
                    <w:br/>
                  </w:r>
                </w:p>
                <w:p>
                  <w:pPr>
                    <w:shd w:val="clear" w:color="auto" w:fill="FFFFFF"/>
                    <w:ind w:left="567"/>
                    <w:jc w:val="center"/>
                    <w:rPr>
                      <w:b/>
                      <w:bCs/>
                      <w:color w:val="000000"/>
                      <w:szCs w:val="24"/>
                      <w:lang w:eastAsia="lt-LT"/>
                    </w:rPr>
                  </w:pPr>
                </w:p>
              </w:sdtContent>
            </w:sdt>
          </w:sdtContent>
        </w:sdt>
        <w:sdt>
          <w:sdtPr>
            <w:alias w:val="skyrius"/>
            <w:tag w:val="part_b3ab05fc4ad649978d838d6f693098d7"/>
            <w:lock w:val="sdtLocked"/>
            <w:richText/>
          </w:sdtPr>
          <w:sdtContent>
            <w:p>
              <w:pPr>
                <w:suppressAutoHyphens/>
                <w:jc w:val="center"/>
                <w:rPr>
                  <w:color w:val="000000"/>
                  <w:szCs w:val="24"/>
                  <w:lang w:eastAsia="zh-CN"/>
                </w:rPr>
              </w:pPr>
              <w:sdt>
                <w:sdtPr>
                  <w:alias w:val="Numeris"/>
                  <w:tag w:val="nr_b3ab05fc4ad649978d838d6f693098d7"/>
                  <w:lock w:val="sdtLocked"/>
                  <w:richText/>
                </w:sdtPr>
                <w:sdtContent>
                  <w:r>
                    <w:rPr>
                      <w:b/>
                      <w:bCs/>
                      <w:color w:val="000000"/>
                      <w:szCs w:val="24"/>
                      <w:lang w:eastAsia="zh-CN"/>
                    </w:rPr>
                    <w:t>IV</w:t>
                  </w:r>
                </w:sdtContent>
              </w:sdt>
              <w:r>
                <w:rPr>
                  <w:b/>
                  <w:bCs/>
                  <w:color w:val="000000"/>
                  <w:szCs w:val="24"/>
                  <w:lang w:eastAsia="zh-CN"/>
                </w:rPr>
                <w:t xml:space="preserve"> SKYRIUS</w:t>
              </w:r>
            </w:p>
            <w:p>
              <w:pPr>
                <w:shd w:val="clear" w:color="auto" w:fill="FFFFFF"/>
                <w:jc w:val="center"/>
                <w:rPr>
                  <w:b/>
                  <w:bCs/>
                  <w:color w:val="000000"/>
                  <w:szCs w:val="24"/>
                  <w:lang w:eastAsia="lt-LT"/>
                </w:rPr>
              </w:pPr>
              <w:sdt>
                <w:sdtPr>
                  <w:alias w:val="Pavadinimas"/>
                  <w:tag w:val="title_b3ab05fc4ad649978d838d6f693098d7"/>
                  <w:lock w:val="sdtLocked"/>
                  <w:richText/>
                </w:sdtPr>
                <w:sdtContent>
                  <w:r>
                    <w:rPr>
                      <w:b/>
                      <w:bCs/>
                      <w:color w:val="000000"/>
                      <w:szCs w:val="24"/>
                      <w:lang w:eastAsia="lt-LT"/>
                    </w:rPr>
                    <w:t>BAIGIAMOSIOS NUOSTATOS</w:t>
                  </w:r>
                </w:sdtContent>
              </w:sdt>
            </w:p>
            <w:p>
              <w:pPr>
                <w:shd w:val="clear" w:color="auto" w:fill="FFFFFF"/>
                <w:jc w:val="center"/>
                <w:rPr>
                  <w:b/>
                  <w:bCs/>
                  <w:color w:val="000000"/>
                  <w:szCs w:val="24"/>
                  <w:lang w:val="en-US" w:eastAsia="lt-LT"/>
                </w:rPr>
              </w:pPr>
            </w:p>
            <w:p>
              <w:pPr>
                <w:shd w:val="clear" w:color="auto" w:fill="FFFFFF"/>
                <w:ind w:left="284" w:firstLine="1074"/>
                <w:jc w:val="both"/>
                <w:rPr>
                  <w:color w:val="000000"/>
                  <w:kern w:val="2"/>
                  <w:szCs w:val="24"/>
                  <w:shd w:val="clear" w:color="auto" w:fill="FFFFFF"/>
                </w:rPr>
              </w:pPr>
            </w:p>
            <w:sdt>
              <w:sdtPr>
                <w:alias w:val="20 p."/>
                <w:tag w:val="part_e3746136c631404db8b9ca976c6afc1e"/>
                <w:lock w:val="sdtLocked"/>
                <w:richText/>
              </w:sdtPr>
              <w:sdtContent>
                <w:p>
                  <w:pPr>
                    <w:shd w:val="clear" w:color="auto" w:fill="FFFFFF"/>
                    <w:ind w:firstLine="993"/>
                    <w:jc w:val="both"/>
                    <w:rPr>
                      <w:color w:val="000000"/>
                      <w:szCs w:val="24"/>
                      <w:lang w:eastAsia="lt-LT"/>
                    </w:rPr>
                  </w:pPr>
                  <w:sdt>
                    <w:sdtPr>
                      <w:alias w:val="Numeris"/>
                      <w:tag w:val="nr_e3746136c631404db8b9ca976c6afc1e"/>
                      <w:lock w:val="sdtLocked"/>
                      <w:richText/>
                    </w:sdtPr>
                    <w:sdtContent>
                      <w:r>
                        <w:rPr>
                          <w:color w:val="000000"/>
                          <w:kern w:val="2"/>
                          <w:szCs w:val="24"/>
                          <w:shd w:val="clear" w:color="auto" w:fill="FFFFFF"/>
                        </w:rPr>
                        <w:t>20</w:t>
                      </w:r>
                    </w:sdtContent>
                  </w:sdt>
                  <w:r>
                    <w:rPr>
                      <w:color w:val="000000"/>
                      <w:kern w:val="2"/>
                      <w:szCs w:val="24"/>
                      <w:shd w:val="clear" w:color="auto" w:fill="FFFFFF"/>
                    </w:rPr>
                    <w:t>. Už teisingų duomenų, informacijos, dokumentų pateikimą, teisėtą įmokų lėšų panaudojimą, išlaidų dvigubo finansavimo prevenciją ir finansinės apskaitos tvarkymą atsako garantinis vandens tiekėjas.</w:t>
                  </w:r>
                </w:p>
              </w:sdtContent>
            </w:sdt>
            <w:sdt>
              <w:sdtPr>
                <w:alias w:val="21 p."/>
                <w:tag w:val="part_10caa8f2b7f84966a561cd25168ec018"/>
                <w:lock w:val="sdtLocked"/>
                <w:richText/>
              </w:sdtPr>
              <w:sdtContent>
                <w:p>
                  <w:pPr>
                    <w:tabs>
                      <w:tab w:val="left" w:pos="993"/>
                    </w:tabs>
                    <w:suppressAutoHyphens/>
                    <w:ind w:firstLine="993"/>
                    <w:jc w:val="both"/>
                    <w:textAlignment w:val="baseline"/>
                    <w:rPr>
                      <w:bCs/>
                      <w:szCs w:val="24"/>
                      <w:lang w:eastAsia="lt-LT"/>
                    </w:rPr>
                  </w:pPr>
                  <w:sdt>
                    <w:sdtPr>
                      <w:alias w:val="Numeris"/>
                      <w:tag w:val="nr_10caa8f2b7f84966a561cd25168ec018"/>
                      <w:lock w:val="sdtLocked"/>
                      <w:richText/>
                    </w:sdtPr>
                    <w:sdtContent>
                      <w:r>
                        <w:rPr>
                          <w:color w:val="000000"/>
                          <w:kern w:val="2"/>
                          <w:szCs w:val="24"/>
                          <w:shd w:val="clear" w:color="auto" w:fill="FFFFFF"/>
                        </w:rPr>
                        <w:t>21</w:t>
                      </w:r>
                    </w:sdtContent>
                  </w:sdt>
                  <w:r>
                    <w:rPr>
                      <w:color w:val="000000"/>
                      <w:kern w:val="2"/>
                      <w:szCs w:val="24"/>
                      <w:shd w:val="clear" w:color="auto" w:fill="FFFFFF"/>
                    </w:rPr>
                    <w:t xml:space="preserve">. Asmens duomenys, pateikiami įmokos naudojimo tikslais pagal Aprašo nuostatas, tvarkomi vadovaujantis 2016 m. balandžio 27 d. Europos Parlamento ir Tarybos reglamentu </w:t>
                  </w:r>
                  <w:fldSimple w:instr="HYPERLINK http://eur-lex.europa.eu/legal-content/LIT/TXT/?uri=CELEX:3679R2016&amp;locale=lt \t _blank">
                    <w:r>
                      <w:rPr>
                        <w:color w:val="0000FF" w:themeColor="hyperlink"/>
                        <w:kern w:val="2"/>
                        <w:szCs w:val="24"/>
                        <w:shd w:val="clear" w:color="auto" w:fill="FFFFFF"/>
                        <w:u w:val="single"/>
                      </w:rPr>
                      <w:t>(ES) 2016/679</w:t>
                    </w:r>
                  </w:fldSimple>
                  <w:r>
                    <w:rPr>
                      <w:color w:val="000000"/>
                      <w:kern w:val="2"/>
                      <w:szCs w:val="24"/>
                      <w:shd w:val="clear" w:color="auto" w:fill="FFFFFF"/>
                    </w:rPr>
                    <w:t xml:space="preserve"> dėl fizinių asmenų apsaugos tvarkant asmens duomenis ir dėl laisvo tokių duomenų judėjimo ir kuriuo panaikinama Direktyva </w:t>
                  </w:r>
                  <w:fldSimple w:instr="HYPERLINK http://eur-lex.europa.eu/legal-content/LIT/TXT/?uri=CELEX:31995L0046&amp;locale=lt \t _blank">
                    <w:r>
                      <w:rPr>
                        <w:color w:val="0000FF" w:themeColor="hyperlink"/>
                        <w:kern w:val="2"/>
                        <w:szCs w:val="24"/>
                        <w:shd w:val="clear" w:color="auto" w:fill="FFFFFF"/>
                        <w:u w:val="single"/>
                      </w:rPr>
                      <w:t>95/46/EB</w:t>
                    </w:r>
                  </w:fldSimple>
                  <w:r>
                    <w:rPr>
                      <w:color w:val="000000"/>
                      <w:kern w:val="2"/>
                      <w:szCs w:val="24"/>
                      <w:shd w:val="clear" w:color="auto" w:fill="FFFFFF"/>
                    </w:rPr>
                    <w:t xml:space="preserve"> (Bendrasis duomenų apsaugos reglamentas), Lietuvos Respublikos asmens duomenų teisinės apsaugos įstatymu bei kitais Lietuvos Respublikos teisės aktais, reglamentuojančiais asmens duomenų apsaugą.</w:t>
                  </w:r>
                </w:p>
              </w:sdtContent>
            </w:sdt>
            <w:sdt>
              <w:sdtPr>
                <w:alias w:val="22 p."/>
                <w:tag w:val="part_e17bfc19a8a14bd1b693fb764463cc29"/>
                <w:lock w:val="sdtLocked"/>
                <w:richText/>
              </w:sdtPr>
              <w:sdtContent>
                <w:p>
                  <w:pPr>
                    <w:suppressAutoHyphens/>
                    <w:ind w:firstLine="1028"/>
                    <w:jc w:val="both"/>
                    <w:textAlignment w:val="baseline"/>
                    <w:rPr>
                      <w:bCs/>
                      <w:szCs w:val="24"/>
                      <w:lang w:eastAsia="lt-LT"/>
                    </w:rPr>
                  </w:pPr>
                  <w:sdt>
                    <w:sdtPr>
                      <w:alias w:val="Numeris"/>
                      <w:tag w:val="nr_e17bfc19a8a14bd1b693fb764463cc29"/>
                      <w:lock w:val="sdtLocked"/>
                      <w:richText/>
                    </w:sdtPr>
                    <w:sdtContent>
                      <w:r>
                        <w:rPr>
                          <w:color w:val="000000"/>
                          <w:szCs w:val="24"/>
                          <w:shd w:val="clear" w:color="auto" w:fill="FFFFFF"/>
                          <w:lang w:eastAsia="zh-CN"/>
                        </w:rPr>
                        <w:t>22</w:t>
                      </w:r>
                    </w:sdtContent>
                  </w:sdt>
                  <w:r>
                    <w:rPr>
                      <w:color w:val="000000"/>
                      <w:szCs w:val="24"/>
                      <w:shd w:val="clear" w:color="auto" w:fill="FFFFFF"/>
                      <w:lang w:eastAsia="zh-CN"/>
                    </w:rPr>
                    <w:t xml:space="preserve">. Dokumentus saugo garantinis vandens tiekėjas Lietuvos Respublikos dokumentų ir archyvų įstatymo nustatyta tvarka Lietuvos vyriausiojo archyvaro nustatytais terminais. </w:t>
                  </w:r>
                </w:p>
                <w:p>
                  <w:pPr>
                    <w:tabs>
                      <w:tab w:val="left" w:pos="993"/>
                    </w:tabs>
                    <w:suppressAutoHyphens/>
                    <w:ind w:left="709" w:firstLine="2880"/>
                    <w:jc w:val="both"/>
                    <w:textAlignment w:val="baseline"/>
                    <w:rPr>
                      <w:bCs/>
                      <w:szCs w:val="24"/>
                      <w:lang w:eastAsia="lt-LT"/>
                    </w:rPr>
                  </w:pPr>
                  <w:r>
                    <w:rPr>
                      <w:rFonts w:ascii="Arial" w:hAnsi="Arial" w:cs="Arial"/>
                      <w:color w:val="000000"/>
                      <w:kern w:val="2"/>
                      <w:sz w:val="22"/>
                      <w:szCs w:val="22"/>
                      <w:shd w:val="clear" w:color="auto" w:fill="FFFFFF"/>
                    </w:rPr>
                    <w:t>______________</w:t>
                  </w:r>
                  <w:r>
                    <w:rPr>
                      <w:color w:val="000000"/>
                      <w:szCs w:val="24"/>
                      <w:lang w:eastAsia="zh-CN"/>
                    </w:rPr>
                    <w:br/>
                  </w:r>
                </w:p>
                <w:p>
                  <w:pPr>
                    <w:spacing w:line="259" w:lineRule="auto"/>
                    <w:rPr>
                      <w:kern w:val="2"/>
                      <w:szCs w:val="24"/>
                      <w:lang w:val="en-US"/>
                    </w:rPr>
                  </w:pPr>
                </w:p>
                <w:p>
                  <w:pPr>
                    <w:rPr>
                      <w:sz w:val="14"/>
                      <w:szCs w:val="14"/>
                    </w:rPr>
                  </w:pPr>
                </w:p>
                <w:p/>
              </w:sdtContent>
            </w:sdt>
          </w:sdtContent>
        </w:sdt>
      </w:sdtContent>
    </w:sdt>
    <w:sectPr>
      <w:pgSz w:w="11906" w:h="16838"/>
      <w:pgMar w:top="567" w:right="991" w:bottom="1134" w:left="1134" w:header="567" w:footer="567" w:gutter="0"/>
      <w:pgNumType w:start="1"/>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kern w:val="2"/>
          <w:sz w:val="22"/>
          <w:szCs w:val="22"/>
        </w:rPr>
      </w:pPr>
      <w:r>
        <w:rPr>
          <w:kern w:val="2"/>
          <w:sz w:val="22"/>
          <w:szCs w:val="22"/>
        </w:rPr>
        <w:separator/>
      </w:r>
    </w:p>
  </w:endnote>
  <w:endnote w:type="continuationSeparator" w:id="0">
    <w:p>
      <w:pPr>
        <w:rPr>
          <w:kern w:val="2"/>
          <w:sz w:val="22"/>
          <w:szCs w:val="22"/>
        </w:rPr>
      </w:pPr>
      <w:r>
        <w:rPr>
          <w:kern w:val="2"/>
          <w:sz w:val="22"/>
          <w:szCs w:val="22"/>
        </w:rPr>
        <w:continuationSeparator/>
      </w:r>
    </w:p>
  </w:endnote>
  <w:endnote w:type="continuationNotice" w:id="1">
    <w:p>
      <w:pPr>
        <w:rPr>
          <w:kern w:val="2"/>
          <w:sz w:val="22"/>
          <w:szCs w:val="22"/>
        </w:rPr>
      </w:pP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AFF" w:usb1="C0007843"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kern w:val="2"/>
        <w:sz w:val="22"/>
        <w:szCs w:val="22"/>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kern w:val="2"/>
        <w:sz w:val="22"/>
        <w:szCs w:val="22"/>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kern w:val="2"/>
        <w:sz w:val="22"/>
        <w:szCs w:val="22"/>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kern w:val="2"/>
          <w:sz w:val="22"/>
          <w:szCs w:val="22"/>
        </w:rPr>
      </w:pPr>
      <w:r>
        <w:rPr>
          <w:kern w:val="2"/>
          <w:sz w:val="22"/>
          <w:szCs w:val="22"/>
        </w:rPr>
        <w:separator/>
      </w:r>
    </w:p>
  </w:footnote>
  <w:footnote w:type="continuationSeparator" w:id="0">
    <w:p>
      <w:pPr>
        <w:rPr>
          <w:kern w:val="2"/>
          <w:sz w:val="22"/>
          <w:szCs w:val="22"/>
        </w:rPr>
      </w:pPr>
      <w:r>
        <w:rPr>
          <w:kern w:val="2"/>
          <w:sz w:val="22"/>
          <w:szCs w:val="22"/>
        </w:rPr>
        <w:continuationSeparator/>
      </w:r>
    </w:p>
  </w:footnote>
  <w:footnote w:type="continuationNotice" w:id="1">
    <w:p>
      <w:pPr>
        <w:rPr>
          <w:kern w:val="2"/>
          <w:sz w:val="22"/>
          <w:szCs w:val="22"/>
        </w:rPr>
      </w:pP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kern w:val="2"/>
        <w:sz w:val="22"/>
        <w:szCs w:val="22"/>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jc w:val="center"/>
      <w:rPr>
        <w:kern w:val="2"/>
        <w:szCs w:val="24"/>
      </w:rPr>
    </w:pPr>
    <w:r>
      <w:rPr>
        <w:kern w:val="2"/>
        <w:szCs w:val="24"/>
      </w:rPr>
      <w:fldChar w:fldCharType="begin"/>
    </w:r>
    <w:r>
      <w:rPr>
        <w:kern w:val="2"/>
        <w:szCs w:val="24"/>
      </w:rPr>
      <w:instrText>PAGE   \* MERGEFORMAT</w:instrText>
    </w:r>
    <w:r>
      <w:rPr>
        <w:kern w:val="2"/>
        <w:szCs w:val="24"/>
      </w:rPr>
      <w:fldChar w:fldCharType="separate"/>
    </w:r>
    <w:r>
      <w:rPr>
        <w:kern w:val="2"/>
        <w:szCs w:val="24"/>
      </w:rPr>
      <w:t>2</w:t>
    </w:r>
    <w:r>
      <w:rPr>
        <w:kern w:val="2"/>
        <w:szCs w:val="24"/>
      </w:rPr>
      <w:fldChar w:fldCharType="end"/>
    </w:r>
  </w:p>
  <w:p>
    <w:pPr>
      <w:tabs>
        <w:tab w:val="left" w:pos="3344"/>
        <w:tab w:val="left" w:pos="8291"/>
      </w:tabs>
      <w:spacing w:before="120" w:after="60" w:line="259" w:lineRule="auto"/>
      <w:ind w:left="-17" w:firstLine="17"/>
      <w:jc w:val="center"/>
      <w:rPr>
        <w:b/>
        <w:bCs/>
        <w:kern w:val="2"/>
        <w:sz w:val="22"/>
        <w:szCs w:val="22"/>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kern w:val="2"/>
        <w:sz w:val="22"/>
        <w:szCs w:val="22"/>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633A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55AAA5F3-7FA9-4CB0-87E2-06A3AF594C1F}"/>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header" Target="header3.xml"/>
  <Relationship Id="rId11" Type="http://schemas.openxmlformats.org/officeDocument/2006/relationships/footer" Target="footer3.xml"/>
  <Relationship Id="rId12" Type="http://schemas.openxmlformats.org/officeDocument/2006/relationships/fontTable" Target="fontTable.xml"/>
  <Relationship Id="rId13" Type="http://schemas.openxmlformats.org/officeDocument/2006/relationships/theme" Target="theme/theme1.xml"/>
  <Relationship Id="rId14"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header" Target="header1.xml"/>
  <Relationship Id="rId7" Type="http://schemas.openxmlformats.org/officeDocument/2006/relationships/header" Target="header2.xml"/>
  <Relationship Id="rId8" Type="http://schemas.openxmlformats.org/officeDocument/2006/relationships/footer" Target="footer1.xml"/>
  <Relationship Id="rId9" Type="http://schemas.openxmlformats.org/officeDocument/2006/relationships/footer" Target="footer2.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1c47be7a09fe43c0acf0f920c2c9375f" PartId="bcc952e2382b4859adf8078d90be611a">
    <Part Type="preambule" DocPartId="715dedf911c743a69aaf5ce9775a3303" PartId="f0e2d6a7488f44038b6d2c4249e1493e"/>
    <Part Type="punktas" Nr="1" Abbr="1 p." DocPartId="d1e749de154547799eea0596e287363c" PartId="0c38cc7d39cd467ea8f8a00b34d7c680"/>
    <Part Type="punktas" Nr="2" Abbr="2 p." DocPartId="01e2868c83d84554aa7917b0dd308762" PartId="743c3b51d3c64f769fd2392d1a655474"/>
    <Part Type="signatura" DocPartId="a47680bd26784a23ae2c78f2e725363e" PartId="635b1c9d598f4d64a7a9e90503a05174"/>
  </Part>
  <Part Type="patvirtinta" Title="GARANTINIAM GERIAMOJO VANDENS TIEKIMO IR NUOTEKŲ TVARKYMO PASLAUGŲ UŽTIKRINIMUI MOKAMŲ ĮMOKŲ NAUDOJIMO TVARKOS APRAŠAS" DocPartId="1bb8f8b3daca4a93b623d8a705b5e9d8" PartId="48bbeb85cfef4727a18aed4f40a4cae5">
    <Part Type="skirsnis" Title="I SKYRIUS BENDROSIOS NUOSTATOS" DocPartId="b5027b52cef6432db722bd498cb9d35b" PartId="2ebca2066ce94a5db826beef9137aeaf">
      <Part Type="punktas" Nr="1" Abbr="1 p." DocPartId="89ede85ea534428b889eb31eb02cf4ee" PartId="d019565964a440a4be7cab07d8ca505f"/>
      <Part Type="punktas" Nr="2" Abbr="2 p." DocPartId="3aa7756f8b19458abcc283ec385658bd" PartId="472df4446d3740089e06fd02a87e78d2"/>
    </Part>
    <Part Type="skyrius" Nr="2" Title="ĮMOKŲ LĖŠŲ KAUPIMAS IR APSAUGA" DocPartId="dd011811ee10463a932edea21b0dc21d" PartId="558e83f5c6784140a3b670825b61f7aa">
      <Part Type="punktas" Nr="3" Abbr="3 p." DocPartId="f7017527ad3a481daa287f259240976d" PartId="6c68e046407746b7ae5d677a7db1ee95"/>
      <Part Type="punktas" Nr="4" Abbr="4 p." DocPartId="ea1eba4368e94e6d8b0bf37b9db07991" PartId="efebd2e8164c4049afb0acb8476f3e4e"/>
      <Part Type="punktas" Nr="5" Abbr="5 p." DocPartId="c06fd5d24de5483da0f7c697ee546032" PartId="d838cd8b8dd14ce6a121a3683ebf6bd3"/>
      <Part Type="punktas" Nr="6" Abbr="6 p." DocPartId="6321397f905445ab8e6d38a34cf0fe22" PartId="20f67c571967419bbf864a102d855609"/>
      <Part Type="punktas" Nr="7" Abbr="7 p." DocPartId="7680e0a6caf646c88948181a1e94cdfb" PartId="3a818ed5fd644fd180fd5203c952407b"/>
      <Part Type="punktas" Nr="8" Abbr="8 p." DocPartId="f8a12198470d4f52bc0cae11541e609f" PartId="5958a99dc1dc47bb82f5a791ae449794"/>
      <Part Type="punktas" Nr="9" Abbr="9 p." DocPartId="0993994fb8fc49d88b16ec14485b6453" PartId="b809ac6e3e7b4e90919fa2038bda0ead"/>
      <Part Type="punktas" Nr="10" Abbr="10 p." DocPartId="9f6e0c4c233f4eb9bc8ddb662779875a" PartId="98ff35f948094fdb994d12a3b0a24375"/>
    </Part>
    <Part Type="skyrius" Nr="3" Title="ĮMOKŲ LĖŠŲ NAUDOJIMAS" DocPartId="c3598ddb992948af93c3eb33ad1e0335" PartId="8dd5c4a1b91947a1903b8c8d937e54c6">
      <Part Type="punktas" Nr="11" Abbr="11 p." DocPartId="04479613ca904e65b760cf3e57ea3c6b" PartId="96ed912f516a4ce0a01e609bb815873e"/>
      <Part Type="punktas" Nr="12" Abbr="12 p." DocPartId="c98487cce48b4c81816759eebaab4f27" PartId="f012b55c2a3d44f9ac244ffed2f3a176">
        <Part Type="papunktis" Nr="12.1" Abbr="12.1 pp." DocPartId="337077f99f644ca6b550512da29b84c3" PartId="731072a2e199465b9d1f959a16f978b0"/>
        <Part Type="papunktis" Nr="12.2" Abbr="12.2 pp." DocPartId="9a2c7a4071e748d9a34691d673c48c7d" PartId="328029e59a2145458f9d064d7f8179e3"/>
      </Part>
      <Part Type="punktas" Nr="13" Abbr="13 p." DocPartId="4656a4d3372c4b76980f12e622d200cf" PartId="5f97ebd3c42a4257b3b66798649b2730">
        <Part Type="papunktis" Nr="13.1" Abbr="13.1 pp." DocPartId="01d5463c69a343e7a96c7cf131eac826" PartId="1afb5c3912ab44afaa058426f6d573ee"/>
        <Part Type="papunktis" Nr="13.2" Abbr="13.2 pp." DocPartId="11119f82b1d5400d874fc0fa92226d2b" PartId="565acf65f79d44a99c228f916664867b"/>
        <Part Type="papunktis" Nr="13.3" Abbr="13.3 pp." DocPartId="84fad7bfa5a7447f8ccda9dee3635910" PartId="8245e8e44c3c4377afb70f2c6f9863fa"/>
      </Part>
      <Part Type="punktas" Nr="14" Abbr="14 p." DocPartId="02fa433eec3949d58428a923b6fa2246" PartId="a85545a526e04568ad979349e8a62010"/>
      <Part Type="punktas" Nr="15" Abbr="15 p." DocPartId="0c4817b01efd440cb69718c3e2fc4b23" PartId="2a4486b744414d2ca331a52e4b61f667"/>
      <Part Type="punktas" Nr="16" Abbr="16 p." DocPartId="214c2efad48d47d2b69367174c8f406e" PartId="100605cd52f54aec8db499374d5a4b88">
        <Part Type="papunktis" Nr="16.1" Abbr="16.1 pp." DocPartId="8e86558b74804e5595069a7e0532f022" PartId="46da470717c34a90b1ef907a8b601828"/>
        <Part Type="papunktis" Nr="16.2" Abbr="16.2 pp." DocPartId="3c0d823dff3746e2b27b7f16586b642e" PartId="14daa72154cb4732a6b55aafb8526ab9"/>
        <Part Type="papunktis" Nr="16.3" Abbr="16.3 pp." DocPartId="2529fa6c99fa4a3b916745d95337e818" PartId="e15b6ec9fef341ce96cf25d8a60d777d"/>
      </Part>
      <Part Type="punktas" Nr="17" Abbr="17 p." DocPartId="5c568a30039143f4a46ba2234ac962b6" PartId="8437d2ff2777449aa2b8e417565028b8"/>
      <Part Type="punktas" Nr="18" Abbr="18 p." DocPartId="19936b9d7fd04afaaf8d4124c6436c5f" PartId="dcd5df5c3fcc48f7b31d97e2e0b66e3a"/>
      <Part Type="punktas" Nr="19" Abbr="19 p." DocPartId="20f9574095244e309a904119806c42a8" PartId="cd05958d73fd47fcb75c53dc7fb09956"/>
    </Part>
    <Part Type="skyrius" Nr="4" Title="BAIGIAMOSIOS NUOSTATOS" DocPartId="bfca11b430db497d96ca77e10178ef8b" PartId="b3ab05fc4ad649978d838d6f693098d7">
      <Part Type="punktas" Nr="20" Abbr="20 p." DocPartId="a8c99ddb6a2a4740b54f6b5204ea72ca" PartId="e3746136c631404db8b9ca976c6afc1e"/>
      <Part Type="punktas" Nr="21" Abbr="21 p." DocPartId="dadf10743bbc4e038ad4b66a49168d7e" PartId="10caa8f2b7f84966a561cd25168ec018"/>
      <Part Type="punktas" Nr="22" Abbr="22 p." DocPartId="204258306b3146febeb9155efdb748df" PartId="e17bfc19a8a14bd1b693fb764463cc29"/>
    </Part>
  </Part>
</Parts>
</file>

<file path=customXml/itemProps1.xml><?xml version="1.0" encoding="utf-8"?>
<ds:datastoreItem xmlns:ds="http://schemas.openxmlformats.org/officeDocument/2006/customXml" ds:itemID="{336D71DF-4D0A-49B8-9626-11F4762ACC65}">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1158</Words>
  <Characters>8378</Characters>
  <Application>Microsoft Office Word</Application>
  <DocSecurity>4</DocSecurity>
  <Lines>190</Lines>
  <Paragraphs>58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9478</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2023-10-30T07:51:00Z</dcterms:created>
  <dc:creator>Dovilė Navickienė</dc:creator>
  <lastModifiedBy>adlibuser</lastModifiedBy>
  <dcterms:modified xsi:type="dcterms:W3CDTF">2023-10-30T07:51:00Z</dcterms:modified>
  <revision>2</revision>
</coreProperties>
</file>