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59c08e27cee42d193c3fdfc0788b83d"/>
        <w:lock w:val="sdtLocked"/>
        <w:richText/>
      </w:sdtPr>
      <w:sdtContent>
        <w:p w14:paraId="485D3EDF" w14:textId="77777777">
          <w:pPr>
            <w:ind w:right="-44"/>
            <w:jc w:val="center"/>
          </w:pPr>
          <w:r>
            <w:object w:dxaOrig="750" w:dyaOrig="855" w14:anchorId="7ECAE2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8.25pt;height:44.25pt;mso-width-percent:0;mso-height-percent:0;mso-width-percent:0;mso-height-percent:0" o:ole="" fillcolor="window">
                <v:imagedata r:id="rId5" o:title=""/>
              </v:shape>
              <o:OLEObject Type="Embed" ProgID="CorelPhotoPaint.Image.9" ShapeID="_x0000_i1025" DrawAspect="Content" ObjectID="_1840340202" r:id="rId6"/>
            </w:object>
          </w:r>
        </w:p>
        <w:p w14:paraId="3C41D1BF" w14:textId="77777777">
          <w:pPr>
            <w:jc w:val="center"/>
            <w:rPr>
              <w:sz w:val="26"/>
              <w:szCs w:val="26"/>
            </w:rPr>
          </w:pPr>
        </w:p>
        <w:p w14:paraId="441852F8" w14:textId="77777777">
          <w:pPr>
            <w:jc w:val="center"/>
            <w:rPr>
              <w:b/>
              <w:sz w:val="28"/>
              <w:szCs w:val="28"/>
            </w:rPr>
          </w:pPr>
          <w:r>
            <w:rPr>
              <w:b/>
              <w:sz w:val="28"/>
              <w:szCs w:val="28"/>
            </w:rPr>
            <w:t>VILNIAUS RAJONO SAVIVALDYBĖS TARYBA</w:t>
          </w:r>
        </w:p>
        <w:p w14:paraId="2519960D" w14:textId="77777777">
          <w:pPr>
            <w:jc w:val="center"/>
            <w:rPr>
              <w:sz w:val="26"/>
              <w:szCs w:val="26"/>
            </w:rPr>
          </w:pPr>
        </w:p>
        <w:p w14:paraId="619E28B1" w14:textId="77777777">
          <w:pPr>
            <w:jc w:val="center"/>
            <w:rPr>
              <w:b/>
              <w:szCs w:val="24"/>
            </w:rPr>
          </w:pPr>
          <w:r>
            <w:rPr>
              <w:b/>
              <w:szCs w:val="24"/>
            </w:rPr>
            <w:t xml:space="preserve">SPRENDIMAS </w:t>
          </w:r>
        </w:p>
        <w:p w14:paraId="0B8C0271" w14:textId="77777777">
          <w:pPr>
            <w:jc w:val="center"/>
            <w:rPr>
              <w:b/>
              <w:szCs w:val="24"/>
            </w:rPr>
          </w:pPr>
          <w:r>
            <w:rPr>
              <w:b/>
              <w:szCs w:val="24"/>
            </w:rPr>
            <w:t>DĖL 2025 METŲ VILNIAUS RAJONO SAVIVALDYBĖS METINIŲ ATASKAITŲ RINKINIO PATVIRTINIMO</w:t>
          </w:r>
        </w:p>
        <w:p w14:paraId="1546715C" w14:textId="77777777">
          <w:pPr>
            <w:ind w:firstLine="851"/>
            <w:jc w:val="center"/>
            <w:rPr>
              <w:b/>
              <w:szCs w:val="24"/>
            </w:rPr>
          </w:pPr>
        </w:p>
        <w:p w14:paraId="4A7794C3" w14:textId="77777777">
          <w:pPr>
            <w:jc w:val="center"/>
            <w:rPr>
              <w:bCs/>
              <w:szCs w:val="24"/>
            </w:rPr>
          </w:pPr>
          <w:r>
            <w:rPr>
              <w:bCs/>
              <w:szCs w:val="24"/>
            </w:rPr>
            <w:t xml:space="preserve">2026 m.                         d.   Nr.  </w:t>
          </w:r>
        </w:p>
        <w:p w14:paraId="6892DB79" w14:textId="77777777">
          <w:pPr>
            <w:jc w:val="center"/>
            <w:rPr>
              <w:bCs/>
              <w:szCs w:val="24"/>
            </w:rPr>
          </w:pPr>
          <w:r>
            <w:rPr>
              <w:bCs/>
              <w:szCs w:val="24"/>
            </w:rPr>
            <w:t>Vilnius</w:t>
          </w:r>
        </w:p>
        <w:p w14:paraId="64FA9A9B" w14:textId="77777777">
          <w:pPr>
            <w:ind w:firstLine="851"/>
            <w:jc w:val="center"/>
            <w:rPr>
              <w:b/>
              <w:szCs w:val="24"/>
            </w:rPr>
          </w:pPr>
        </w:p>
        <w:sdt>
          <w:sdtPr>
            <w:alias w:val="preambule"/>
            <w:tag w:val="part_5e36a715830c423fb968e6769fc7de1f"/>
            <w:lock w:val="sdtLocked"/>
            <w:richText/>
          </w:sdtPr>
          <w:sdtContent>
            <w:p w14:paraId="7D0A0A7D" w14:textId="76031165">
              <w:pPr>
                <w:ind w:firstLine="913"/>
                <w:jc w:val="both"/>
                <w:rPr>
                  <w:bCs/>
                  <w:szCs w:val="24"/>
                </w:rPr>
              </w:pPr>
              <w:r>
                <w:rPr>
                  <w:bCs/>
                  <w:szCs w:val="24"/>
                </w:rPr>
                <w:t xml:space="preserve">Vadovaudamasi Lietuvos Respublikos vietos savivaldos įstatymo 15 straipsnio 2 dalies 12 punktu, 62 straipsnio 1 dalimi, 67 straipsnio 1 dalies 2 punktu, </w:t>
              </w:r>
              <w:r>
                <w:rPr>
                  <w:color w:val="000000"/>
                  <w:szCs w:val="24"/>
                </w:rPr>
                <w:t>Lietuvos Respublikos biudžeto sandaros įstatymo 31 straipsnio 2 dalimi, Lietuvos Respublikos viešojo sektoriaus atskaitomybės įstatymo 6 straipsnio 1 dalimi, 11 straipsnio 5 dalimi, Viešojo sektoriaus subjekto metinės veiklos ataskaitos, viešojo sektoriaus subjektų grupės metinės veiklos ataskaitos ir valstybės pažangos ataskaitos rengimo tvarkos aprašo, patvirtinto Lietuvos Respublikos Vyriausybės 2019 m. vasario 13 d. nutarimu Nr. 135 „Dėl Viešojo sektoriaus subjekto metinės veiklos ataskaitos, viešojo sektoriaus subjektų grupės metinės veiklos ataskaitos ir valstybės pažangos ataskaitos rengimo tvarkos aprašo patvirtinimo“, 4 punktu</w:t>
              </w:r>
              <w:r>
                <w:rPr>
                  <w:bCs/>
                  <w:szCs w:val="24"/>
                </w:rPr>
                <w:t xml:space="preserve">, Vilniaus rajono savivaldybės tarybos veiklos reglamento, patvirtinto Vilniaus rajono savivaldybės tarybos 2023 m. balandžio 13 d. sprendimu Nr. T3-119 „Dėl Vilniaus rajono savivaldybės tarybos veiklos reglamento patvirtinimo“, 18.1.12 bei 128.2 papunkčiais, atsižvelgdama į Vilniaus rajono savivaldybės kontrolės ir audito tarnybos 2026 m. gegužės 13 d. išvadą Nr. VL-96-(4.1E) „Dėl 2025 metų Vilniaus rajono savivaldybės metinių ataskaitų rinkinio“, Vilniaus rajono savivaldybės taryba  n u s p r e n d ž i a:</w:t>
              </w:r>
            </w:p>
          </w:sdtContent>
        </w:sdt>
        <w:sdt>
          <w:sdtPr>
            <w:alias w:val="1 p."/>
            <w:tag w:val="part_2dc645a38593466ea803745c1dd035c0"/>
            <w:lock w:val="sdtLocked"/>
            <w:richText/>
          </w:sdtPr>
          <w:sdtContent>
            <w:p w14:paraId="054169FB" w14:textId="77777777">
              <w:pPr>
                <w:tabs>
                  <w:tab w:val="left" w:pos="1134"/>
                </w:tabs>
                <w:ind w:firstLine="851"/>
                <w:jc w:val="both"/>
                <w:rPr>
                  <w:bCs/>
                  <w:szCs w:val="24"/>
                </w:rPr>
              </w:pPr>
              <w:sdt>
                <w:sdtPr>
                  <w:alias w:val="Numeris"/>
                  <w:tag w:val="nr_2dc645a38593466ea803745c1dd035c0"/>
                  <w:lock w:val="sdtLocked"/>
                  <w:richText/>
                </w:sdtPr>
                <w:sdtContent>
                  <w:r>
                    <w:rPr>
                      <w:bCs/>
                      <w:szCs w:val="24"/>
                    </w:rPr>
                    <w:t>1</w:t>
                  </w:r>
                </w:sdtContent>
              </w:sdt>
              <w:r>
                <w:rPr>
                  <w:bCs/>
                  <w:szCs w:val="24"/>
                </w:rPr>
                <w:t>.</w:t>
                <w:tab/>
                <w:t>Patvirtinti 2025 metų Vilniaus rajono savivaldybės metinių ataskaitų rinkinį (pridedama).</w:t>
              </w:r>
            </w:p>
          </w:sdtContent>
        </w:sdt>
        <w:sdt>
          <w:sdtPr>
            <w:alias w:val="2 p."/>
            <w:tag w:val="part_7e07743e74144b77983f3282482f959d"/>
            <w:lock w:val="sdtLocked"/>
            <w:richText/>
          </w:sdtPr>
          <w:sdtContent>
            <w:p w14:paraId="398B6C5E" w14:textId="77777777">
              <w:pPr>
                <w:ind w:left="1134" w:hanging="283"/>
                <w:jc w:val="both"/>
                <w:rPr>
                  <w:bCs/>
                  <w:szCs w:val="24"/>
                </w:rPr>
              </w:pPr>
              <w:sdt>
                <w:sdtPr>
                  <w:alias w:val="Numeris"/>
                  <w:tag w:val="nr_7e07743e74144b77983f3282482f959d"/>
                  <w:lock w:val="sdtLocked"/>
                  <w:richText/>
                </w:sdtPr>
                <w:sdtContent>
                  <w:r>
                    <w:rPr>
                      <w:bCs/>
                      <w:szCs w:val="24"/>
                    </w:rPr>
                    <w:t>2</w:t>
                  </w:r>
                </w:sdtContent>
              </w:sdt>
              <w:r>
                <w:rPr>
                  <w:bCs/>
                  <w:szCs w:val="24"/>
                </w:rPr>
                <w:t>.</w:t>
                <w:tab/>
                <w:t>Skelbti šį sprendimą Vilniaus rajono savivaldybės interneto svetainėje.</w:t>
              </w:r>
            </w:p>
            <w:p w14:paraId="34C9361B" w14:textId="77777777">
              <w:pPr>
                <w:ind w:firstLine="851"/>
                <w:jc w:val="both"/>
                <w:rPr>
                  <w:bCs/>
                  <w:szCs w:val="24"/>
                </w:rPr>
              </w:pPr>
            </w:p>
            <w:p w14:paraId="262D6920" w14:textId="77777777">
              <w:pPr>
                <w:ind w:firstLine="851"/>
                <w:jc w:val="both"/>
                <w:rPr>
                  <w:szCs w:val="24"/>
                </w:rPr>
              </w:pPr>
            </w:p>
            <w:tbl>
              <w:tblPr>
                <w:tblW w:w="0" w:type="auto"/>
                <w:tblLook w:val="04A0" w:firstRow="1" w:lastRow="0" w:firstColumn="1" w:lastColumn="0" w:noHBand="0" w:noVBand="1"/>
              </w:tblPr>
              <w:tblGrid>
                <w:gridCol w:w="5068"/>
                <w:gridCol w:w="5069"/>
              </w:tblGrid>
              <w:tr w14:paraId="259838CE" w14:textId="77777777">
                <w:trPr>
                  <w:trHeight w:val="351"/>
                </w:trPr>
                <w:tc>
                  <w:tcPr>
                    <w:tcW w:w="5068" w:type="dxa"/>
                  </w:tcPr>
                  <w:p w14:paraId="5E359610" w14:textId="77777777">
                    <w:pPr>
                      <w:rPr>
                        <w:szCs w:val="24"/>
                        <w:lang w:eastAsia="lt-LT"/>
                      </w:rPr>
                    </w:pPr>
                    <w:r>
                      <w:rPr>
                        <w:szCs w:val="24"/>
                        <w:lang w:eastAsia="lt-LT"/>
                      </w:rPr>
                      <w:t>Savivaldybės meras</w:t>
                    </w:r>
                  </w:p>
                </w:tc>
                <w:tc>
                  <w:tcPr>
                    <w:tcW w:w="5069" w:type="dxa"/>
                  </w:tcPr>
                  <w:p w14:paraId="48CAC299" w14:textId="77777777">
                    <w:pPr>
                      <w:ind w:firstLine="248"/>
                      <w:jc w:val="right"/>
                      <w:rPr>
                        <w:szCs w:val="24"/>
                        <w:lang w:eastAsia="lt-LT"/>
                      </w:rPr>
                    </w:pPr>
                    <w:r>
                      <w:rPr>
                        <w:szCs w:val="24"/>
                        <w:lang w:eastAsia="lt-LT"/>
                      </w:rPr>
                      <w:t>Robert Duchnevič</w:t>
                    </w:r>
                  </w:p>
                </w:tc>
              </w:tr>
            </w:tbl>
            <w:p w14:paraId="5BC80CC7" w14:textId="77777777"/>
            <w:p w14:paraId="0259811F" w14:textId="77777777"/>
            <w:p w14:paraId="192568D1" w14:textId="77777777"/>
            <w:p w14:paraId="77213889" w14:textId="77777777"/>
            <w:p w14:paraId="461C791F" w14:textId="77777777"/>
            <w:p w14:paraId="604F4E20" w14:textId="77777777"/>
            <w:p w14:paraId="705AC24C" w14:textId="77777777"/>
            <w:p w14:paraId="08F11DD5" w14:textId="77777777"/>
            <w:p w14:paraId="44986DD8" w14:textId="77777777"/>
            <w:p w14:paraId="66110B7C" w14:textId="77777777"/>
            <w:p w14:paraId="0F7C7779" w14:textId="77777777"/>
            <w:p w14:paraId="60690E23" w14:textId="77777777"/>
            <w:p w14:paraId="2070DAF5" w14:textId="2B8D087F">
              <w:pPr>
                <w:rPr>
                  <w:szCs w:val="24"/>
                  <w:lang w:val="pt-BR"/>
                </w:rPr>
              </w:pPr>
              <w:r>
                <w:rPr>
                  <w:szCs w:val="24"/>
                  <w:lang w:val="pt-BR"/>
                </w:rPr>
                <w:t xml:space="preserve">Ilona Leganovič, tel. (0 5)  263 6003, el. paštas ilona.leganovic@vrsa.lt</w:t>
              </w:r>
            </w:p>
          </w:sdtContent>
        </w:sdt>
      </w:sdtContent>
    </w:sdt>
    <w:sectPr>
      <w:pgSz w:w="12240" w:h="15840"/>
      <w:pgMar w:top="1440" w:right="616" w:bottom="1440" w:left="1440" w:header="708" w:footer="708"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90A3230"/>
  <w15:chartTrackingRefBased/>
  <w15:docId w15:val="{C29C417C-2B88-4B91-8AF4-7F29EEB17C8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image" Target="media/image1.png"/>
  <Relationship Id="rId6" Type="http://schemas.openxmlformats.org/officeDocument/2006/relationships/oleObject" Target="embeddings/oleObject1.bin"/>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5c6dc31851b4462b3ac1611e17fb845" PartId="d59c08e27cee42d193c3fdfc0788b83d">
    <Part Type="preambule" DocPartId="6bd9592c4add4edea42f36bb85537293" PartId="5e36a715830c423fb968e6769fc7de1f"/>
    <Part Type="punktas" Nr="1" Abbr="1 p." DocPartId="c4ee9abb1c624007bd6c98d1391ec489" PartId="2dc645a38593466ea803745c1dd035c0"/>
    <Part Type="punktas" Nr="2" Abbr="2 p." DocPartId="ffa2fc655ab64b718aa89814358d3ecf" PartId="7e07743e74144b77983f3282482f959d"/>
  </Part>
</Parts>
</file>

<file path=customXml/itemProps1.xml><?xml version="1.0" encoding="utf-8"?>
<ds:datastoreItem xmlns:ds="http://schemas.openxmlformats.org/officeDocument/2006/customXml" ds:itemID="{07666D70-C88C-4553-BEEC-18A40EC28324}">
  <ds:schemaRefs>
    <ds:schemaRef ds:uri="http://schemas.openxmlformats.org/officeDocument/2006/bibliography"/>
  </ds:schemaRefs>
</ds:datastoreItem>
</file>

<file path=customXml/itemProps2.xml><?xml version="1.0" encoding="utf-8"?>
<ds:datastoreItem xmlns:ds="http://schemas.openxmlformats.org/officeDocument/2006/customXml" ds:itemID="{8588B209-26E7-4EA3-A826-724DFDEBB8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238</Words>
  <Characters>1586</Characters>
  <Application>Microsoft Office Word</Application>
  <DocSecurity>4</DocSecurity>
  <Lines>45</Lines>
  <Paragraphs>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2026-05-15T05:50:00Z</dcterms:created>
  <dc:creator>Ilona Leganovič</dc:creator>
  <lastModifiedBy>adlibuser</lastModifiedBy>
  <dcterms:modified xsi:type="dcterms:W3CDTF">2026-05-15T05:50:00Z</dcterms:modified>
  <revision>2</revision>
</coreProperties>
</file>