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b63762dfca462288a8e461797b75cc"/>
        <w:lock w:val="sdtLocked"/>
        <w:richText/>
      </w:sdtPr>
      <w:sdtContent>
        <w:p>
          <w:pPr>
            <w:tabs>
              <w:tab w:val="center" w:pos="4153"/>
              <w:tab w:val="right" w:pos="8306"/>
            </w:tabs>
            <w:rPr>
              <w:lang w:eastAsia="lt-LT"/>
            </w:rPr>
          </w:pPr>
        </w:p>
        <w:p>
          <w:pPr>
            <w:jc w:val="right"/>
            <w:rPr>
              <w:b/>
              <w:bCs/>
              <w:szCs w:val="24"/>
            </w:rPr>
          </w:pPr>
          <w:r>
            <w:rPr>
              <w:b/>
              <w:bCs/>
              <w:szCs w:val="24"/>
            </w:rPr>
            <w:t>Projektas</w:t>
          </w:r>
        </w:p>
        <w:p>
          <w:pPr>
            <w:jc w:val="right"/>
            <w:rPr>
              <w:b/>
              <w:bCs/>
              <w:szCs w:val="24"/>
            </w:rPr>
          </w:pPr>
        </w:p>
        <w:p>
          <w:pPr>
            <w:widowControl w:val="0"/>
            <w:shd w:val="clear" w:color="auto" w:fill="FFFFFF"/>
            <w:jc w:val="center"/>
            <w:rPr>
              <w:b/>
              <w:bCs/>
            </w:rPr>
          </w:pPr>
          <w:r>
            <w:rPr>
              <w:b/>
              <w:bCs/>
              <w:lang w:val="en-US"/>
            </w:rPr>
            <w:drawing>
              <wp:anchor distT="0" distB="0" distL="114300" distR="114300" simplePos="0" relativeHeight="251659264" behindDoc="0" locked="0" layoutInCell="1" allowOverlap="1" wp14:anchorId="5A3A3AAE" wp14:editId="06EA0340">
                <wp:simplePos x="0" y="0"/>
                <wp:positionH relativeFrom="column">
                  <wp:posOffset>0</wp:posOffset>
                </wp:positionH>
                <wp:positionV relativeFrom="paragraph">
                  <wp:posOffset>0</wp:posOffset>
                </wp:positionV>
                <wp:extent cx="9525" cy="9525"/>
                <wp:effectExtent l="0" t="0" r="0" b="0"/>
                <wp:wrapNone/>
                <wp:docPr id="2"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t>LIETUVOS RESPUBLIKOS FINANSŲ MINISTRAS</w:t>
          </w:r>
        </w:p>
        <w:p>
          <w:pPr>
            <w:widowControl w:val="0"/>
            <w:shd w:val="clear" w:color="auto" w:fill="FFFFFF"/>
            <w:jc w:val="center"/>
            <w:rPr>
              <w:spacing w:val="60"/>
            </w:rPr>
          </w:pPr>
        </w:p>
        <w:p>
          <w:pPr>
            <w:tabs>
              <w:tab w:val="left" w:pos="426"/>
              <w:tab w:val="left" w:pos="567"/>
              <w:tab w:val="left" w:pos="851"/>
              <w:tab w:val="left" w:pos="993"/>
              <w:tab w:val="left" w:pos="1134"/>
            </w:tabs>
            <w:spacing w:line="276" w:lineRule="auto"/>
            <w:jc w:val="center"/>
            <w:rPr>
              <w:b/>
              <w:bCs/>
              <w:szCs w:val="22"/>
            </w:rPr>
          </w:pPr>
          <w:r>
            <w:rPr>
              <w:b/>
              <w:bCs/>
              <w:szCs w:val="22"/>
            </w:rPr>
            <w:t>ĮSAKYMAS</w:t>
          </w:r>
        </w:p>
        <w:p>
          <w:pPr>
            <w:jc w:val="center"/>
            <w:rPr>
              <w:b/>
              <w:szCs w:val="24"/>
              <w:lang w:eastAsia="lt-LT"/>
            </w:rPr>
          </w:pPr>
          <w:r>
            <w:rPr>
              <w:b/>
              <w:bCs/>
            </w:rPr>
            <w:t xml:space="preserve">DĖL </w:t>
          </w:r>
          <w:r>
            <w:rPr>
              <w:b/>
              <w:szCs w:val="22"/>
            </w:rPr>
            <w:t>FINANSŲ MINISTRO 2007 M. GRUODŽIO 7 D. ĮSAKYMO NR. 1K-357 „</w:t>
          </w:r>
          <w:r>
            <w:rPr>
              <w:b/>
              <w:szCs w:val="24"/>
              <w:lang w:eastAsia="lt-LT"/>
            </w:rPr>
            <w:t xml:space="preserve">DĖL </w:t>
          </w:r>
          <w:r>
            <w:rPr>
              <w:b/>
              <w:lang w:eastAsia="lt-LT"/>
            </w:rPr>
            <w:t>VIEŠOJO SEKTORIAUS APSKAITOS IR FINANSINĖS ATSKAITOMYBĖS 26-OJO STANDARTO PATVIRTINIMO</w:t>
          </w:r>
          <w:r>
            <w:rPr>
              <w:b/>
              <w:bCs/>
            </w:rPr>
            <w:t>“ PAKEITIMO</w:t>
          </w:r>
        </w:p>
        <w:p>
          <w:pPr>
            <w:jc w:val="center"/>
          </w:pPr>
        </w:p>
        <w:p>
          <w:pPr>
            <w:widowControl w:val="0"/>
            <w:shd w:val="clear" w:color="auto" w:fill="FFFFFF"/>
            <w:jc w:val="center"/>
          </w:pPr>
          <w:r>
            <w:t xml:space="preserve">2024 m.                   d. Nr. </w:t>
          </w:r>
        </w:p>
        <w:p>
          <w:pPr>
            <w:widowControl w:val="0"/>
            <w:shd w:val="clear" w:color="auto" w:fill="FFFFFF"/>
            <w:jc w:val="center"/>
          </w:pPr>
          <w:r>
            <w:t>Vilnius</w:t>
          </w:r>
        </w:p>
        <w:p>
          <w:pPr>
            <w:tabs>
              <w:tab w:val="left" w:pos="851"/>
              <w:tab w:val="left" w:pos="1134"/>
              <w:tab w:val="left" w:pos="1418"/>
            </w:tabs>
            <w:ind w:firstLine="567"/>
            <w:jc w:val="both"/>
          </w:pPr>
        </w:p>
        <w:sdt>
          <w:sdtPr>
            <w:alias w:val="1 p."/>
            <w:tag w:val="part_204e9c1777514c489952a8f6524ec368"/>
            <w:lock w:val="sdtLocked"/>
            <w:richText/>
          </w:sdtPr>
          <w:sdtContent>
            <w:p>
              <w:pPr>
                <w:widowControl w:val="0"/>
                <w:shd w:val="clear" w:color="auto" w:fill="FFFFFF"/>
                <w:tabs>
                  <w:tab w:val="left" w:pos="851"/>
                  <w:tab w:val="left" w:pos="1134"/>
                  <w:tab w:val="left" w:pos="1418"/>
                </w:tabs>
                <w:ind w:firstLine="567"/>
                <w:jc w:val="both"/>
              </w:pPr>
              <w:sdt>
                <w:sdtPr>
                  <w:alias w:val="Numeris"/>
                  <w:tag w:val="nr_204e9c1777514c489952a8f6524ec368"/>
                  <w:lock w:val="sdtLocked"/>
                  <w:richText/>
                </w:sdtPr>
                <w:sdtContent>
                  <w:r>
                    <w:t>1</w:t>
                  </w:r>
                </w:sdtContent>
              </w:sdt>
              <w:r>
                <w:t>.</w:t>
                <w:tab/>
                <w:t>P a k e i č i u Lietuvos Respublikos finansų ministro 2007 m. gruodžio 7 d. įsakymą Nr. 1K-357 „Dėl viešojo sektoriaus apskaitos ir finansinės atskaitomybės 26-ojo standarto patvirtinimo“ ir jį išdėstau nauja redakcija:</w:t>
              </w:r>
            </w:p>
            <w:sdt>
              <w:sdtPr>
                <w:alias w:val="citata"/>
                <w:tag w:val="part_c5b805d7523241a19db45d8299ac90cf"/>
                <w:lock w:val="sdtLocked"/>
                <w:richText/>
              </w:sdtPr>
              <w:sdtContent>
                <w:sdt>
                  <w:sdtPr>
                    <w:alias w:val="pagrindine"/>
                    <w:tag w:val="part_7fd7478ccc1b4677a1b62357a9c21fb3"/>
                    <w:lock w:val="sdtLocked"/>
                    <w:richText/>
                  </w:sdtPr>
                  <w:sdtContent>
                    <w:p>
                      <w:pPr>
                        <w:tabs>
                          <w:tab w:val="left" w:pos="851"/>
                          <w:tab w:val="left" w:pos="993"/>
                        </w:tabs>
                        <w:jc w:val="center"/>
                        <w:textAlignment w:val="center"/>
                        <w:rPr>
                          <w:b/>
                          <w:bCs/>
                          <w:szCs w:val="24"/>
                          <w:lang w:eastAsia="lt-LT"/>
                        </w:rPr>
                      </w:pPr>
                      <w:r>
                        <w:rPr>
                          <w:szCs w:val="24"/>
                          <w:lang w:eastAsia="lt-LT"/>
                        </w:rPr>
                        <w:t>„</w:t>
                      </w:r>
                      <w:r>
                        <w:rPr>
                          <w:b/>
                          <w:bCs/>
                          <w:szCs w:val="24"/>
                          <w:lang w:eastAsia="lt-LT"/>
                        </w:rPr>
                        <w:t>LIETUVOS RESPUBLIKOS FINANSŲ MINISTRAS</w:t>
                      </w:r>
                    </w:p>
                    <w:p>
                      <w:pPr>
                        <w:tabs>
                          <w:tab w:val="left" w:pos="851"/>
                          <w:tab w:val="left" w:pos="993"/>
                        </w:tabs>
                        <w:ind w:firstLine="709"/>
                        <w:jc w:val="center"/>
                        <w:textAlignment w:val="center"/>
                        <w:rPr>
                          <w:szCs w:val="24"/>
                          <w:lang w:eastAsia="lt-LT"/>
                        </w:rPr>
                      </w:pPr>
                    </w:p>
                    <w:p>
                      <w:pPr>
                        <w:tabs>
                          <w:tab w:val="left" w:pos="851"/>
                          <w:tab w:val="left" w:pos="993"/>
                        </w:tabs>
                        <w:jc w:val="center"/>
                        <w:textAlignment w:val="center"/>
                        <w:rPr>
                          <w:b/>
                          <w:bCs/>
                          <w:szCs w:val="24"/>
                          <w:lang w:eastAsia="lt-LT"/>
                        </w:rPr>
                      </w:pPr>
                      <w:r>
                        <w:rPr>
                          <w:b/>
                          <w:bCs/>
                          <w:szCs w:val="24"/>
                          <w:lang w:eastAsia="lt-LT"/>
                        </w:rPr>
                        <w:t>ĮSAKYMAS</w:t>
                      </w:r>
                    </w:p>
                    <w:p>
                      <w:pPr>
                        <w:tabs>
                          <w:tab w:val="left" w:pos="851"/>
                          <w:tab w:val="left" w:pos="993"/>
                        </w:tabs>
                        <w:jc w:val="center"/>
                        <w:rPr>
                          <w:b/>
                          <w:lang w:eastAsia="lt-LT"/>
                        </w:rPr>
                      </w:pPr>
                      <w:r>
                        <w:rPr>
                          <w:b/>
                          <w:bCs/>
                          <w:szCs w:val="24"/>
                          <w:lang w:eastAsia="lt-LT"/>
                        </w:rPr>
                        <w:t xml:space="preserve">DĖL </w:t>
                      </w:r>
                      <w:r>
                        <w:rPr>
                          <w:b/>
                          <w:lang w:eastAsia="lt-LT"/>
                        </w:rPr>
                        <w:t>26-OJO VIEŠOJO SEKTORIAUS APSKAITOS IR FINANSINĖS ATSKAITOMYBĖS STANDARTO PATVIRTINIMO</w:t>
                      </w:r>
                    </w:p>
                    <w:p>
                      <w:pPr>
                        <w:tabs>
                          <w:tab w:val="left" w:pos="851"/>
                          <w:tab w:val="left" w:pos="993"/>
                        </w:tabs>
                        <w:ind w:firstLine="709"/>
                        <w:jc w:val="center"/>
                        <w:rPr>
                          <w:b/>
                          <w:lang w:eastAsia="lt-LT"/>
                        </w:rPr>
                      </w:pPr>
                    </w:p>
                    <w:sdt>
                      <w:sdtPr>
                        <w:alias w:val="preambule"/>
                        <w:tag w:val="part_2b93cdeb916a4e50a108ed07cb6152b6"/>
                        <w:lock w:val="sdtLocked"/>
                        <w:richText/>
                      </w:sdtPr>
                      <w:sdtContent>
                        <w:p>
                          <w:pPr>
                            <w:tabs>
                              <w:tab w:val="left" w:pos="851"/>
                              <w:tab w:val="left" w:pos="993"/>
                              <w:tab w:val="left" w:pos="1276"/>
                            </w:tabs>
                            <w:ind w:firstLine="709"/>
                            <w:jc w:val="both"/>
                            <w:rPr>
                              <w:szCs w:val="24"/>
                              <w:lang w:eastAsia="lt-LT"/>
                            </w:rPr>
                          </w:pPr>
                          <w:r>
                            <w:rPr>
                              <w:szCs w:val="24"/>
                              <w:lang w:eastAsia="lt-LT"/>
                            </w:rPr>
                            <w:t>Vadovaudamasis Lietuvos Respublikos finansinės apskaitos įstatymo 12 straipsnio 2 dalimi,</w:t>
                          </w:r>
                        </w:p>
                      </w:sdtContent>
                    </w:sdt>
                    <w:sdt>
                      <w:sdtPr>
                        <w:alias w:val="pastraipa"/>
                        <w:tag w:val="part_a352c630925041d8ae34a3e694c8ec7c"/>
                        <w:lock w:val="sdtLocked"/>
                        <w:richText/>
                      </w:sdtPr>
                      <w:sdtContent>
                        <w:p>
                          <w:pPr>
                            <w:tabs>
                              <w:tab w:val="left" w:pos="851"/>
                              <w:tab w:val="left" w:pos="993"/>
                              <w:tab w:val="left" w:pos="1276"/>
                            </w:tabs>
                            <w:ind w:firstLine="709"/>
                            <w:jc w:val="both"/>
                          </w:pPr>
                          <w:r>
                            <w:rPr>
                              <w:szCs w:val="24"/>
                              <w:lang w:eastAsia="lt-LT"/>
                            </w:rPr>
                            <w:t xml:space="preserve">t v i r t i n u 26-ąjį viešojo sektoriaus apskaitos ir finansinės atskaitomybės standartą </w:t>
                          </w:r>
                          <w:r>
                            <w:rPr>
                              <w:bCs/>
                              <w:szCs w:val="24"/>
                              <w:lang w:eastAsia="lt-LT"/>
                            </w:rPr>
                            <w:t>„F</w:t>
                          </w:r>
                          <w:r>
                            <w:rPr>
                              <w:szCs w:val="24"/>
                              <w:lang w:eastAsia="lt-LT"/>
                            </w:rPr>
                            <w:t>ondų apskaita ir finansinių ataskaitų rinkinys</w:t>
                          </w:r>
                          <w:r>
                            <w:rPr>
                              <w:bCs/>
                              <w:szCs w:val="24"/>
                              <w:lang w:eastAsia="lt-LT"/>
                            </w:rPr>
                            <w:t>“ (pridedama).“</w:t>
                          </w:r>
                          <w:r>
                            <w:t xml:space="preserve"> </w:t>
                          </w:r>
                        </w:p>
                      </w:sdtContent>
                    </w:sdt>
                  </w:sdtContent>
                </w:sdt>
              </w:sdtContent>
            </w:sdt>
          </w:sdtContent>
        </w:sdt>
        <w:sdt>
          <w:sdtPr>
            <w:alias w:val="2 p."/>
            <w:tag w:val="part_31be093d94194d1aa8b491968d5807da"/>
            <w:lock w:val="sdtLocked"/>
            <w:richText/>
          </w:sdtPr>
          <w:sdtContent>
            <w:p>
              <w:pPr>
                <w:ind w:firstLine="709"/>
                <w:jc w:val="both"/>
                <w:rPr>
                  <w:szCs w:val="24"/>
                  <w:lang w:eastAsia="lt-LT"/>
                </w:rPr>
              </w:pPr>
              <w:sdt>
                <w:sdtPr>
                  <w:alias w:val="Numeris"/>
                  <w:tag w:val="nr_31be093d94194d1aa8b491968d5807da"/>
                  <w:lock w:val="sdtLocked"/>
                  <w:richText/>
                </w:sdtPr>
                <w:sdtContent>
                  <w:r>
                    <w:rPr>
                      <w:szCs w:val="24"/>
                      <w:lang w:eastAsia="lt-LT"/>
                    </w:rPr>
                    <w:t>2</w:t>
                  </w:r>
                </w:sdtContent>
              </w:sdt>
              <w:r>
                <w:rPr>
                  <w:szCs w:val="24"/>
                  <w:lang w:eastAsia="lt-LT"/>
                </w:rPr>
                <w:t>. N u s t a t a u, kad šis įsakymas taikomas finansinių ataskaitų rinkiniams, rengiamiems už 2026 m. sausio 1 d. ir vėliau prasidedančius ataskaitinius laikotarpius.</w:t>
              </w:r>
            </w:p>
            <w:p>
              <w:pPr>
                <w:tabs>
                  <w:tab w:val="left" w:pos="851"/>
                  <w:tab w:val="left" w:pos="993"/>
                  <w:tab w:val="left" w:pos="1276"/>
                </w:tabs>
                <w:ind w:firstLine="709"/>
                <w:jc w:val="both"/>
              </w:pPr>
            </w:p>
            <w:p>
              <w:pPr>
                <w:widowControl w:val="0"/>
                <w:tabs>
                  <w:tab w:val="right" w:pos="9071"/>
                </w:tabs>
              </w:pPr>
            </w:p>
            <w:p>
              <w:pPr>
                <w:widowControl w:val="0"/>
                <w:tabs>
                  <w:tab w:val="right" w:pos="9071"/>
                </w:tabs>
              </w:pPr>
            </w:p>
            <w:p>
              <w:pPr>
                <w:widowControl w:val="0"/>
                <w:tabs>
                  <w:tab w:val="right" w:pos="9071"/>
                </w:tabs>
              </w:pPr>
            </w:p>
          </w:sdtContent>
        </w:sdt>
        <w:sdt>
          <w:sdtPr>
            <w:alias w:val="signatura"/>
            <w:tag w:val="part_ffc759cfd68b410abb4b6c15b1a4d0ae"/>
            <w:lock w:val="sdtLocked"/>
            <w:richText/>
          </w:sdtPr>
          <w:sdtContent>
            <w:p>
              <w:r>
                <w:t xml:space="preserve">Finansų ministras </w:t>
              </w:r>
            </w:p>
            <w:p>
              <w:pPr>
                <w:widowControl w:val="0"/>
                <w:tabs>
                  <w:tab w:val="center" w:pos="6804"/>
                </w:tabs>
                <w:suppressAutoHyphens/>
                <w:ind w:left="4536" w:firstLine="709"/>
                <w:sectPr>
                  <w:headerReference w:type="even" r:id="rId11"/>
                  <w:headerReference w:type="default" r:id="rId12"/>
                  <w:footerReference w:type="even" r:id="rId13"/>
                  <w:footerReference w:type="default" r:id="rId14"/>
                  <w:headerReference w:type="first" r:id="rId15"/>
                  <w:footerReference w:type="first" r:id="rId16"/>
                  <w:pgSz w:w="11906" w:h="16838" w:code="9"/>
                  <w:pgMar w:top="993" w:right="567" w:bottom="993" w:left="1701" w:header="560" w:footer="686" w:gutter="0"/>
                  <w:cols w:space="1296"/>
                  <w:formProt w:val="0"/>
                  <w:titlePg/>
                </w:sectPr>
              </w:pPr>
            </w:p>
            <w:p>
              <w:pPr>
                <w:tabs>
                  <w:tab w:val="center" w:pos="4819"/>
                  <w:tab w:val="right" w:pos="9638"/>
                </w:tabs>
              </w:pPr>
            </w:p>
          </w:sdtContent>
        </w:sdt>
      </w:sdtContent>
    </w:sdt>
    <w:sdt>
      <w:sdtPr>
        <w:alias w:val="patvirtinta"/>
        <w:tag w:val="part_f017d137d2de4485a716e1913fa94845"/>
        <w:lock w:val="sdtLocked"/>
        <w:richText/>
      </w:sdtPr>
      <w:sdtContent>
        <w:p>
          <w:pPr>
            <w:widowControl w:val="0"/>
            <w:tabs>
              <w:tab w:val="center" w:pos="6804"/>
            </w:tabs>
            <w:suppressAutoHyphens/>
            <w:ind w:left="4536" w:firstLine="709"/>
            <w:rPr>
              <w:lang w:eastAsia="lt-LT"/>
            </w:rPr>
          </w:pPr>
          <w:r>
            <w:rPr>
              <w:lang w:eastAsia="lt-LT"/>
            </w:rPr>
            <w:t>PATVIRTINTA</w:t>
            <w:tab/>
          </w:r>
        </w:p>
        <w:p>
          <w:pPr>
            <w:widowControl w:val="0"/>
            <w:suppressAutoHyphens/>
            <w:ind w:left="4536" w:firstLine="709"/>
            <w:rPr>
              <w:lang w:eastAsia="lt-LT"/>
            </w:rPr>
          </w:pPr>
          <w:r>
            <w:rPr>
              <w:lang w:eastAsia="lt-LT"/>
            </w:rPr>
            <w:t xml:space="preserve">Lietuvos Respublikos finansų ministro </w:t>
          </w:r>
        </w:p>
        <w:p>
          <w:pPr>
            <w:widowControl w:val="0"/>
            <w:suppressAutoHyphens/>
            <w:ind w:left="4536" w:firstLine="709"/>
            <w:rPr>
              <w:lang w:eastAsia="lt-LT"/>
            </w:rPr>
          </w:pPr>
          <w:r>
            <w:rPr>
              <w:lang w:eastAsia="lt-LT"/>
            </w:rPr>
            <w:t>2007 m. gruodžio 7 d. įsakymu Nr. 1K-357</w:t>
          </w:r>
        </w:p>
        <w:p>
          <w:pPr>
            <w:widowControl w:val="0"/>
            <w:suppressAutoHyphens/>
            <w:ind w:left="4536" w:firstLine="709"/>
            <w:rPr>
              <w:lang w:eastAsia="lt-LT"/>
            </w:rPr>
          </w:pPr>
          <w:r>
            <w:rPr>
              <w:lang w:eastAsia="lt-LT"/>
            </w:rPr>
            <w:t>(Lietuvos Respublikos finansų ministro</w:t>
          </w:r>
        </w:p>
        <w:p>
          <w:pPr>
            <w:widowControl w:val="0"/>
            <w:suppressAutoHyphens/>
            <w:ind w:left="4536" w:firstLine="709"/>
            <w:rPr>
              <w:lang w:eastAsia="lt-LT"/>
            </w:rPr>
          </w:pPr>
          <w:r>
            <w:rPr>
              <w:lang w:eastAsia="lt-LT"/>
            </w:rPr>
            <w:t xml:space="preserve">2024 m.         d. įsakymo Nr. 1K-    </w:t>
          </w:r>
        </w:p>
        <w:p>
          <w:pPr>
            <w:widowControl w:val="0"/>
            <w:suppressAutoHyphens/>
            <w:ind w:left="4536" w:firstLine="709"/>
            <w:rPr>
              <w:lang w:eastAsia="lt-LT"/>
            </w:rPr>
          </w:pPr>
          <w:r>
            <w:rPr>
              <w:lang w:eastAsia="lt-LT"/>
            </w:rPr>
            <w:t>redakcija)</w:t>
          </w:r>
        </w:p>
        <w:p>
          <w:pPr>
            <w:tabs>
              <w:tab w:val="left" w:pos="720"/>
            </w:tabs>
            <w:jc w:val="center"/>
            <w:rPr>
              <w:szCs w:val="24"/>
              <w:lang w:eastAsia="lt-LT"/>
            </w:rPr>
          </w:pPr>
        </w:p>
        <w:p>
          <w:pPr>
            <w:tabs>
              <w:tab w:val="left" w:pos="720"/>
            </w:tabs>
            <w:jc w:val="center"/>
            <w:rPr>
              <w:b/>
              <w:szCs w:val="24"/>
              <w:lang w:eastAsia="lt-LT"/>
            </w:rPr>
          </w:pPr>
          <w:sdt>
            <w:sdtPr>
              <w:alias w:val="Pavadinimas"/>
              <w:tag w:val="title_f017d137d2de4485a716e1913fa94845"/>
              <w:lock w:val="sdtLocked"/>
              <w:richText/>
            </w:sdtPr>
            <w:sdtContent>
              <w:r>
                <w:rPr>
                  <w:b/>
                  <w:szCs w:val="24"/>
                  <w:lang w:eastAsia="lt-LT"/>
                </w:rPr>
                <w:t>26-ASIS VIEŠOJO SEKTORIAUS APSKAITOS IR FINANSINĖS ATSKAITOMYBĖS STANDARTAS „FONDŲ APSKAITA IR FINANSINIŲ ATASKAITŲ RINKINYS“</w:t>
              </w:r>
            </w:sdtContent>
          </w:sdt>
        </w:p>
        <w:p>
          <w:pPr>
            <w:tabs>
              <w:tab w:val="left" w:pos="720"/>
            </w:tabs>
            <w:jc w:val="center"/>
            <w:rPr>
              <w:b/>
              <w:szCs w:val="24"/>
              <w:lang w:eastAsia="lt-LT"/>
            </w:rPr>
          </w:pPr>
        </w:p>
        <w:sdt>
          <w:sdtPr>
            <w:alias w:val="skyrius"/>
            <w:tag w:val="part_e97e25838d5e4646b4c7af74c1e7e340"/>
            <w:lock w:val="sdtLocked"/>
            <w:richText/>
          </w:sdtPr>
          <w:sdtContent>
            <w:p>
              <w:pPr>
                <w:jc w:val="center"/>
                <w:rPr>
                  <w:rFonts w:ascii="Courier" w:hAnsi="Courier" w:cs="Courier"/>
                  <w:b/>
                  <w:sz w:val="20"/>
                </w:rPr>
              </w:pPr>
              <w:sdt>
                <w:sdtPr>
                  <w:alias w:val="Numeris"/>
                  <w:tag w:val="nr_e97e25838d5e4646b4c7af74c1e7e340"/>
                  <w:lock w:val="sdtLocked"/>
                  <w:richText/>
                </w:sdtPr>
                <w:sdtContent>
                  <w:r>
                    <w:rPr>
                      <w:b/>
                      <w:lang w:eastAsia="lt-LT"/>
                    </w:rPr>
                    <w:t>I</w:t>
                  </w:r>
                </w:sdtContent>
              </w:sdt>
              <w:r>
                <w:rPr>
                  <w:b/>
                  <w:lang w:eastAsia="lt-LT"/>
                </w:rPr>
                <w:t xml:space="preserve"> SKYRIUS</w:t>
              </w:r>
            </w:p>
            <w:p>
              <w:pPr>
                <w:ind w:left="1080" w:hanging="1080"/>
                <w:jc w:val="center"/>
                <w:rPr>
                  <w:rFonts w:eastAsia="Calibri"/>
                  <w:b/>
                  <w:szCs w:val="24"/>
                </w:rPr>
              </w:pPr>
              <w:sdt>
                <w:sdtPr>
                  <w:alias w:val="Pavadinimas"/>
                  <w:tag w:val="title_e97e25838d5e4646b4c7af74c1e7e340"/>
                  <w:lock w:val="sdtLocked"/>
                  <w:richText/>
                </w:sdtPr>
                <w:sdtContent>
                  <w:r>
                    <w:rPr>
                      <w:rFonts w:eastAsia="Calibri"/>
                      <w:b/>
                      <w:szCs w:val="24"/>
                    </w:rPr>
                    <w:t>BENDROSIOS NUOSTATOS</w:t>
                  </w:r>
                </w:sdtContent>
              </w:sdt>
            </w:p>
            <w:p>
              <w:pPr>
                <w:ind w:left="1080"/>
                <w:rPr>
                  <w:rFonts w:eastAsia="Calibri"/>
                  <w:szCs w:val="24"/>
                </w:rPr>
              </w:pPr>
            </w:p>
            <w:sdt>
              <w:sdtPr>
                <w:alias w:val="1 p."/>
                <w:tag w:val="part_e0dd3422fa75439c822008557deec088"/>
                <w:lock w:val="sdtLocked"/>
                <w:richText/>
              </w:sdtPr>
              <w:sdtContent>
                <w:p>
                  <w:pPr>
                    <w:tabs>
                      <w:tab w:val="left" w:pos="993"/>
                    </w:tabs>
                    <w:ind w:firstLine="709"/>
                    <w:jc w:val="both"/>
                    <w:rPr>
                      <w:szCs w:val="24"/>
                    </w:rPr>
                  </w:pPr>
                  <w:sdt>
                    <w:sdtPr>
                      <w:alias w:val="Numeris"/>
                      <w:tag w:val="nr_e0dd3422fa75439c822008557deec088"/>
                      <w:lock w:val="sdtLocked"/>
                      <w:richText/>
                    </w:sdtPr>
                    <w:sdtContent>
                      <w:r>
                        <w:rPr>
                          <w:szCs w:val="24"/>
                        </w:rPr>
                        <w:t>1</w:t>
                      </w:r>
                    </w:sdtContent>
                  </w:sdt>
                  <w:r>
                    <w:rPr>
                      <w:szCs w:val="24"/>
                    </w:rPr>
                    <w:t>.</w:t>
                    <w:tab/>
                    <w:t>26-ajame viešojo sektoriaus apskaitos ir finansinės atskaitomybės standarte „Fondo apskaita ir finansinių ataskaitų rinkinys“ (toliau – Standartas) nustatomi fondų finansinės apskaitos (toliau – apskaita) ir fondų finansinių ataskaitų rinkinio sudėties ir turinio reikalavimai.</w:t>
                  </w:r>
                </w:p>
              </w:sdtContent>
            </w:sdt>
            <w:sdt>
              <w:sdtPr>
                <w:alias w:val="2 p."/>
                <w:tag w:val="part_05b5959c98cf4747b99fa4068c54cd76"/>
                <w:lock w:val="sdtLocked"/>
                <w:richText/>
              </w:sdtPr>
              <w:sdtContent>
                <w:p>
                  <w:pPr>
                    <w:tabs>
                      <w:tab w:val="left" w:pos="993"/>
                    </w:tabs>
                    <w:ind w:firstLine="709"/>
                    <w:jc w:val="both"/>
                    <w:rPr>
                      <w:szCs w:val="24"/>
                    </w:rPr>
                  </w:pPr>
                  <w:sdt>
                    <w:sdtPr>
                      <w:alias w:val="Numeris"/>
                      <w:tag w:val="nr_05b5959c98cf4747b99fa4068c54cd76"/>
                      <w:lock w:val="sdtLocked"/>
                      <w:richText/>
                    </w:sdtPr>
                    <w:sdtContent>
                      <w:r>
                        <w:rPr>
                          <w:szCs w:val="24"/>
                        </w:rPr>
                        <w:t>2</w:t>
                      </w:r>
                    </w:sdtContent>
                  </w:sdt>
                  <w:r>
                    <w:rPr>
                      <w:szCs w:val="24"/>
                    </w:rPr>
                    <w:t>.</w:t>
                    <w:tab/>
                    <w:t xml:space="preserve">Standartu vadovaujamasi rengiant fondų finansinių ataskaitų rinkinius: </w:t>
                  </w:r>
                </w:p>
                <w:sdt>
                  <w:sdtPr>
                    <w:alias w:val="2.1 pp."/>
                    <w:tag w:val="part_e2a1adcdef824ebf953d057848283c27"/>
                    <w:lock w:val="sdtLocked"/>
                    <w:richText/>
                  </w:sdtPr>
                  <w:sdtContent>
                    <w:p>
                      <w:pPr>
                        <w:tabs>
                          <w:tab w:val="left" w:pos="993"/>
                        </w:tabs>
                        <w:ind w:firstLine="709"/>
                        <w:jc w:val="both"/>
                        <w:rPr>
                          <w:szCs w:val="24"/>
                        </w:rPr>
                      </w:pPr>
                      <w:sdt>
                        <w:sdtPr>
                          <w:alias w:val="Numeris"/>
                          <w:tag w:val="nr_e2a1adcdef824ebf953d057848283c27"/>
                          <w:lock w:val="sdtLocked"/>
                          <w:richText/>
                        </w:sdtPr>
                        <w:sdtContent>
                          <w:r>
                            <w:rPr>
                              <w:szCs w:val="24"/>
                            </w:rPr>
                            <w:t>2.1</w:t>
                          </w:r>
                        </w:sdtContent>
                      </w:sdt>
                      <w:r>
                        <w:rPr>
                          <w:szCs w:val="24"/>
                        </w:rPr>
                        <w:t>.</w:t>
                        <w:tab/>
                        <w:t>išteklių fondų, išskyrus Standarto 3.1–3.4 papunkčiuose nurodytus fondus;</w:t>
                      </w:r>
                    </w:p>
                  </w:sdtContent>
                </w:sdt>
                <w:sdt>
                  <w:sdtPr>
                    <w:alias w:val="2.2 pp."/>
                    <w:tag w:val="part_0cc2dbb0da784f90b364e5781cf45a2c"/>
                    <w:lock w:val="sdtLocked"/>
                    <w:richText/>
                  </w:sdtPr>
                  <w:sdtContent>
                    <w:p>
                      <w:pPr>
                        <w:tabs>
                          <w:tab w:val="left" w:pos="993"/>
                        </w:tabs>
                        <w:ind w:firstLine="709"/>
                        <w:jc w:val="both"/>
                        <w:rPr>
                          <w:szCs w:val="24"/>
                        </w:rPr>
                      </w:pPr>
                      <w:sdt>
                        <w:sdtPr>
                          <w:alias w:val="Numeris"/>
                          <w:tag w:val="nr_0cc2dbb0da784f90b364e5781cf45a2c"/>
                          <w:lock w:val="sdtLocked"/>
                          <w:richText/>
                        </w:sdtPr>
                        <w:sdtContent>
                          <w:r>
                            <w:rPr>
                              <w:szCs w:val="24"/>
                            </w:rPr>
                            <w:t>2.2</w:t>
                          </w:r>
                        </w:sdtContent>
                      </w:sdt>
                      <w:r>
                        <w:rPr>
                          <w:szCs w:val="24"/>
                        </w:rPr>
                        <w:t>.</w:t>
                        <w:tab/>
                        <w:t>mokesčių fondų;</w:t>
                      </w:r>
                    </w:p>
                  </w:sdtContent>
                </w:sdt>
                <w:sdt>
                  <w:sdtPr>
                    <w:alias w:val="2.3 pp."/>
                    <w:tag w:val="part_bebdb157aa3b443bbc5a56137c2f5f4d"/>
                    <w:lock w:val="sdtLocked"/>
                    <w:richText/>
                  </w:sdtPr>
                  <w:sdtContent>
                    <w:p>
                      <w:pPr>
                        <w:tabs>
                          <w:tab w:val="left" w:pos="993"/>
                        </w:tabs>
                        <w:ind w:firstLine="709"/>
                        <w:jc w:val="both"/>
                        <w:rPr>
                          <w:szCs w:val="24"/>
                        </w:rPr>
                      </w:pPr>
                      <w:sdt>
                        <w:sdtPr>
                          <w:alias w:val="Numeris"/>
                          <w:tag w:val="nr_bebdb157aa3b443bbc5a56137c2f5f4d"/>
                          <w:lock w:val="sdtLocked"/>
                          <w:richText/>
                        </w:sdtPr>
                        <w:sdtContent>
                          <w:r>
                            <w:rPr>
                              <w:szCs w:val="24"/>
                            </w:rPr>
                            <w:t>2.3</w:t>
                          </w:r>
                        </w:sdtContent>
                      </w:sdt>
                      <w:r>
                        <w:rPr>
                          <w:szCs w:val="24"/>
                        </w:rPr>
                        <w:t>.</w:t>
                        <w:tab/>
                        <w:t>Lietuvos Respublikos investicijų įstatyme nurodytų fondų fondų arba finansinių priemonių, kai fondų fondas nesteigiamas, (toliau – fondų fondas).</w:t>
                      </w:r>
                    </w:p>
                  </w:sdtContent>
                </w:sdt>
              </w:sdtContent>
            </w:sdt>
            <w:sdt>
              <w:sdtPr>
                <w:alias w:val="3 p."/>
                <w:tag w:val="part_d49a53d7e14347d188c9518b04fcbc64"/>
                <w:lock w:val="sdtLocked"/>
                <w:richText/>
              </w:sdtPr>
              <w:sdtContent>
                <w:p>
                  <w:pPr>
                    <w:tabs>
                      <w:tab w:val="left" w:pos="993"/>
                    </w:tabs>
                    <w:ind w:firstLine="709"/>
                    <w:jc w:val="both"/>
                    <w:rPr>
                      <w:szCs w:val="24"/>
                    </w:rPr>
                  </w:pPr>
                  <w:sdt>
                    <w:sdtPr>
                      <w:alias w:val="Numeris"/>
                      <w:tag w:val="nr_d49a53d7e14347d188c9518b04fcbc64"/>
                      <w:lock w:val="sdtLocked"/>
                      <w:richText/>
                    </w:sdtPr>
                    <w:sdtContent>
                      <w:r>
                        <w:rPr>
                          <w:szCs w:val="24"/>
                        </w:rPr>
                        <w:t>3</w:t>
                      </w:r>
                    </w:sdtContent>
                  </w:sdt>
                  <w:r>
                    <w:rPr>
                      <w:szCs w:val="24"/>
                    </w:rPr>
                    <w:t>.</w:t>
                    <w:tab/>
                    <w:t>Standartas netaikomas:</w:t>
                  </w:r>
                </w:p>
                <w:sdt>
                  <w:sdtPr>
                    <w:alias w:val="3.1 pp."/>
                    <w:tag w:val="part_7758ae9c777f4ba2b4b85cc4c505e23c"/>
                    <w:lock w:val="sdtLocked"/>
                    <w:richText/>
                  </w:sdtPr>
                  <w:sdtContent>
                    <w:p>
                      <w:pPr>
                        <w:tabs>
                          <w:tab w:val="left" w:pos="993"/>
                        </w:tabs>
                        <w:ind w:firstLine="709"/>
                        <w:jc w:val="both"/>
                        <w:rPr>
                          <w:szCs w:val="24"/>
                        </w:rPr>
                      </w:pPr>
                      <w:sdt>
                        <w:sdtPr>
                          <w:alias w:val="Numeris"/>
                          <w:tag w:val="nr_7758ae9c777f4ba2b4b85cc4c505e23c"/>
                          <w:lock w:val="sdtLocked"/>
                          <w:richText/>
                        </w:sdtPr>
                        <w:sdtContent>
                          <w:r>
                            <w:rPr>
                              <w:szCs w:val="24"/>
                            </w:rPr>
                            <w:t>3.1</w:t>
                          </w:r>
                        </w:sdtContent>
                      </w:sdt>
                      <w:r>
                        <w:rPr>
                          <w:szCs w:val="24"/>
                        </w:rPr>
                        <w:t>.</w:t>
                        <w:tab/>
                        <w:t xml:space="preserve">rengiant valstybės socialinių fondų </w:t>
                      </w:r>
                      <w:r>
                        <w:t>ataskaitų rinkinį. Rengiant šį ataskaitų rinkinį taikomas 32-asis viešojo sektoriaus apskaitos ir finansinės atskaitomybės standartas „Valstybės socialinių fondų ataskaitų rinkiniai“, patvirtintas Lietuvos Respublikos finansų ministro 202... m. ......... d. įsakymu Nr. 1K- „Dėl 32-ojo viešojo sektoriaus apskaitos ir finansinės atskaitomybės standarto patvirtinimo“</w:t>
                      </w:r>
                      <w:r>
                        <w:rPr>
                          <w:szCs w:val="24"/>
                        </w:rPr>
                        <w:t>;</w:t>
                      </w:r>
                    </w:p>
                  </w:sdtContent>
                </w:sdt>
                <w:sdt>
                  <w:sdtPr>
                    <w:alias w:val="3.2 pp."/>
                    <w:tag w:val="part_333d62818c8248c984e78bc66f1103bc"/>
                    <w:lock w:val="sdtLocked"/>
                    <w:richText/>
                  </w:sdtPr>
                  <w:sdtContent>
                    <w:p>
                      <w:pPr>
                        <w:tabs>
                          <w:tab w:val="left" w:pos="993"/>
                        </w:tabs>
                        <w:ind w:firstLine="709"/>
                        <w:jc w:val="both"/>
                        <w:rPr>
                          <w:szCs w:val="24"/>
                        </w:rPr>
                      </w:pPr>
                      <w:sdt>
                        <w:sdtPr>
                          <w:alias w:val="Numeris"/>
                          <w:tag w:val="nr_333d62818c8248c984e78bc66f1103bc"/>
                          <w:lock w:val="sdtLocked"/>
                          <w:richText/>
                        </w:sdtPr>
                        <w:sdtContent>
                          <w:r>
                            <w:rPr>
                              <w:szCs w:val="24"/>
                            </w:rPr>
                            <w:t>3.2</w:t>
                          </w:r>
                        </w:sdtContent>
                      </w:sdt>
                      <w:r>
                        <w:rPr>
                          <w:szCs w:val="24"/>
                        </w:rPr>
                        <w:t>.</w:t>
                        <w:tab/>
                        <w:t xml:space="preserve">rengiant fondų, kurie nepripažįstami viešojo sektoriaus subjektais, finansinių ataskaitų rinkinį. </w:t>
                      </w:r>
                      <w:r>
                        <w:rPr>
                          <w:szCs w:val="24"/>
                          <w:lang w:eastAsia="lt-LT"/>
                        </w:rPr>
                        <w:t xml:space="preserve">Rengiant šį finansinių ataskaitų rinkinį </w:t>
                      </w:r>
                      <w:r>
                        <w:rPr>
                          <w:szCs w:val="24"/>
                        </w:rPr>
                        <w:t>finansinė informacija įtraukiama į kitų viešojo sektoriaus subjektų apskaitą pagal atskiras tam tikrų viešojo sektoriaus subjektų vykdomas programas ir apskaitos informacija rodoma šių subjektų finansinių ataskaitų rinkiniuose;</w:t>
                      </w:r>
                    </w:p>
                  </w:sdtContent>
                </w:sdt>
                <w:sdt>
                  <w:sdtPr>
                    <w:alias w:val="3.3 pp."/>
                    <w:tag w:val="part_d51483c1238440948617f37e9acd25a5"/>
                    <w:lock w:val="sdtLocked"/>
                    <w:richText/>
                  </w:sdtPr>
                  <w:sdtContent>
                    <w:p>
                      <w:pPr>
                        <w:tabs>
                          <w:tab w:val="left" w:pos="993"/>
                        </w:tabs>
                        <w:ind w:firstLine="709"/>
                        <w:jc w:val="both"/>
                        <w:rPr>
                          <w:szCs w:val="24"/>
                          <w:lang w:eastAsia="lt-LT"/>
                        </w:rPr>
                      </w:pPr>
                      <w:sdt>
                        <w:sdtPr>
                          <w:alias w:val="Numeris"/>
                          <w:tag w:val="nr_d51483c1238440948617f37e9acd25a5"/>
                          <w:lock w:val="sdtLocked"/>
                          <w:richText/>
                        </w:sdtPr>
                        <w:sdtContent>
                          <w:r>
                            <w:rPr>
                              <w:szCs w:val="24"/>
                              <w:lang w:eastAsia="lt-LT"/>
                            </w:rPr>
                            <w:t>3.3</w:t>
                          </w:r>
                        </w:sdtContent>
                      </w:sdt>
                      <w:r>
                        <w:rPr>
                          <w:szCs w:val="24"/>
                          <w:lang w:eastAsia="lt-LT"/>
                        </w:rPr>
                        <w:t>.</w:t>
                        <w:tab/>
                        <w:t>rengiant Lietuvos Respublikos pensijų kaupimo įstatyme nurodyto Pensijų anuitetų fondo finansinių ataskaitų rinkinį. Rengiant šį finansinių ataskaitų rinkinį taikomas 29-asis viešojo sektoriaus apskaitos ir finansinės atskaitomybės standartas „Pensijų anuiteto fondo apskaita ir ataskaitų rinkinys“,</w:t>
                      </w:r>
                      <w:r>
                        <w:t xml:space="preserve"> patvirtintas Lietuvos Respublikos finansų ministro 2020 m. gruodžio 8 d. įsakymu Nr. 1K-423 „Dėl viešojo sektoriaus apskaitos ir finansinės atskaitomybės 29-ojo standarto patvirtinimo</w:t>
                      </w:r>
                      <w:r>
                        <w:rPr>
                          <w:szCs w:val="24"/>
                          <w:lang w:eastAsia="lt-LT"/>
                        </w:rPr>
                        <w:t>;</w:t>
                      </w:r>
                    </w:p>
                  </w:sdtContent>
                </w:sdt>
                <w:sdt>
                  <w:sdtPr>
                    <w:alias w:val="3.4 pp."/>
                    <w:tag w:val="part_c8bae35622344e54a54a94410b0ac1d3"/>
                    <w:lock w:val="sdtLocked"/>
                    <w:richText/>
                  </w:sdtPr>
                  <w:sdtContent>
                    <w:p>
                      <w:pPr>
                        <w:tabs>
                          <w:tab w:val="left" w:pos="993"/>
                        </w:tabs>
                        <w:ind w:firstLine="709"/>
                        <w:jc w:val="both"/>
                        <w:rPr>
                          <w:szCs w:val="24"/>
                        </w:rPr>
                      </w:pPr>
                      <w:sdt>
                        <w:sdtPr>
                          <w:alias w:val="Numeris"/>
                          <w:tag w:val="nr_c8bae35622344e54a54a94410b0ac1d3"/>
                          <w:lock w:val="sdtLocked"/>
                          <w:richText/>
                        </w:sdtPr>
                        <w:sdtContent>
                          <w:r>
                            <w:rPr>
                              <w:szCs w:val="24"/>
                            </w:rPr>
                            <w:t>3.4</w:t>
                          </w:r>
                        </w:sdtContent>
                      </w:sdt>
                      <w:r>
                        <w:rPr>
                          <w:szCs w:val="24"/>
                        </w:rPr>
                        <w:t>.</w:t>
                        <w:tab/>
                        <w:t>rengiant fondų valdytojų ar tvarkytojų finansinių ataskaitų rinkinius</w:t>
                      </w:r>
                      <w:r>
                        <w:rPr>
                          <w:szCs w:val="24"/>
                          <w:lang w:eastAsia="lt-LT"/>
                        </w:rPr>
                        <w:t>.</w:t>
                      </w:r>
                      <w:r>
                        <w:t xml:space="preserve"> </w:t>
                      </w:r>
                    </w:p>
                  </w:sdtContent>
                </w:sdt>
              </w:sdtContent>
            </w:sdt>
            <w:sdt>
              <w:sdtPr>
                <w:alias w:val="4 p."/>
                <w:tag w:val="part_42a9e065cba14fbc9388720331711b99"/>
                <w:lock w:val="sdtLocked"/>
                <w:richText/>
              </w:sdtPr>
              <w:sdtContent>
                <w:p>
                  <w:pPr>
                    <w:tabs>
                      <w:tab w:val="left" w:pos="993"/>
                    </w:tabs>
                    <w:ind w:firstLine="709"/>
                    <w:jc w:val="both"/>
                    <w:rPr>
                      <w:szCs w:val="24"/>
                    </w:rPr>
                  </w:pPr>
                  <w:sdt>
                    <w:sdtPr>
                      <w:alias w:val="Numeris"/>
                      <w:tag w:val="nr_42a9e065cba14fbc9388720331711b99"/>
                      <w:lock w:val="sdtLocked"/>
                      <w:richText/>
                    </w:sdtPr>
                    <w:sdtContent>
                      <w:r>
                        <w:rPr>
                          <w:szCs w:val="24"/>
                        </w:rPr>
                        <w:t>4</w:t>
                      </w:r>
                    </w:sdtContent>
                  </w:sdt>
                  <w:r>
                    <w:rPr>
                      <w:szCs w:val="24"/>
                    </w:rPr>
                    <w:t>.</w:t>
                    <w:tab/>
                    <w:t xml:space="preserve">Rengiant fondo finansinių ataskaitų rinkinį, turi būti vadovaujamasi Standartu ir kitais </w:t>
                  </w:r>
                  <w:r>
                    <w:rPr>
                      <w:szCs w:val="24"/>
                      <w:lang w:eastAsia="lt-LT"/>
                    </w:rPr>
                    <w:t>viešojo sektoriaus apskaitos ir finansinės atskaitomybės standartais (toliau – VSAFAS)</w:t>
                  </w:r>
                  <w:r>
                    <w:rPr>
                      <w:szCs w:val="24"/>
                    </w:rPr>
                    <w:t>, kiek jie neprieštarauja Standarto nuostatoms, kai Standarte nustatyta kitaip.</w:t>
                  </w:r>
                </w:p>
              </w:sdtContent>
            </w:sdt>
            <w:sdt>
              <w:sdtPr>
                <w:alias w:val="5 p."/>
                <w:tag w:val="part_55f06ad64bab4b70856a1543d2d15fae"/>
                <w:lock w:val="sdtLocked"/>
                <w:richText/>
              </w:sdtPr>
              <w:sdtContent>
                <w:p>
                  <w:pPr>
                    <w:tabs>
                      <w:tab w:val="left" w:pos="993"/>
                    </w:tabs>
                    <w:ind w:firstLine="709"/>
                    <w:jc w:val="both"/>
                    <w:rPr>
                      <w:szCs w:val="24"/>
                    </w:rPr>
                  </w:pPr>
                  <w:sdt>
                    <w:sdtPr>
                      <w:alias w:val="Numeris"/>
                      <w:tag w:val="nr_55f06ad64bab4b70856a1543d2d15fae"/>
                      <w:lock w:val="sdtLocked"/>
                      <w:richText/>
                    </w:sdtPr>
                    <w:sdtContent>
                      <w:r>
                        <w:rPr>
                          <w:szCs w:val="24"/>
                        </w:rPr>
                        <w:t>5</w:t>
                      </w:r>
                    </w:sdtContent>
                  </w:sdt>
                  <w:r>
                    <w:rPr>
                      <w:szCs w:val="24"/>
                    </w:rPr>
                    <w:t>.</w:t>
                    <w:tab/>
                    <w:t>Rengiant Privalomojo sveikatos draudimo fondo (toliau – PSDF) finansines ataskaitas Standartas taikomas rengiant ir atskirą PSDF finansinių ataskaitų rinkinį, į kurį neįtraukiami jį administruojančios Valstybinės ligonių kasos prie Lietuvos Respublikos sveikatos apsaugos ministerijos (toliau – VLK) duomenys, (toliau – atskiras PSDF finansinių ataskaitų rinkinys), ir PSDF grupės finansinių ataskaitų rinkinį, į kurį įtraukiami VLK duomenys, (toliau – PSDF grupės finansinių ataskaitų rinkinys).</w:t>
                  </w:r>
                </w:p>
              </w:sdtContent>
            </w:sdt>
            <w:sdt>
              <w:sdtPr>
                <w:alias w:val="6 p."/>
                <w:tag w:val="part_90ff94b51ad64cffb708a2846fa3e3e1"/>
                <w:lock w:val="sdtLocked"/>
                <w:richText/>
              </w:sdtPr>
              <w:sdtContent>
                <w:p>
                  <w:pPr>
                    <w:tabs>
                      <w:tab w:val="left" w:pos="993"/>
                    </w:tabs>
                    <w:ind w:firstLine="709"/>
                    <w:jc w:val="both"/>
                    <w:rPr>
                      <w:szCs w:val="24"/>
                    </w:rPr>
                  </w:pPr>
                  <w:sdt>
                    <w:sdtPr>
                      <w:alias w:val="Numeris"/>
                      <w:tag w:val="nr_90ff94b51ad64cffb708a2846fa3e3e1"/>
                      <w:lock w:val="sdtLocked"/>
                      <w:richText/>
                    </w:sdtPr>
                    <w:sdtContent>
                      <w:r>
                        <w:rPr>
                          <w:szCs w:val="24"/>
                        </w:rPr>
                        <w:t>6</w:t>
                      </w:r>
                    </w:sdtContent>
                  </w:sdt>
                  <w:r>
                    <w:rPr>
                      <w:szCs w:val="24"/>
                    </w:rPr>
                    <w:t>.</w:t>
                    <w:tab/>
                    <w:t>Standarte vartojamos sąvokos suprantamos taip, kaip jos apibrėžtos Lietuvos Respublikos finansinės apskaitos įstatyme, Viešojo sektoriaus atskaitomybės įstatyme, išteklių fondų veiklą reglamentuojančiuose įstatymuose ir kituose VSAFAS.</w:t>
                  </w:r>
                </w:p>
                <w:p>
                  <w:pPr>
                    <w:tabs>
                      <w:tab w:val="left" w:pos="851"/>
                      <w:tab w:val="left" w:pos="1134"/>
                    </w:tabs>
                    <w:ind w:firstLine="709"/>
                    <w:rPr>
                      <w:b/>
                      <w:szCs w:val="24"/>
                    </w:rPr>
                  </w:pPr>
                </w:p>
              </w:sdtContent>
            </w:sdt>
          </w:sdtContent>
        </w:sdt>
        <w:sdt>
          <w:sdtPr>
            <w:alias w:val="skyrius"/>
            <w:tag w:val="part_52df6d8ba74e483a9aaade66c30ca2ec"/>
            <w:lock w:val="sdtLocked"/>
            <w:richText/>
          </w:sdtPr>
          <w:sdtContent>
            <w:p>
              <w:pPr>
                <w:tabs>
                  <w:tab w:val="left" w:pos="851"/>
                  <w:tab w:val="left" w:pos="1134"/>
                </w:tabs>
                <w:jc w:val="center"/>
                <w:rPr>
                  <w:b/>
                  <w:szCs w:val="24"/>
                </w:rPr>
              </w:pPr>
              <w:sdt>
                <w:sdtPr>
                  <w:alias w:val="Numeris"/>
                  <w:tag w:val="nr_52df6d8ba74e483a9aaade66c30ca2ec"/>
                  <w:lock w:val="sdtLocked"/>
                  <w:richText/>
                </w:sdtPr>
                <w:sdtContent>
                  <w:r>
                    <w:rPr>
                      <w:b/>
                      <w:szCs w:val="24"/>
                    </w:rPr>
                    <w:t>II</w:t>
                  </w:r>
                </w:sdtContent>
              </w:sdt>
              <w:r>
                <w:rPr>
                  <w:b/>
                  <w:szCs w:val="24"/>
                </w:rPr>
                <w:t xml:space="preserve"> SKYRIUS</w:t>
              </w:r>
            </w:p>
            <w:p>
              <w:pPr>
                <w:tabs>
                  <w:tab w:val="left" w:pos="851"/>
                  <w:tab w:val="left" w:pos="1134"/>
                </w:tabs>
                <w:jc w:val="center"/>
                <w:rPr>
                  <w:b/>
                  <w:szCs w:val="24"/>
                </w:rPr>
              </w:pPr>
              <w:sdt>
                <w:sdtPr>
                  <w:alias w:val="Pavadinimas"/>
                  <w:tag w:val="title_52df6d8ba74e483a9aaade66c30ca2ec"/>
                  <w:lock w:val="sdtLocked"/>
                  <w:richText/>
                </w:sdtPr>
                <w:sdtContent>
                  <w:r>
                    <w:rPr>
                      <w:b/>
                      <w:szCs w:val="24"/>
                    </w:rPr>
                    <w:t>PAGRINDINIAI FONDŲ APSKAITOS TVARKYMO IR FINANSINIŲ ATASKAITŲ SUDARYMO REIKALAVIMAI</w:t>
                  </w:r>
                </w:sdtContent>
              </w:sdt>
            </w:p>
            <w:p>
              <w:pPr>
                <w:tabs>
                  <w:tab w:val="left" w:pos="851"/>
                  <w:tab w:val="left" w:pos="1134"/>
                </w:tabs>
                <w:ind w:firstLine="709"/>
                <w:jc w:val="center"/>
                <w:rPr>
                  <w:b/>
                  <w:szCs w:val="24"/>
                </w:rPr>
              </w:pPr>
            </w:p>
            <w:sdt>
              <w:sdtPr>
                <w:alias w:val="skirsnis"/>
                <w:tag w:val="part_fa5576f2920d4baab95d7c227c153d65"/>
                <w:lock w:val="sdtLocked"/>
                <w:richText/>
              </w:sdtPr>
              <w:sdtContent>
                <w:p>
                  <w:pPr>
                    <w:tabs>
                      <w:tab w:val="left" w:pos="851"/>
                      <w:tab w:val="left" w:pos="1134"/>
                    </w:tabs>
                    <w:jc w:val="center"/>
                    <w:rPr>
                      <w:b/>
                      <w:szCs w:val="24"/>
                    </w:rPr>
                  </w:pPr>
                  <w:sdt>
                    <w:sdtPr>
                      <w:alias w:val="Numeris"/>
                      <w:tag w:val="nr_fa5576f2920d4baab95d7c227c153d65"/>
                      <w:lock w:val="sdtLocked"/>
                      <w:richText/>
                    </w:sdtPr>
                    <w:sdtContent>
                      <w:r>
                        <w:rPr>
                          <w:b/>
                          <w:szCs w:val="24"/>
                        </w:rPr>
                        <w:t>PIRMASIS</w:t>
                      </w:r>
                    </w:sdtContent>
                  </w:sdt>
                  <w:r>
                    <w:rPr>
                      <w:b/>
                      <w:szCs w:val="24"/>
                    </w:rPr>
                    <w:t xml:space="preserve"> SKIRSNIS</w:t>
                  </w:r>
                </w:p>
                <w:p>
                  <w:pPr>
                    <w:tabs>
                      <w:tab w:val="left" w:pos="851"/>
                      <w:tab w:val="left" w:pos="1134"/>
                    </w:tabs>
                    <w:jc w:val="center"/>
                    <w:rPr>
                      <w:b/>
                      <w:szCs w:val="24"/>
                    </w:rPr>
                  </w:pPr>
                  <w:sdt>
                    <w:sdtPr>
                      <w:alias w:val="Pavadinimas"/>
                      <w:tag w:val="title_fa5576f2920d4baab95d7c227c153d65"/>
                      <w:lock w:val="sdtLocked"/>
                      <w:richText/>
                    </w:sdtPr>
                    <w:sdtContent>
                      <w:r>
                        <w:rPr>
                          <w:b/>
                          <w:szCs w:val="24"/>
                        </w:rPr>
                        <w:t>PAGRINDINIAI FINANSINIŲ ATASKAITŲ REIKALAVIMAI</w:t>
                      </w:r>
                    </w:sdtContent>
                  </w:sdt>
                </w:p>
                <w:p>
                  <w:pPr>
                    <w:tabs>
                      <w:tab w:val="left" w:pos="851"/>
                      <w:tab w:val="left" w:pos="1134"/>
                    </w:tabs>
                    <w:ind w:firstLine="709"/>
                    <w:rPr>
                      <w:szCs w:val="24"/>
                    </w:rPr>
                  </w:pPr>
                </w:p>
                <w:sdt>
                  <w:sdtPr>
                    <w:alias w:val="7 p."/>
                    <w:tag w:val="part_15f60c5291144c45a0e1d827297c4dc6"/>
                    <w:lock w:val="sdtLocked"/>
                    <w:richText/>
                  </w:sdtPr>
                  <w:sdtContent>
                    <w:p>
                      <w:pPr>
                        <w:tabs>
                          <w:tab w:val="left" w:pos="993"/>
                        </w:tabs>
                        <w:ind w:firstLine="709"/>
                        <w:jc w:val="both"/>
                        <w:rPr>
                          <w:szCs w:val="24"/>
                        </w:rPr>
                      </w:pPr>
                      <w:sdt>
                        <w:sdtPr>
                          <w:alias w:val="Numeris"/>
                          <w:tag w:val="nr_15f60c5291144c45a0e1d827297c4dc6"/>
                          <w:lock w:val="sdtLocked"/>
                          <w:richText/>
                        </w:sdtPr>
                        <w:sdtContent>
                          <w:r>
                            <w:rPr>
                              <w:szCs w:val="24"/>
                            </w:rPr>
                            <w:t>7</w:t>
                          </w:r>
                        </w:sdtContent>
                      </w:sdt>
                      <w:r>
                        <w:rPr>
                          <w:szCs w:val="24"/>
                        </w:rPr>
                        <w:t>.</w:t>
                        <w:tab/>
                        <w:t>Į fondo finansines ataskaitas įtraukiamas tik fondo turtas, įsipareigojimai, finansavimo sumos, grynasis turtas, pajamos ir sąnaudos, tiesiogiai susiję su fondo veiklos tikslu.</w:t>
                      </w:r>
                    </w:p>
                  </w:sdtContent>
                </w:sdt>
                <w:sdt>
                  <w:sdtPr>
                    <w:alias w:val="8 p."/>
                    <w:tag w:val="part_5c9e26627e9f4922889fe08dcea6bc72"/>
                    <w:lock w:val="sdtLocked"/>
                    <w:richText/>
                  </w:sdtPr>
                  <w:sdtContent>
                    <w:p>
                      <w:pPr>
                        <w:tabs>
                          <w:tab w:val="left" w:pos="993"/>
                        </w:tabs>
                        <w:ind w:firstLine="709"/>
                        <w:jc w:val="both"/>
                        <w:rPr>
                          <w:szCs w:val="24"/>
                        </w:rPr>
                      </w:pPr>
                      <w:sdt>
                        <w:sdtPr>
                          <w:alias w:val="Numeris"/>
                          <w:tag w:val="nr_5c9e26627e9f4922889fe08dcea6bc72"/>
                          <w:lock w:val="sdtLocked"/>
                          <w:richText/>
                        </w:sdtPr>
                        <w:sdtContent>
                          <w:r>
                            <w:rPr>
                              <w:szCs w:val="24"/>
                            </w:rPr>
                            <w:t>8</w:t>
                          </w:r>
                        </w:sdtContent>
                      </w:sdt>
                      <w:r>
                        <w:rPr>
                          <w:szCs w:val="24"/>
                        </w:rPr>
                        <w:t>.</w:t>
                        <w:tab/>
                        <w:t xml:space="preserve">Fondo metinių finansinių ataskaitų rinkinį sudaro finansinės ataskaitos, nurodytos Viešojo sektoriaus atskaitomybės įstatymo 7 straipsnyje, išskyrus grynojo turto pokyčių ataskaitą, kurios fondai į savo finansinių ataskaitų rinkinį gali neįtraukti, jeigu pagal jų veiklą reglamentuojančius teisės aktus juose nėra sudaromi rezervai. </w:t>
                      </w:r>
                    </w:p>
                  </w:sdtContent>
                </w:sdt>
                <w:sdt>
                  <w:sdtPr>
                    <w:alias w:val="9 p."/>
                    <w:tag w:val="part_1e3e6877acca4c64a626ce3c05077987"/>
                    <w:lock w:val="sdtLocked"/>
                    <w:richText/>
                  </w:sdtPr>
                  <w:sdtContent>
                    <w:p>
                      <w:pPr>
                        <w:tabs>
                          <w:tab w:val="left" w:pos="993"/>
                        </w:tabs>
                        <w:ind w:firstLine="709"/>
                        <w:jc w:val="both"/>
                        <w:rPr>
                          <w:szCs w:val="24"/>
                        </w:rPr>
                      </w:pPr>
                      <w:sdt>
                        <w:sdtPr>
                          <w:alias w:val="Numeris"/>
                          <w:tag w:val="nr_1e3e6877acca4c64a626ce3c05077987"/>
                          <w:lock w:val="sdtLocked"/>
                          <w:richText/>
                        </w:sdtPr>
                        <w:sdtContent>
                          <w:r>
                            <w:rPr>
                              <w:szCs w:val="24"/>
                            </w:rPr>
                            <w:t>9</w:t>
                          </w:r>
                        </w:sdtContent>
                      </w:sdt>
                      <w:r>
                        <w:rPr>
                          <w:szCs w:val="24"/>
                        </w:rPr>
                        <w:t>.</w:t>
                        <w:tab/>
                        <w:t xml:space="preserve">Rengiant </w:t>
                      </w:r>
                      <w:r>
                        <w:rPr>
                          <w:rFonts w:eastAsia="Calibri"/>
                          <w:szCs w:val="24"/>
                        </w:rPr>
                        <w:t xml:space="preserve">fondo metinių finansinių ataskaitų rinkinį naudojamos </w:t>
                      </w:r>
                      <w:r>
                        <w:rPr>
                          <w:szCs w:val="24"/>
                        </w:rPr>
                        <w:t>Standarto prieduose pateiktos formos:</w:t>
                      </w:r>
                    </w:p>
                    <w:sdt>
                      <w:sdtPr>
                        <w:alias w:val="9.1 pp."/>
                        <w:tag w:val="part_862c0728bc8f4583a4e49f0ded637435"/>
                        <w:lock w:val="sdtLocked"/>
                        <w:richText/>
                      </w:sdtPr>
                      <w:sdtContent>
                        <w:p>
                          <w:pPr>
                            <w:tabs>
                              <w:tab w:val="left" w:pos="993"/>
                            </w:tabs>
                            <w:ind w:firstLine="709"/>
                            <w:jc w:val="both"/>
                            <w:rPr>
                              <w:szCs w:val="24"/>
                            </w:rPr>
                          </w:pPr>
                          <w:sdt>
                            <w:sdtPr>
                              <w:alias w:val="Numeris"/>
                              <w:tag w:val="nr_862c0728bc8f4583a4e49f0ded637435"/>
                              <w:lock w:val="sdtLocked"/>
                              <w:richText/>
                            </w:sdtPr>
                            <w:sdtContent>
                              <w:r>
                                <w:rPr>
                                  <w:szCs w:val="24"/>
                                </w:rPr>
                                <w:t>9.1</w:t>
                              </w:r>
                            </w:sdtContent>
                          </w:sdt>
                          <w:r>
                            <w:rPr>
                              <w:szCs w:val="24"/>
                            </w:rPr>
                            <w:t>.</w:t>
                            <w:tab/>
                            <w:t>rengiant atskirą PSDF finansinių ataskaitų rinkinį – Standarto 1 priede pateikta forma;</w:t>
                          </w:r>
                        </w:p>
                      </w:sdtContent>
                    </w:sdt>
                    <w:sdt>
                      <w:sdtPr>
                        <w:alias w:val="9.2 pp."/>
                        <w:tag w:val="part_821f7e6fa8f94730bd2625179d719aa1"/>
                        <w:lock w:val="sdtLocked"/>
                        <w:richText/>
                      </w:sdtPr>
                      <w:sdtContent>
                        <w:p>
                          <w:pPr>
                            <w:tabs>
                              <w:tab w:val="left" w:pos="993"/>
                            </w:tabs>
                            <w:ind w:firstLine="709"/>
                            <w:jc w:val="both"/>
                            <w:rPr>
                              <w:szCs w:val="24"/>
                            </w:rPr>
                          </w:pPr>
                          <w:sdt>
                            <w:sdtPr>
                              <w:alias w:val="Numeris"/>
                              <w:tag w:val="nr_821f7e6fa8f94730bd2625179d719aa1"/>
                              <w:lock w:val="sdtLocked"/>
                              <w:richText/>
                            </w:sdtPr>
                            <w:sdtContent>
                              <w:r>
                                <w:rPr>
                                  <w:szCs w:val="24"/>
                                </w:rPr>
                                <w:t>9.2</w:t>
                              </w:r>
                            </w:sdtContent>
                          </w:sdt>
                          <w:r>
                            <w:rPr>
                              <w:szCs w:val="24"/>
                            </w:rPr>
                            <w:t>.</w:t>
                            <w:tab/>
                            <w:t xml:space="preserve">rengiant PSDF grupės finansinių ataskaitų rinkinį – Standarto 2 priede pateikta forma. Jeigu Standarte nepaaiškinta, kaip pildomi šios formos straipsniai, vadovaujamasi </w:t>
                          </w:r>
                          <w:r>
                            <w:rPr>
                              <w:color w:val="000000"/>
                              <w:szCs w:val="24"/>
                              <w:lang w:eastAsia="lt-LT"/>
                            </w:rPr>
                            <w:t xml:space="preserve">2-uoju </w:t>
                          </w:r>
                          <w:r>
                            <w:t>viešojo sektoriaus apskaitos ir finansinės atskaitomybės standartu</w:t>
                          </w:r>
                          <w:r>
                            <w:rPr>
                              <w:color w:val="000000"/>
                              <w:szCs w:val="24"/>
                              <w:lang w:eastAsia="lt-LT"/>
                            </w:rPr>
                            <w:t xml:space="preserve"> „Finansinės būklės ataskaita“, </w:t>
                          </w:r>
                          <w:r>
                            <w:t>patvirtintu Lietuvos Respublikos finansų ministro 2007 m. gruodžio 19 d. įsakymu Nr. 1K-378 „Dėl 2-ojo viešojo sektoriaus apskaitos ir finansinės atskaitomybės standarto patvirtinimo“</w:t>
                          </w:r>
                          <w:r>
                            <w:rPr>
                              <w:color w:val="000000"/>
                            </w:rPr>
                            <w:t>, (toliau – 2-asis VSAFAS „Finansinės būklės ataskaita“)</w:t>
                          </w:r>
                          <w:r>
                            <w:rPr>
                              <w:szCs w:val="24"/>
                            </w:rPr>
                            <w:t xml:space="preserve">“, 3-iuoju viešojo </w:t>
                          </w:r>
                          <w:r>
                            <w:t>sektoriaus apskaitos ir finansinės atskaitomybės standartu</w:t>
                          </w:r>
                          <w:r>
                            <w:rPr>
                              <w:color w:val="000000"/>
                              <w:szCs w:val="24"/>
                              <w:lang w:eastAsia="lt-LT"/>
                            </w:rPr>
                            <w:t xml:space="preserve"> </w:t>
                          </w:r>
                          <w:r>
                            <w:rPr>
                              <w:szCs w:val="24"/>
                            </w:rPr>
                            <w:t xml:space="preserve">„Veiklos rezultatų ataskaita“, </w:t>
                          </w:r>
                          <w:r>
                            <w:t>patvirtintu Lietuvos Respublikos finansų ministro 2007 m. gruodžio 19 d. įsakymu Nr. 1K-379 „Dėl 3-iojo viešojo sektoriaus apskaitos ir finansinės atskaitomybės standarto patvirtinimo“, (toliau – 3-iasis VSAFAS „Veiklos rezultatų ataskaita“)</w:t>
                          </w:r>
                          <w:r>
                            <w:rPr>
                              <w:szCs w:val="24"/>
                            </w:rPr>
                            <w:t xml:space="preserve">, 4-uoju viešojo </w:t>
                          </w:r>
                          <w:r>
                            <w:t>sektoriaus apskaitos ir finansinės atskaitomybės standartu</w:t>
                          </w:r>
                          <w:r>
                            <w:rPr>
                              <w:color w:val="000000"/>
                              <w:szCs w:val="24"/>
                              <w:lang w:eastAsia="lt-LT"/>
                            </w:rPr>
                            <w:t xml:space="preserve"> </w:t>
                          </w:r>
                          <w:r>
                            <w:rPr>
                              <w:szCs w:val="24"/>
                            </w:rPr>
                            <w:t xml:space="preserve">„Grynojo turto pokyčių ataskaita“, </w:t>
                          </w:r>
                          <w:r>
                            <w:t>patvirtintu Lietuvos Respublikos finansų ministro 2007 m. gruodžio 19 d. įsakymu Nr. 1K-380 „Dėl 4-ojo viešojo sektoriaus apskaitos ir finansinės atskaitomybės standarto patvirtinimo“, (toliau – 4-asis VSAFAS „Grynojo turto pokyčių ataskaita“)</w:t>
                          </w:r>
                          <w:r>
                            <w:rPr>
                              <w:szCs w:val="24"/>
                            </w:rPr>
                            <w:t xml:space="preserve"> ir 5-uoju viešojo </w:t>
                          </w:r>
                          <w:r>
                            <w:t>sektoriaus apskaitos ir finansinės atskaitomybės standartu</w:t>
                          </w:r>
                          <w:r>
                            <w:rPr>
                              <w:color w:val="000000"/>
                              <w:szCs w:val="24"/>
                              <w:lang w:eastAsia="lt-LT"/>
                            </w:rPr>
                            <w:t xml:space="preserve"> </w:t>
                          </w:r>
                          <w:r>
                            <w:rPr>
                              <w:szCs w:val="24"/>
                            </w:rPr>
                            <w:t xml:space="preserve">„Pinigų srautų ataskaita“, patvirtintu </w:t>
                          </w:r>
                          <w:r>
                            <w:t>Lietuvos Respublikos finansų ministro 2008 m. sausio 9 d. įsakymu Nr. 1K-011 „Dėl 5-ojo viešojo sektoriaus apskaitos ir finansinės atskaitomybės standarto patvirtinimo“, (toliau – 5-asis VSAFAS</w:t>
                          </w:r>
                          <w:r>
                            <w:rPr>
                              <w:szCs w:val="24"/>
                            </w:rPr>
                            <w:t xml:space="preserve"> „Pinigų srautų ataskaita“</w:t>
                          </w:r>
                          <w:r>
                            <w:t>)</w:t>
                          </w:r>
                          <w:r>
                            <w:rPr>
                              <w:szCs w:val="24"/>
                            </w:rPr>
                            <w:t>;</w:t>
                          </w:r>
                        </w:p>
                      </w:sdtContent>
                    </w:sdt>
                    <w:sdt>
                      <w:sdtPr>
                        <w:alias w:val="9.3 pp."/>
                        <w:tag w:val="part_97cf8c465b3b41eabdb085d33bf2b9c5"/>
                        <w:lock w:val="sdtLocked"/>
                        <w:richText/>
                      </w:sdtPr>
                      <w:sdtContent>
                        <w:p>
                          <w:pPr>
                            <w:tabs>
                              <w:tab w:val="left" w:pos="993"/>
                            </w:tabs>
                            <w:ind w:firstLine="709"/>
                            <w:jc w:val="both"/>
                            <w:rPr>
                              <w:szCs w:val="24"/>
                            </w:rPr>
                          </w:pPr>
                          <w:sdt>
                            <w:sdtPr>
                              <w:alias w:val="Numeris"/>
                              <w:tag w:val="nr_97cf8c465b3b41eabdb085d33bf2b9c5"/>
                              <w:lock w:val="sdtLocked"/>
                              <w:richText/>
                            </w:sdtPr>
                            <w:sdtContent>
                              <w:r>
                                <w:rPr>
                                  <w:szCs w:val="24"/>
                                </w:rPr>
                                <w:t>9.3</w:t>
                              </w:r>
                            </w:sdtContent>
                          </w:sdt>
                          <w:r>
                            <w:rPr>
                              <w:szCs w:val="24"/>
                            </w:rPr>
                            <w:t>.</w:t>
                            <w:tab/>
                            <w:t>rengiant mokesčių fondo finansinių ataskaitų rinkinį – Standarto 3 priede pateiktos formos;</w:t>
                          </w:r>
                        </w:p>
                      </w:sdtContent>
                    </w:sdt>
                    <w:sdt>
                      <w:sdtPr>
                        <w:alias w:val="9.4 pp."/>
                        <w:tag w:val="part_7f62135b138a4522bddb50de51744ffd"/>
                        <w:lock w:val="sdtLocked"/>
                        <w:richText/>
                      </w:sdtPr>
                      <w:sdtContent>
                        <w:p>
                          <w:pPr>
                            <w:tabs>
                              <w:tab w:val="left" w:pos="993"/>
                            </w:tabs>
                            <w:ind w:firstLine="709"/>
                            <w:jc w:val="both"/>
                            <w:rPr>
                              <w:szCs w:val="24"/>
                            </w:rPr>
                          </w:pPr>
                          <w:sdt>
                            <w:sdtPr>
                              <w:alias w:val="Numeris"/>
                              <w:tag w:val="nr_7f62135b138a4522bddb50de51744ffd"/>
                              <w:lock w:val="sdtLocked"/>
                              <w:richText/>
                            </w:sdtPr>
                            <w:sdtContent>
                              <w:r>
                                <w:rPr>
                                  <w:szCs w:val="24"/>
                                </w:rPr>
                                <w:t>9.4</w:t>
                              </w:r>
                            </w:sdtContent>
                          </w:sdt>
                          <w:r>
                            <w:rPr>
                              <w:szCs w:val="24"/>
                            </w:rPr>
                            <w:t>.</w:t>
                            <w:tab/>
                            <w:t>rengiant valstybės ar savivaldybės iždo finansinių ataskaitų rinkinį – Standarto 4 priede pateiktos formos;</w:t>
                          </w:r>
                        </w:p>
                      </w:sdtContent>
                    </w:sdt>
                    <w:sdt>
                      <w:sdtPr>
                        <w:alias w:val="9.5 pp."/>
                        <w:tag w:val="part_aa8b6bd365de4902919462468ec934e1"/>
                        <w:lock w:val="sdtLocked"/>
                        <w:richText/>
                      </w:sdtPr>
                      <w:sdtContent>
                        <w:p>
                          <w:pPr>
                            <w:tabs>
                              <w:tab w:val="left" w:pos="993"/>
                            </w:tabs>
                            <w:ind w:firstLine="709"/>
                            <w:jc w:val="both"/>
                            <w:rPr>
                              <w:szCs w:val="24"/>
                            </w:rPr>
                          </w:pPr>
                          <w:sdt>
                            <w:sdtPr>
                              <w:alias w:val="Numeris"/>
                              <w:tag w:val="nr_aa8b6bd365de4902919462468ec934e1"/>
                              <w:lock w:val="sdtLocked"/>
                              <w:richText/>
                            </w:sdtPr>
                            <w:sdtContent>
                              <w:r>
                                <w:rPr>
                                  <w:szCs w:val="24"/>
                                </w:rPr>
                                <w:t>9.5</w:t>
                              </w:r>
                            </w:sdtContent>
                          </w:sdt>
                          <w:r>
                            <w:rPr>
                              <w:szCs w:val="24"/>
                            </w:rPr>
                            <w:t>.</w:t>
                            <w:tab/>
                            <w:t>rengiant išteklių fondo, išskyrus PSDF finansinių ataskaitų rinkinį, fondų fondo finansinių ataskaitų rinkinį – Standarto 5 priede pateiktos formos.</w:t>
                          </w:r>
                        </w:p>
                      </w:sdtContent>
                    </w:sdt>
                  </w:sdtContent>
                </w:sdt>
                <w:sdt>
                  <w:sdtPr>
                    <w:alias w:val="10 p."/>
                    <w:tag w:val="part_211a7d43d2bc43c7ab42b2bc71ab07c3"/>
                    <w:lock w:val="sdtLocked"/>
                    <w:richText/>
                  </w:sdtPr>
                  <w:sdtContent>
                    <w:p>
                      <w:pPr>
                        <w:ind w:firstLine="709"/>
                        <w:jc w:val="both"/>
                        <w:rPr>
                          <w:szCs w:val="24"/>
                          <w:lang w:eastAsia="lt-LT"/>
                        </w:rPr>
                      </w:pPr>
                      <w:sdt>
                        <w:sdtPr>
                          <w:alias w:val="Numeris"/>
                          <w:tag w:val="nr_211a7d43d2bc43c7ab42b2bc71ab07c3"/>
                          <w:lock w:val="sdtLocked"/>
                          <w:richText/>
                        </w:sdtPr>
                        <w:sdtContent>
                          <w:r>
                            <w:rPr>
                              <w:szCs w:val="24"/>
                              <w:lang w:eastAsia="lt-LT"/>
                            </w:rPr>
                            <w:t>10</w:t>
                          </w:r>
                        </w:sdtContent>
                      </w:sdt>
                      <w:r>
                        <w:rPr>
                          <w:szCs w:val="24"/>
                          <w:lang w:eastAsia="lt-LT"/>
                        </w:rPr>
                        <w:t>.</w:t>
                        <w:tab/>
                        <w:t>Fondo tarpinių ataskaitų rinkinį sudaro:</w:t>
                      </w:r>
                    </w:p>
                    <w:sdt>
                      <w:sdtPr>
                        <w:alias w:val="10.1 pp."/>
                        <w:tag w:val="part_f418f47789c44d67b78b9bc8dea59aca"/>
                        <w:lock w:val="sdtLocked"/>
                        <w:richText/>
                      </w:sdtPr>
                      <w:sdtContent>
                        <w:p>
                          <w:pPr>
                            <w:ind w:firstLine="709"/>
                            <w:jc w:val="both"/>
                            <w:rPr>
                              <w:szCs w:val="24"/>
                              <w:lang w:eastAsia="lt-LT"/>
                            </w:rPr>
                          </w:pPr>
                          <w:sdt>
                            <w:sdtPr>
                              <w:alias w:val="Numeris"/>
                              <w:tag w:val="nr_f418f47789c44d67b78b9bc8dea59aca"/>
                              <w:lock w:val="sdtLocked"/>
                              <w:richText/>
                            </w:sdtPr>
                            <w:sdtContent>
                              <w:r>
                                <w:rPr>
                                  <w:szCs w:val="24"/>
                                  <w:lang w:eastAsia="lt-LT"/>
                                </w:rPr>
                                <w:t>10.1</w:t>
                              </w:r>
                            </w:sdtContent>
                          </w:sdt>
                          <w:r>
                            <w:rPr>
                              <w:szCs w:val="24"/>
                              <w:lang w:eastAsia="lt-LT"/>
                            </w:rPr>
                            <w:t>.</w:t>
                            <w:tab/>
                            <w:t>finansinės būklės ataskaita. Joje pateikiama tarpinio ataskaitinio laikotarpio paskutinės dienos ir lyginamoji praėjusių finansinių metų paskutinės dienos informacija;</w:t>
                          </w:r>
                        </w:p>
                      </w:sdtContent>
                    </w:sdt>
                    <w:sdt>
                      <w:sdtPr>
                        <w:alias w:val="10.2 pp."/>
                        <w:tag w:val="part_e49cc3346c114f3fad640e99b8ebc4fc"/>
                        <w:lock w:val="sdtLocked"/>
                        <w:richText/>
                      </w:sdtPr>
                      <w:sdtContent>
                        <w:p>
                          <w:pPr>
                            <w:ind w:firstLine="709"/>
                            <w:jc w:val="both"/>
                            <w:rPr>
                              <w:szCs w:val="24"/>
                              <w:lang w:eastAsia="lt-LT"/>
                            </w:rPr>
                          </w:pPr>
                          <w:sdt>
                            <w:sdtPr>
                              <w:alias w:val="Numeris"/>
                              <w:tag w:val="nr_e49cc3346c114f3fad640e99b8ebc4fc"/>
                              <w:lock w:val="sdtLocked"/>
                              <w:richText/>
                            </w:sdtPr>
                            <w:sdtContent>
                              <w:r>
                                <w:rPr>
                                  <w:szCs w:val="24"/>
                                  <w:lang w:eastAsia="lt-LT"/>
                                </w:rPr>
                                <w:t>10.2</w:t>
                              </w:r>
                            </w:sdtContent>
                          </w:sdt>
                          <w:r>
                            <w:rPr>
                              <w:szCs w:val="24"/>
                              <w:lang w:eastAsia="lt-LT"/>
                            </w:rPr>
                            <w:t>.</w:t>
                            <w:tab/>
                            <w:t>veiklos rezultatų ataskaita. Joje pateikiama laikotarpio nuo ataskaitinių finansinių metų pradžios iki tarpinio ataskaitinio laikotarpio pabaigos ir lyginamoji praėjusių finansinių metų atitinkamo tarpinio ataskaitinio laikotarpio informacija;</w:t>
                          </w:r>
                        </w:p>
                      </w:sdtContent>
                    </w:sdt>
                    <w:sdt>
                      <w:sdtPr>
                        <w:alias w:val="10.3 pp."/>
                        <w:tag w:val="part_9339eb41de0144269bff62590b95b9d3"/>
                        <w:lock w:val="sdtLocked"/>
                        <w:richText/>
                      </w:sdtPr>
                      <w:sdtContent>
                        <w:p>
                          <w:pPr>
                            <w:ind w:firstLine="709"/>
                            <w:jc w:val="both"/>
                            <w:rPr>
                              <w:szCs w:val="24"/>
                              <w:lang w:eastAsia="lt-LT"/>
                            </w:rPr>
                          </w:pPr>
                          <w:sdt>
                            <w:sdtPr>
                              <w:alias w:val="Numeris"/>
                              <w:tag w:val="nr_9339eb41de0144269bff62590b95b9d3"/>
                              <w:lock w:val="sdtLocked"/>
                              <w:richText/>
                            </w:sdtPr>
                            <w:sdtContent>
                              <w:r>
                                <w:rPr>
                                  <w:szCs w:val="24"/>
                                  <w:lang w:eastAsia="lt-LT"/>
                                </w:rPr>
                                <w:t>10.3</w:t>
                              </w:r>
                            </w:sdtContent>
                          </w:sdt>
                          <w:r>
                            <w:rPr>
                              <w:szCs w:val="24"/>
                              <w:lang w:eastAsia="lt-LT"/>
                            </w:rPr>
                            <w:t>.</w:t>
                            <w:tab/>
                            <w:t>sutrumpintas aiškinamasis raštas.</w:t>
                          </w:r>
                        </w:p>
                      </w:sdtContent>
                    </w:sdt>
                  </w:sdtContent>
                </w:sdt>
                <w:sdt>
                  <w:sdtPr>
                    <w:alias w:val="11 p."/>
                    <w:tag w:val="part_bbe415bad4214f6b8f1cb7b05d9fdac1"/>
                    <w:lock w:val="sdtLocked"/>
                    <w:richText/>
                  </w:sdtPr>
                  <w:sdtContent>
                    <w:p>
                      <w:pPr>
                        <w:ind w:firstLine="709"/>
                        <w:jc w:val="both"/>
                        <w:rPr>
                          <w:szCs w:val="24"/>
                          <w:lang w:eastAsia="lt-LT"/>
                        </w:rPr>
                      </w:pPr>
                      <w:sdt>
                        <w:sdtPr>
                          <w:alias w:val="Numeris"/>
                          <w:tag w:val="nr_bbe415bad4214f6b8f1cb7b05d9fdac1"/>
                          <w:lock w:val="sdtLocked"/>
                          <w:richText/>
                        </w:sdtPr>
                        <w:sdtContent>
                          <w:r>
                            <w:rPr>
                              <w:szCs w:val="24"/>
                              <w:lang w:eastAsia="lt-LT"/>
                            </w:rPr>
                            <w:t>11</w:t>
                          </w:r>
                        </w:sdtContent>
                      </w:sdt>
                      <w:r>
                        <w:rPr>
                          <w:szCs w:val="24"/>
                          <w:lang w:eastAsia="lt-LT"/>
                        </w:rPr>
                        <w:t>.</w:t>
                        <w:tab/>
                      </w:r>
                      <w:r>
                        <w:rPr>
                          <w:szCs w:val="24"/>
                        </w:rPr>
                        <w:t xml:space="preserve">Rengiant Standarto 9.1–9.5 papunkčiuose nurodytų viešojo sektoriaus subjektų ir viešojo sektoriaus subjektų grupės tarpinių ataskaitų rinkinius – finansinės būklės ataskaitos ir veiklos rezultatų ataskaitos, pateiktos atitinkamai Standarto 1, 2, 3, 4 ar 5 priede. </w:t>
                      </w:r>
                    </w:p>
                  </w:sdtContent>
                </w:sdt>
                <w:sdt>
                  <w:sdtPr>
                    <w:alias w:val="12 p."/>
                    <w:tag w:val="part_275d904c5a3a4314ad7db9f133617362"/>
                    <w:lock w:val="sdtLocked"/>
                    <w:richText/>
                  </w:sdtPr>
                  <w:sdtContent>
                    <w:p>
                      <w:pPr>
                        <w:ind w:firstLine="709"/>
                        <w:jc w:val="both"/>
                        <w:rPr>
                          <w:szCs w:val="24"/>
                          <w:lang w:eastAsia="lt-LT"/>
                        </w:rPr>
                      </w:pPr>
                      <w:sdt>
                        <w:sdtPr>
                          <w:alias w:val="Numeris"/>
                          <w:tag w:val="nr_275d904c5a3a4314ad7db9f133617362"/>
                          <w:lock w:val="sdtLocked"/>
                          <w:richText/>
                        </w:sdtPr>
                        <w:sdtContent>
                          <w:r>
                            <w:rPr>
                              <w:szCs w:val="24"/>
                              <w:lang w:eastAsia="lt-LT"/>
                            </w:rPr>
                            <w:t>12</w:t>
                          </w:r>
                        </w:sdtContent>
                      </w:sdt>
                      <w:r>
                        <w:rPr>
                          <w:szCs w:val="24"/>
                          <w:lang w:eastAsia="lt-LT"/>
                        </w:rPr>
                        <w:t>.</w:t>
                        <w:tab/>
                      </w:r>
                      <w:r>
                        <w:t>Fondo sutrumpinto aiškinamojo rašto aprašomoji dalis rengiama pagal 23-iąjį viešojo sektoriaus apskaitos ir finansinės atskaitomybės standartą „Tarpinių finansinių ataskaitų rinkinys“, patvirtintą Lietuvos Respublikos finansų ministro 2008 m. birželio 11 d. įsakymu Nr. 1K-213 „Dėl viešojo sektoriaus apskaitos ir finansinės atskaitomybės 23-iojo standarto patvirtinimo“.</w:t>
                      </w:r>
                    </w:p>
                  </w:sdtContent>
                </w:sdt>
                <w:sdt>
                  <w:sdtPr>
                    <w:alias w:val="13 p."/>
                    <w:tag w:val="part_70e350c11ece427991a0b3b7bee82593"/>
                    <w:lock w:val="sdtLocked"/>
                    <w:richText/>
                  </w:sdtPr>
                  <w:sdtContent>
                    <w:p>
                      <w:pPr>
                        <w:tabs>
                          <w:tab w:val="left" w:pos="993"/>
                        </w:tabs>
                        <w:ind w:firstLine="709"/>
                        <w:jc w:val="both"/>
                        <w:rPr>
                          <w:szCs w:val="24"/>
                        </w:rPr>
                      </w:pPr>
                      <w:sdt>
                        <w:sdtPr>
                          <w:alias w:val="Numeris"/>
                          <w:tag w:val="nr_70e350c11ece427991a0b3b7bee82593"/>
                          <w:lock w:val="sdtLocked"/>
                          <w:richText/>
                        </w:sdtPr>
                        <w:sdtContent>
                          <w:r>
                            <w:rPr>
                              <w:szCs w:val="24"/>
                            </w:rPr>
                            <w:t>13</w:t>
                          </w:r>
                        </w:sdtContent>
                      </w:sdt>
                      <w:r>
                        <w:rPr>
                          <w:szCs w:val="24"/>
                        </w:rPr>
                        <w:t>.</w:t>
                        <w:tab/>
                        <w:t xml:space="preserve">Fondo finansinėms ataskaitoms taikomi reikalavimai, nustatyti 1-ajame </w:t>
                      </w:r>
                      <w:r>
                        <w:t>viešojo sektoriaus apskaitos ir finansinės atskaitomybės standarte</w:t>
                      </w:r>
                      <w:r>
                        <w:rPr>
                          <w:szCs w:val="24"/>
                        </w:rPr>
                        <w:t xml:space="preserve"> „Informacijos pateikimas finansinių ataskaitų rinkinyje“</w:t>
                      </w:r>
                      <w:r>
                        <w:t>, patvirtintame Lietuvos Respublikos finansų ministro 2007 m. gruodžio 28 d. įsakymu Nr. 1K-388 „Dėl viešojo sektoriaus apskaitos ir finansinės atskaitomybės 1-ojo standarto patvirtinimo“</w:t>
                      </w:r>
                      <w:r>
                        <w:rPr>
                          <w:szCs w:val="24"/>
                        </w:rPr>
                        <w:t xml:space="preserve">, 6-ajame </w:t>
                      </w:r>
                      <w:r>
                        <w:t>viešojo sektoriaus apskaitos ir finansinės atskaitomybės standarte</w:t>
                      </w:r>
                      <w:r>
                        <w:rPr>
                          <w:szCs w:val="24"/>
                        </w:rPr>
                        <w:t xml:space="preserve"> „Finansinių ataskaitų aiškinamasis raštas“, </w:t>
                      </w:r>
                      <w:r>
                        <w:t>patvirtintame Lietuvos Respublikos finansų ministro 2008 m. rugpjūčio 18 d. įsakymu Nr. 1K-247 „Dėl viešojo sektoriaus apskaitos ir finansinės atskaitomybės 6-ojo standarto patvirtinimo“,</w:t>
                      </w:r>
                      <w:r>
                        <w:rPr>
                          <w:szCs w:val="24"/>
                        </w:rPr>
                        <w:t xml:space="preserve"> (toliau – 6-asis VSAFAS „Finansinių ataskaitų aiškinamasis raštas“) ir kituose VSAFAS, nustatančiuose informacijos pateikimą žemesniojo lygio finansinių ataskaitų aiškinamajame rašte.</w:t>
                      </w:r>
                    </w:p>
                    <w:p>
                      <w:pPr>
                        <w:tabs>
                          <w:tab w:val="left" w:pos="851"/>
                          <w:tab w:val="left" w:pos="1134"/>
                        </w:tabs>
                        <w:ind w:firstLine="709"/>
                        <w:jc w:val="both"/>
                        <w:rPr>
                          <w:szCs w:val="24"/>
                        </w:rPr>
                      </w:pPr>
                    </w:p>
                  </w:sdtContent>
                </w:sdt>
              </w:sdtContent>
            </w:sdt>
            <w:sdt>
              <w:sdtPr>
                <w:alias w:val="skirsnis"/>
                <w:tag w:val="part_1a80206fe0174dad8bc96054628b4053"/>
                <w:lock w:val="sdtLocked"/>
                <w:richText/>
              </w:sdtPr>
              <w:sdtContent>
                <w:p>
                  <w:pPr>
                    <w:tabs>
                      <w:tab w:val="left" w:pos="851"/>
                      <w:tab w:val="left" w:pos="1134"/>
                    </w:tabs>
                    <w:jc w:val="center"/>
                    <w:rPr>
                      <w:b/>
                      <w:szCs w:val="24"/>
                    </w:rPr>
                  </w:pPr>
                  <w:sdt>
                    <w:sdtPr>
                      <w:alias w:val="Numeris"/>
                      <w:tag w:val="nr_1a80206fe0174dad8bc96054628b4053"/>
                      <w:lock w:val="sdtLocked"/>
                      <w:richText/>
                    </w:sdtPr>
                    <w:sdtContent>
                      <w:r>
                        <w:rPr>
                          <w:b/>
                          <w:szCs w:val="24"/>
                        </w:rPr>
                        <w:t>ANTRASIS</w:t>
                      </w:r>
                    </w:sdtContent>
                  </w:sdt>
                  <w:r>
                    <w:rPr>
                      <w:b/>
                      <w:szCs w:val="24"/>
                    </w:rPr>
                    <w:t xml:space="preserve"> SKIRSNIS</w:t>
                  </w:r>
                </w:p>
                <w:p>
                  <w:pPr>
                    <w:tabs>
                      <w:tab w:val="left" w:pos="851"/>
                      <w:tab w:val="left" w:pos="1134"/>
                    </w:tabs>
                    <w:jc w:val="center"/>
                    <w:rPr>
                      <w:b/>
                      <w:szCs w:val="24"/>
                    </w:rPr>
                  </w:pPr>
                  <w:sdt>
                    <w:sdtPr>
                      <w:alias w:val="Pavadinimas"/>
                      <w:tag w:val="title_1a80206fe0174dad8bc96054628b4053"/>
                      <w:lock w:val="sdtLocked"/>
                      <w:richText/>
                    </w:sdtPr>
                    <w:sdtContent>
                      <w:r>
                        <w:rPr>
                          <w:b/>
                          <w:szCs w:val="24"/>
                        </w:rPr>
                        <w:t>PAGRINDINIŲ FINANSINĖS BŪKLĖS ATASKAITOS STRAIPSNIŲ PAAIŠKINIMAI</w:t>
                      </w:r>
                    </w:sdtContent>
                  </w:sdt>
                </w:p>
                <w:p>
                  <w:pPr>
                    <w:tabs>
                      <w:tab w:val="left" w:pos="851"/>
                      <w:tab w:val="left" w:pos="1134"/>
                    </w:tabs>
                    <w:ind w:firstLine="709"/>
                    <w:rPr>
                      <w:szCs w:val="24"/>
                    </w:rPr>
                  </w:pPr>
                </w:p>
                <w:sdt>
                  <w:sdtPr>
                    <w:alias w:val="14 p."/>
                    <w:tag w:val="part_2bc585879b844e49926b0f0f40d42e1b"/>
                    <w:lock w:val="sdtLocked"/>
                    <w:richText/>
                  </w:sdtPr>
                  <w:sdtContent>
                    <w:p>
                      <w:pPr>
                        <w:tabs>
                          <w:tab w:val="left" w:pos="993"/>
                        </w:tabs>
                        <w:ind w:firstLine="709"/>
                        <w:jc w:val="both"/>
                        <w:rPr>
                          <w:szCs w:val="24"/>
                        </w:rPr>
                      </w:pPr>
                      <w:sdt>
                        <w:sdtPr>
                          <w:alias w:val="Numeris"/>
                          <w:tag w:val="nr_2bc585879b844e49926b0f0f40d42e1b"/>
                          <w:lock w:val="sdtLocked"/>
                          <w:richText/>
                        </w:sdtPr>
                        <w:sdtContent>
                          <w:r>
                            <w:rPr>
                              <w:szCs w:val="24"/>
                            </w:rPr>
                            <w:t>14</w:t>
                          </w:r>
                        </w:sdtContent>
                      </w:sdt>
                      <w:r>
                        <w:rPr>
                          <w:szCs w:val="24"/>
                        </w:rPr>
                        <w:t>.</w:t>
                        <w:tab/>
                      </w:r>
                      <w:r>
                        <w:rPr>
                          <w:rFonts w:eastAsia="Calibri"/>
                          <w:szCs w:val="24"/>
                        </w:rPr>
                        <w:t xml:space="preserve">Įprastai fondai neturi nematerialiojo ir ilgalaikio materialiojo turto, išskyrus atvejus, kai teisės aktuose, reglamentuojančiuose fondo veiklą, numatytas tokio turto perdavimas fondo naudai. </w:t>
                      </w:r>
                      <w:r>
                        <w:rPr>
                          <w:szCs w:val="24"/>
                        </w:rPr>
                        <w:t>Fondo administravimo funkcijoms atlikti naudojamas ilgalaikis materialusis turtas, nematerialusis turtas, atsargos registruojami fondo valdytojo ar tvarkytojo apskaitoje, jeigu tai nustatyta šio fondo veiklą reglamentuojančiuose teisės aktuose.</w:t>
                      </w:r>
                    </w:p>
                  </w:sdtContent>
                </w:sdt>
                <w:sdt>
                  <w:sdtPr>
                    <w:alias w:val="15 p."/>
                    <w:tag w:val="part_0b5713cae327413a8502795c742a25b8"/>
                    <w:lock w:val="sdtLocked"/>
                    <w:richText/>
                  </w:sdtPr>
                  <w:sdtContent>
                    <w:p>
                      <w:pPr>
                        <w:tabs>
                          <w:tab w:val="left" w:pos="993"/>
                          <w:tab w:val="left" w:pos="1418"/>
                        </w:tabs>
                        <w:ind w:firstLine="709"/>
                        <w:jc w:val="both"/>
                        <w:rPr>
                          <w:szCs w:val="24"/>
                        </w:rPr>
                      </w:pPr>
                      <w:sdt>
                        <w:sdtPr>
                          <w:alias w:val="Numeris"/>
                          <w:tag w:val="nr_0b5713cae327413a8502795c742a25b8"/>
                          <w:lock w:val="sdtLocked"/>
                          <w:richText/>
                        </w:sdtPr>
                        <w:sdtContent>
                          <w:r>
                            <w:rPr>
                              <w:szCs w:val="24"/>
                            </w:rPr>
                            <w:t>15</w:t>
                          </w:r>
                        </w:sdtContent>
                      </w:sdt>
                      <w:r>
                        <w:rPr>
                          <w:szCs w:val="24"/>
                        </w:rPr>
                        <w:t>.</w:t>
                        <w:tab/>
                        <w:t xml:space="preserve">Finansinis turtas pripažįstamas, vertinamas, registruojamas apskaitoje ir rodomas finansinės būklės ataskaitoje pagal 17-ojo </w:t>
                      </w:r>
                      <w:r>
                        <w:t xml:space="preserve">viešojo sektoriaus apskaitos ir finansinės atskaitomybės standarto </w:t>
                      </w:r>
                      <w:r>
                        <w:rPr>
                          <w:szCs w:val="24"/>
                        </w:rPr>
                        <w:t xml:space="preserve">„Finansinis turtas ir finansiniai įsipareigojimai“, </w:t>
                      </w:r>
                      <w:r>
                        <w:t>patvirtinto Lietuvos Respublikos finansų ministro 2008 m. birželio 27 d. įsakymu Nr. 1K-223 „Dėl viešojo sektoriaus apskaitos ir finansinės atskaitomybės 17-ojo standarto patvirtinimo“, (toliau – 17-asis VSAFAS „</w:t>
                      </w:r>
                      <w:r>
                        <w:rPr>
                          <w:szCs w:val="24"/>
                        </w:rPr>
                        <w:t>Finansinis turtas ir finansiniai įsipareigojimai“) nuostatas, išskyrus finansinio turto, nurodyto Standarto 18 punkte, vertinimo atvejus.</w:t>
                      </w:r>
                    </w:p>
                  </w:sdtContent>
                </w:sdt>
                <w:sdt>
                  <w:sdtPr>
                    <w:alias w:val="16 p."/>
                    <w:tag w:val="part_1d1e58b042b04ae0834427979335a55a"/>
                    <w:lock w:val="sdtLocked"/>
                    <w:richText/>
                  </w:sdtPr>
                  <w:sdtContent>
                    <w:p>
                      <w:pPr>
                        <w:tabs>
                          <w:tab w:val="left" w:pos="993"/>
                        </w:tabs>
                        <w:ind w:firstLine="709"/>
                        <w:jc w:val="both"/>
                        <w:rPr>
                          <w:szCs w:val="24"/>
                        </w:rPr>
                      </w:pPr>
                      <w:sdt>
                        <w:sdtPr>
                          <w:alias w:val="Numeris"/>
                          <w:tag w:val="nr_1d1e58b042b04ae0834427979335a55a"/>
                          <w:lock w:val="sdtLocked"/>
                          <w:richText/>
                        </w:sdtPr>
                        <w:sdtContent>
                          <w:r>
                            <w:rPr>
                              <w:szCs w:val="24"/>
                            </w:rPr>
                            <w:t>16</w:t>
                          </w:r>
                        </w:sdtContent>
                      </w:sdt>
                      <w:r>
                        <w:rPr>
                          <w:szCs w:val="24"/>
                        </w:rPr>
                        <w:t>.</w:t>
                        <w:tab/>
                        <w:t xml:space="preserve">Fondo apskaitoje registruojamas ilgalaikis finansinis turtas, kuris </w:t>
                      </w:r>
                      <w:r>
                        <w:t xml:space="preserve">atitinka 17-ajame VSAFAS „Finansinis turtas ir finansiniai įsipareigojimai“ nustatytus finansinio turto pripažinimo kriterijus ir </w:t>
                      </w:r>
                      <w:r>
                        <w:rPr>
                          <w:szCs w:val="24"/>
                        </w:rPr>
                        <w:t xml:space="preserve">įsigytas iš fondo lėšų, arba teisės į turtą, kurios įgyjamos dėl teisės aktų, reglamentuojančių fondo veiklą, nuostatų ir (arba) kai turto naudojimo pajamos ir pardavimo rezultatas tektų fondui. </w:t>
                      </w:r>
                      <w:r>
                        <w:t xml:space="preserve">Ilgalaikio </w:t>
                      </w:r>
                      <w:r>
                        <w:rPr>
                          <w:szCs w:val="24"/>
                        </w:rPr>
                        <w:t>finansinio turto, įskaitant už neįvykdytus kreditorių įsipareigojimus iš ne viešojo sektoriaus subjektų gautas akcinių bendrovių akcijas, paskolas, įskaitant mokestines paskolas, išvestines finansines priemones, investicijas į nuosavybės vertybinių popierius, obligacijas, vekselius, investicijas į kitus ne nuosavybės vertybinius popierius ir kitą finansinį turtą, įvertinimo, registravimo apskaitoje ir pateikimo finansinėse ataskaitose reikalavimai</w:t>
                      </w:r>
                      <w:r>
                        <w:t xml:space="preserve"> nustatyti 17-ajame VSAFAS „Finansinis turtas ir finansiniai įsipareigojimai“.</w:t>
                      </w:r>
                      <w:r>
                        <w:rPr>
                          <w:szCs w:val="24"/>
                        </w:rPr>
                        <w:t xml:space="preserve"> </w:t>
                      </w:r>
                    </w:p>
                  </w:sdtContent>
                </w:sdt>
                <w:sdt>
                  <w:sdtPr>
                    <w:alias w:val="17 p."/>
                    <w:tag w:val="part_ae4f8695bb574a4a987c9c7051b96ffb"/>
                    <w:lock w:val="sdtLocked"/>
                    <w:richText/>
                  </w:sdtPr>
                  <w:sdtContent>
                    <w:p>
                      <w:pPr>
                        <w:tabs>
                          <w:tab w:val="left" w:pos="993"/>
                        </w:tabs>
                        <w:ind w:firstLine="709"/>
                        <w:jc w:val="both"/>
                        <w:rPr>
                          <w:szCs w:val="24"/>
                        </w:rPr>
                      </w:pPr>
                      <w:sdt>
                        <w:sdtPr>
                          <w:alias w:val="Numeris"/>
                          <w:tag w:val="nr_ae4f8695bb574a4a987c9c7051b96ffb"/>
                          <w:lock w:val="sdtLocked"/>
                          <w:richText/>
                        </w:sdtPr>
                        <w:sdtContent>
                          <w:r>
                            <w:rPr>
                              <w:szCs w:val="24"/>
                            </w:rPr>
                            <w:t>17</w:t>
                          </w:r>
                        </w:sdtContent>
                      </w:sdt>
                      <w:r>
                        <w:rPr>
                          <w:szCs w:val="24"/>
                        </w:rPr>
                        <w:t>.</w:t>
                        <w:tab/>
                        <w:t>Fondo trumpalaikis turtas gali apimti turtą, rodomą šiuose straipsniuose:</w:t>
                      </w:r>
                    </w:p>
                    <w:sdt>
                      <w:sdtPr>
                        <w:alias w:val="17.1 pp."/>
                        <w:tag w:val="part_1b15a78133564a289ff45af02028d433"/>
                        <w:lock w:val="sdtLocked"/>
                        <w:richText/>
                      </w:sdtPr>
                      <w:sdtContent>
                        <w:p>
                          <w:pPr>
                            <w:tabs>
                              <w:tab w:val="left" w:pos="993"/>
                            </w:tabs>
                            <w:ind w:firstLine="709"/>
                            <w:jc w:val="both"/>
                            <w:rPr>
                              <w:szCs w:val="24"/>
                              <w:lang w:eastAsia="lt-LT"/>
                            </w:rPr>
                          </w:pPr>
                          <w:sdt>
                            <w:sdtPr>
                              <w:alias w:val="Numeris"/>
                              <w:tag w:val="nr_1b15a78133564a289ff45af02028d433"/>
                              <w:lock w:val="sdtLocked"/>
                              <w:richText/>
                            </w:sdtPr>
                            <w:sdtContent>
                              <w:r>
                                <w:rPr>
                                  <w:szCs w:val="24"/>
                                  <w:lang w:eastAsia="lt-LT"/>
                                </w:rPr>
                                <w:t>17.1</w:t>
                              </w:r>
                            </w:sdtContent>
                          </w:sdt>
                          <w:r>
                            <w:rPr>
                              <w:szCs w:val="24"/>
                              <w:lang w:eastAsia="lt-LT"/>
                            </w:rPr>
                            <w:t>.</w:t>
                            <w:tab/>
                            <w:t xml:space="preserve">Straipsnyje „Per vienus metus gautinos sumos“ rodomos šios </w:t>
                          </w:r>
                          <w:r>
                            <w:rPr>
                              <w:szCs w:val="24"/>
                            </w:rPr>
                            <w:t xml:space="preserve">per 12 mėnesių nuo paskutinės ataskaitinio laikotarpio dienos fondo gautinos </w:t>
                          </w:r>
                          <w:r>
                            <w:rPr>
                              <w:szCs w:val="24"/>
                              <w:lang w:eastAsia="lt-LT"/>
                            </w:rPr>
                            <w:t xml:space="preserve">sumos, kurios </w:t>
                          </w:r>
                          <w:r>
                            <w:rPr>
                              <w:szCs w:val="24"/>
                            </w:rPr>
                            <w:t>finansinės būklės ataskaitoje, pateiktoje Standarto 1–5 prieduose, rodomos verte, apskaičiuojama iš jų įsigijimo savikainos atėmus įvertintas neatgautinas sumas ir detalizuojamos į šiuos straipsnius</w:t>
                          </w:r>
                          <w:r>
                            <w:rPr>
                              <w:szCs w:val="24"/>
                              <w:lang w:eastAsia="lt-LT"/>
                            </w:rPr>
                            <w:t>:</w:t>
                          </w:r>
                        </w:p>
                        <w:sdt>
                          <w:sdtPr>
                            <w:alias w:val="17.1.1 pp."/>
                            <w:tag w:val="part_a921045153ca4477a66b296e5d382233"/>
                            <w:lock w:val="sdtLocked"/>
                            <w:richText/>
                          </w:sdtPr>
                          <w:sdtContent>
                            <w:p>
                              <w:pPr>
                                <w:tabs>
                                  <w:tab w:val="left" w:pos="993"/>
                                  <w:tab w:val="left" w:pos="1418"/>
                                </w:tabs>
                                <w:ind w:firstLine="720"/>
                                <w:jc w:val="both"/>
                                <w:rPr>
                                  <w:szCs w:val="24"/>
                                  <w:lang w:eastAsia="lt-LT"/>
                                </w:rPr>
                              </w:pPr>
                              <w:sdt>
                                <w:sdtPr>
                                  <w:alias w:val="Numeris"/>
                                  <w:tag w:val="nr_a921045153ca4477a66b296e5d382233"/>
                                  <w:lock w:val="sdtLocked"/>
                                  <w:richText/>
                                </w:sdtPr>
                                <w:sdtContent>
                                  <w:r>
                                    <w:rPr>
                                      <w:szCs w:val="24"/>
                                      <w:lang w:eastAsia="lt-LT"/>
                                    </w:rPr>
                                    <w:t>17.1.1</w:t>
                                  </w:r>
                                </w:sdtContent>
                              </w:sdt>
                              <w:r>
                                <w:rPr>
                                  <w:szCs w:val="24"/>
                                  <w:lang w:eastAsia="lt-LT"/>
                                </w:rPr>
                                <w:t>.</w:t>
                                <w:tab/>
                              </w:r>
                              <w:r>
                                <w:rPr>
                                  <w:szCs w:val="24"/>
                                </w:rPr>
                                <w:t>straipsnyje „Suteiktos paskolos“ rodomos fondo suteiktos paskolos, prie kurių priskiriama suteiktų ilgalaikių paskolų, išskyrus mokestines paskolas, atidėtų įmokų į fondą mokėjimų einamųjų metų dalis ir suteiktos trumpalaikės paskolos, taip pat už paskolas priskaičiuotos palūkanos;</w:t>
                              </w:r>
                              <w:r>
                                <w:rPr>
                                  <w:szCs w:val="24"/>
                                  <w:lang w:eastAsia="lt-LT"/>
                                </w:rPr>
                                <w:t xml:space="preserve"> </w:t>
                              </w:r>
                            </w:p>
                          </w:sdtContent>
                        </w:sdt>
                        <w:sdt>
                          <w:sdtPr>
                            <w:alias w:val="17.1.2 pp."/>
                            <w:tag w:val="part_ca468766dde04007ac3df6b486683af5"/>
                            <w:lock w:val="sdtLocked"/>
                            <w:richText/>
                          </w:sdtPr>
                          <w:sdtContent>
                            <w:p>
                              <w:pPr>
                                <w:tabs>
                                  <w:tab w:val="left" w:pos="993"/>
                                  <w:tab w:val="left" w:pos="1418"/>
                                </w:tabs>
                                <w:ind w:firstLine="720"/>
                                <w:jc w:val="both"/>
                                <w:rPr>
                                  <w:szCs w:val="24"/>
                                  <w:lang w:eastAsia="lt-LT"/>
                                </w:rPr>
                              </w:pPr>
                              <w:sdt>
                                <w:sdtPr>
                                  <w:alias w:val="Numeris"/>
                                  <w:tag w:val="nr_ca468766dde04007ac3df6b486683af5"/>
                                  <w:lock w:val="sdtLocked"/>
                                  <w:richText/>
                                </w:sdtPr>
                                <w:sdtContent>
                                  <w:r>
                                    <w:rPr>
                                      <w:szCs w:val="24"/>
                                      <w:lang w:eastAsia="lt-LT"/>
                                    </w:rPr>
                                    <w:t>17.1.2</w:t>
                                  </w:r>
                                </w:sdtContent>
                              </w:sdt>
                              <w:r>
                                <w:rPr>
                                  <w:szCs w:val="24"/>
                                  <w:lang w:eastAsia="lt-LT"/>
                                </w:rPr>
                                <w:t>.</w:t>
                                <w:tab/>
                              </w:r>
                              <w:r>
                                <w:rPr>
                                  <w:szCs w:val="24"/>
                                </w:rPr>
                                <w:t xml:space="preserve">straipsnyje </w:t>
                              </w:r>
                              <w:r>
                                <w:rPr>
                                  <w:szCs w:val="24"/>
                                  <w:lang w:eastAsia="lt-LT"/>
                                </w:rPr>
                                <w:t xml:space="preserve">„Gautini mokesčiai“ arba „Gautinos socialinės įmokos“ </w:t>
                              </w:r>
                              <w:r>
                                <w:rPr>
                                  <w:szCs w:val="24"/>
                                </w:rPr>
                                <w:t>rodomos</w:t>
                              </w:r>
                              <w:r>
                                <w:rPr>
                                  <w:szCs w:val="24"/>
                                  <w:lang w:eastAsia="lt-LT"/>
                                </w:rPr>
                                <w:t xml:space="preserve"> privalomojo sveikatos draudimo įmokos, prie kurių priskiriamos mokestinės paskolos, kurių apskaitos tvarka nustatyta 9-ajame VSAFAS </w:t>
                              </w:r>
                              <w:r>
                                <w:rPr>
                                  <w:color w:val="000000"/>
                                </w:rPr>
                                <w:t xml:space="preserve">„Mokesčių ir socialinių įmokų pajamos“, </w:t>
                              </w:r>
                              <w:r>
                                <w:t>patvirtintame Lietuvos Respublikos finansų ministro 2008 m. birželio 20 d. įsakymu Nr. 1K-219 „Dėl viešojo sektoriaus apskaitos ir finansinės atskaitomybės 9-ojo standarto patvirtinimo“, (toliau – 9-asis VSAFAS „</w:t>
                              </w:r>
                              <w:r>
                                <w:rPr>
                                  <w:color w:val="000000"/>
                                </w:rPr>
                                <w:t>Mokesčių ir socialinių įmokų pajamos“)</w:t>
                              </w:r>
                              <w:r>
                                <w:rPr>
                                  <w:szCs w:val="24"/>
                                  <w:lang w:eastAsia="lt-LT"/>
                                </w:rPr>
                                <w:t>, taip pat gautinos ir sukauptos gautinos palūkanos už mokestines paskolas ar atidėtą privalomojo sveikatos draudimo įmokų mokėjimą;</w:t>
                              </w:r>
                            </w:p>
                          </w:sdtContent>
                        </w:sdt>
                        <w:sdt>
                          <w:sdtPr>
                            <w:alias w:val="17.1.3 pp."/>
                            <w:tag w:val="part_19dda7cf5eb14a679a5015ca00df2242"/>
                            <w:lock w:val="sdtLocked"/>
                            <w:richText/>
                          </w:sdtPr>
                          <w:sdtContent>
                            <w:p>
                              <w:pPr>
                                <w:tabs>
                                  <w:tab w:val="left" w:pos="993"/>
                                  <w:tab w:val="left" w:pos="1418"/>
                                </w:tabs>
                                <w:ind w:firstLine="720"/>
                                <w:jc w:val="both"/>
                                <w:rPr>
                                  <w:szCs w:val="24"/>
                                  <w:lang w:eastAsia="lt-LT"/>
                                </w:rPr>
                              </w:pPr>
                              <w:sdt>
                                <w:sdtPr>
                                  <w:alias w:val="Numeris"/>
                                  <w:tag w:val="nr_19dda7cf5eb14a679a5015ca00df2242"/>
                                  <w:lock w:val="sdtLocked"/>
                                  <w:richText/>
                                </w:sdtPr>
                                <w:sdtContent>
                                  <w:r>
                                    <w:rPr>
                                      <w:szCs w:val="24"/>
                                      <w:lang w:eastAsia="lt-LT"/>
                                    </w:rPr>
                                    <w:t>17.1.3</w:t>
                                  </w:r>
                                </w:sdtContent>
                              </w:sdt>
                              <w:r>
                                <w:rPr>
                                  <w:szCs w:val="24"/>
                                  <w:lang w:eastAsia="lt-LT"/>
                                </w:rPr>
                                <w:t>.</w:t>
                                <w:tab/>
                              </w:r>
                              <w:r>
                                <w:rPr>
                                  <w:szCs w:val="24"/>
                                </w:rPr>
                                <w:t xml:space="preserve">straipsnyje </w:t>
                              </w:r>
                              <w:r>
                                <w:rPr>
                                  <w:szCs w:val="24"/>
                                  <w:lang w:eastAsia="lt-LT"/>
                                </w:rPr>
                                <w:t xml:space="preserve">„Gautinos finansavimo sumos“ </w:t>
                              </w:r>
                              <w:r>
                                <w:rPr>
                                  <w:szCs w:val="24"/>
                                </w:rPr>
                                <w:t>rodomos</w:t>
                              </w:r>
                              <w:r>
                                <w:rPr>
                                  <w:szCs w:val="24"/>
                                  <w:lang w:eastAsia="lt-LT"/>
                                </w:rPr>
                                <w:t xml:space="preserve"> fondo gautinos finansavimo sumos, kurios priskiriamos šiam straipsniui pagal 2-ojo VSAFAS „Finansinės būklės ataskaita“ nuostatas; </w:t>
                              </w:r>
                            </w:p>
                          </w:sdtContent>
                        </w:sdt>
                        <w:sdt>
                          <w:sdtPr>
                            <w:alias w:val="17.1.4 pp."/>
                            <w:tag w:val="part_e5159bef758c40f9b191be771cbf6c7d"/>
                            <w:lock w:val="sdtLocked"/>
                            <w:richText/>
                          </w:sdtPr>
                          <w:sdtContent>
                            <w:p>
                              <w:pPr>
                                <w:tabs>
                                  <w:tab w:val="left" w:pos="993"/>
                                  <w:tab w:val="left" w:pos="1418"/>
                                </w:tabs>
                                <w:ind w:firstLine="720"/>
                                <w:jc w:val="both"/>
                                <w:rPr>
                                  <w:szCs w:val="24"/>
                                  <w:lang w:eastAsia="lt-LT"/>
                                </w:rPr>
                              </w:pPr>
                              <w:sdt>
                                <w:sdtPr>
                                  <w:alias w:val="Numeris"/>
                                  <w:tag w:val="nr_e5159bef758c40f9b191be771cbf6c7d"/>
                                  <w:lock w:val="sdtLocked"/>
                                  <w:richText/>
                                </w:sdtPr>
                                <w:sdtContent>
                                  <w:r>
                                    <w:rPr>
                                      <w:szCs w:val="24"/>
                                      <w:lang w:eastAsia="lt-LT"/>
                                    </w:rPr>
                                    <w:t>17.1.4</w:t>
                                  </w:r>
                                </w:sdtContent>
                              </w:sdt>
                              <w:r>
                                <w:rPr>
                                  <w:szCs w:val="24"/>
                                  <w:lang w:eastAsia="lt-LT"/>
                                </w:rPr>
                                <w:t>.</w:t>
                                <w:tab/>
                              </w:r>
                              <w:r>
                                <w:rPr>
                                  <w:szCs w:val="24"/>
                                </w:rPr>
                                <w:t xml:space="preserve">straipsnyje </w:t>
                              </w:r>
                              <w:r>
                                <w:rPr>
                                  <w:szCs w:val="24"/>
                                  <w:lang w:eastAsia="lt-LT"/>
                                </w:rPr>
                                <w:t xml:space="preserve">„Gautinos įmokų į fondus sumos“ </w:t>
                              </w:r>
                              <w:r>
                                <w:rPr>
                                  <w:szCs w:val="24"/>
                                </w:rPr>
                                <w:t>rodomos</w:t>
                              </w:r>
                              <w:r>
                                <w:rPr>
                                  <w:szCs w:val="24"/>
                                  <w:lang w:eastAsia="lt-LT"/>
                                </w:rPr>
                                <w:t xml:space="preserve"> gautinos kitos įmokos į fondus, išskyrus įmokas į mokesčių fondus ir fondų fondus, prie kurių priskiriamos ir sukauptos palūkanos už atidėtą įmokų mokėjimą ir nepriskiriamos įmokos, kurios pagal </w:t>
                              </w:r>
                              <w:r>
                                <w:rPr>
                                  <w:color w:val="000000"/>
                                </w:rPr>
                                <w:t xml:space="preserve">20-ojo </w:t>
                              </w:r>
                              <w:r>
                                <w:t xml:space="preserve">viešojo sektoriaus apskaitos ir finansinės atskaitomybės standarto „Finansavimo sumos“, patvirtinto Lietuvos Respublikos finansų ministro 2008 m. birželio 9 d. įsakymu Nr. 1K-205 „Dėl 20-ojo viešojo sektoriaus apskaitos ir finansinės atskaitomybės standarto patvirtinimo“, (toliau – 20-asis VSAFAS „Finansavimo sumos“) </w:t>
                              </w:r>
                              <w:r>
                                <w:rPr>
                                  <w:szCs w:val="24"/>
                                  <w:lang w:eastAsia="lt-LT"/>
                                </w:rPr>
                                <w:t>nuostatas laikomos finansavimo sumomis;</w:t>
                              </w:r>
                            </w:p>
                          </w:sdtContent>
                        </w:sdt>
                        <w:sdt>
                          <w:sdtPr>
                            <w:alias w:val="17.1.5 pp."/>
                            <w:tag w:val="part_0ab4a27c460c4f5bb4fced8668c5e53c"/>
                            <w:lock w:val="sdtLocked"/>
                            <w:richText/>
                          </w:sdtPr>
                          <w:sdtContent>
                            <w:p>
                              <w:pPr>
                                <w:tabs>
                                  <w:tab w:val="left" w:pos="993"/>
                                  <w:tab w:val="left" w:pos="1418"/>
                                </w:tabs>
                                <w:ind w:firstLine="720"/>
                                <w:jc w:val="both"/>
                                <w:rPr>
                                  <w:szCs w:val="24"/>
                                  <w:lang w:eastAsia="lt-LT"/>
                                </w:rPr>
                              </w:pPr>
                              <w:sdt>
                                <w:sdtPr>
                                  <w:alias w:val="Numeris"/>
                                  <w:tag w:val="nr_0ab4a27c460c4f5bb4fced8668c5e53c"/>
                                  <w:lock w:val="sdtLocked"/>
                                  <w:richText/>
                                </w:sdtPr>
                                <w:sdtContent>
                                  <w:r>
                                    <w:rPr>
                                      <w:szCs w:val="24"/>
                                      <w:lang w:eastAsia="lt-LT"/>
                                    </w:rPr>
                                    <w:t>17.1.5</w:t>
                                  </w:r>
                                </w:sdtContent>
                              </w:sdt>
                              <w:r>
                                <w:rPr>
                                  <w:szCs w:val="24"/>
                                  <w:lang w:eastAsia="lt-LT"/>
                                </w:rPr>
                                <w:t>.</w:t>
                                <w:tab/>
                              </w:r>
                              <w:r>
                                <w:rPr>
                                  <w:szCs w:val="24"/>
                                </w:rPr>
                                <w:t xml:space="preserve">straipsnyje </w:t>
                              </w:r>
                              <w:r>
                                <w:rPr>
                                  <w:szCs w:val="24"/>
                                  <w:lang w:eastAsia="lt-LT"/>
                                </w:rPr>
                                <w:t xml:space="preserve">„Kitos gautinos sumos“ </w:t>
                              </w:r>
                              <w:r>
                                <w:rPr>
                                  <w:szCs w:val="24"/>
                                </w:rPr>
                                <w:t>rodomos sumos</w:t>
                              </w:r>
                              <w:r>
                                <w:rPr>
                                  <w:szCs w:val="24"/>
                                  <w:lang w:eastAsia="lt-LT"/>
                                </w:rPr>
                                <w:t>, kurias sudaro Standarto 17.1.1</w:t>
                              </w:r>
                              <w:r>
                                <w:rPr>
                                  <w:szCs w:val="24"/>
                                </w:rPr>
                                <w:t>–</w:t>
                              </w:r>
                              <w:r>
                                <w:rPr>
                                  <w:szCs w:val="24"/>
                                  <w:lang w:eastAsia="lt-LT"/>
                                </w:rPr>
                                <w:t>17.1.4 papunkčiuose nenurodytos fondo per vienus metus gautinos sumos.</w:t>
                              </w:r>
                            </w:p>
                          </w:sdtContent>
                        </w:sdt>
                      </w:sdtContent>
                    </w:sdt>
                    <w:sdt>
                      <w:sdtPr>
                        <w:alias w:val="17.2 pp."/>
                        <w:tag w:val="part_a152490b66414185801974a4d094ca3a"/>
                        <w:lock w:val="sdtLocked"/>
                        <w:richText/>
                      </w:sdtPr>
                      <w:sdtContent>
                        <w:p>
                          <w:pPr>
                            <w:tabs>
                              <w:tab w:val="left" w:pos="1276"/>
                            </w:tabs>
                            <w:ind w:firstLine="709"/>
                            <w:jc w:val="both"/>
                            <w:rPr>
                              <w:szCs w:val="24"/>
                            </w:rPr>
                          </w:pPr>
                          <w:sdt>
                            <w:sdtPr>
                              <w:alias w:val="Numeris"/>
                              <w:tag w:val="nr_a152490b66414185801974a4d094ca3a"/>
                              <w:lock w:val="sdtLocked"/>
                              <w:richText/>
                            </w:sdtPr>
                            <w:sdtContent>
                              <w:r>
                                <w:rPr>
                                  <w:szCs w:val="24"/>
                                </w:rPr>
                                <w:t>17.2</w:t>
                              </w:r>
                            </w:sdtContent>
                          </w:sdt>
                          <w:r>
                            <w:rPr>
                              <w:szCs w:val="24"/>
                            </w:rPr>
                            <w:t>.</w:t>
                            <w:tab/>
                          </w:r>
                          <w:r>
                            <w:rPr>
                              <w:rFonts w:eastAsia="Calibri"/>
                              <w:szCs w:val="24"/>
                            </w:rPr>
                            <w:tab/>
                          </w:r>
                          <w:r>
                            <w:rPr>
                              <w:szCs w:val="24"/>
                            </w:rPr>
                            <w:t xml:space="preserve">Straipsnis „Trumpalaikės investicijos“ apima trumpalaikius vertybinius popierius, trumpalaikius terminuotuosius indėlius, </w:t>
                          </w:r>
                          <w:r>
                            <w:rPr>
                              <w:szCs w:val="24"/>
                              <w:lang w:eastAsia="lt-LT"/>
                            </w:rPr>
                            <w:t>kurių terminas ne trumpesnis negu 3 mėnesiai, bet ne ilgesnis negu 12 mėnesių</w:t>
                          </w:r>
                          <w:r>
                            <w:rPr>
                              <w:szCs w:val="24"/>
                            </w:rPr>
                            <w:t>, kitas trumpalaikes investicijas, įsigytas iš fondo lėšų, registruojamas fondo apskaitoje, taip pat sukauptas palūkanas už trumpalaikes investicijas.</w:t>
                          </w:r>
                        </w:p>
                      </w:sdtContent>
                    </w:sdt>
                    <w:sdt>
                      <w:sdtPr>
                        <w:alias w:val="17.3 pp."/>
                        <w:tag w:val="part_9f4797a36516424b97a818325e842768"/>
                        <w:lock w:val="sdtLocked"/>
                        <w:richText/>
                      </w:sdtPr>
                      <w:sdtContent>
                        <w:p>
                          <w:pPr>
                            <w:tabs>
                              <w:tab w:val="left" w:pos="993"/>
                            </w:tabs>
                            <w:ind w:firstLine="709"/>
                            <w:jc w:val="both"/>
                            <w:rPr>
                              <w:szCs w:val="24"/>
                            </w:rPr>
                          </w:pPr>
                          <w:sdt>
                            <w:sdtPr>
                              <w:alias w:val="Numeris"/>
                              <w:tag w:val="nr_9f4797a36516424b97a818325e842768"/>
                              <w:lock w:val="sdtLocked"/>
                              <w:richText/>
                            </w:sdtPr>
                            <w:sdtContent>
                              <w:r>
                                <w:rPr>
                                  <w:szCs w:val="24"/>
                                </w:rPr>
                                <w:t>17.3</w:t>
                              </w:r>
                            </w:sdtContent>
                          </w:sdt>
                          <w:r>
                            <w:rPr>
                              <w:szCs w:val="24"/>
                            </w:rPr>
                            <w:t>.</w:t>
                            <w:tab/>
                            <w:t xml:space="preserve">Straipsnyje „Pinigai ir pinigų ekvivalentai“ rodomos fondo lėšos, laikomos kredito įstaigų sąskaitose ar valstybės ižde, ir trumpalaikės (iki 3 mėnesių) likvidžios investicijos, </w:t>
                          </w:r>
                          <w:r>
                            <w:rPr>
                              <w:szCs w:val="24"/>
                              <w:lang w:eastAsia="lt-LT"/>
                            </w:rPr>
                            <w:t>kuriomis fondas disponuoja ir kurias naudodamas tikisi gauti ekonominės naudos, ir pinigai kelyje</w:t>
                          </w:r>
                          <w:r>
                            <w:rPr>
                              <w:szCs w:val="24"/>
                            </w:rPr>
                            <w:t xml:space="preserve">. </w:t>
                          </w:r>
                          <w:r>
                            <w:t>Pinigais kelyje viešojo sektoriaus subjektas laiko iš jo sąskaitos pervestus ar sumokėtus, bet kito subjekto dar negautus pinigus.</w:t>
                          </w:r>
                        </w:p>
                      </w:sdtContent>
                    </w:sdt>
                  </w:sdtContent>
                </w:sdt>
                <w:sdt>
                  <w:sdtPr>
                    <w:alias w:val="18 p."/>
                    <w:tag w:val="part_a3e6d53899ff49509076157c0175a0db"/>
                    <w:lock w:val="sdtLocked"/>
                    <w:richText/>
                  </w:sdtPr>
                  <w:sdtContent>
                    <w:p>
                      <w:pPr>
                        <w:tabs>
                          <w:tab w:val="left" w:pos="993"/>
                          <w:tab w:val="left" w:pos="1418"/>
                        </w:tabs>
                        <w:ind w:firstLine="709"/>
                        <w:jc w:val="both"/>
                        <w:rPr>
                          <w:lang w:eastAsia="lt-LT"/>
                        </w:rPr>
                      </w:pPr>
                      <w:sdt>
                        <w:sdtPr>
                          <w:alias w:val="Numeris"/>
                          <w:tag w:val="nr_a3e6d53899ff49509076157c0175a0db"/>
                          <w:lock w:val="sdtLocked"/>
                          <w:richText/>
                        </w:sdtPr>
                        <w:sdtContent>
                          <w:r>
                            <w:rPr>
                              <w:lang w:eastAsia="lt-LT"/>
                            </w:rPr>
                            <w:t>18</w:t>
                          </w:r>
                        </w:sdtContent>
                      </w:sdt>
                      <w:r>
                        <w:rPr>
                          <w:lang w:eastAsia="lt-LT"/>
                        </w:rPr>
                        <w:t>.</w:t>
                        <w:tab/>
                        <w:t xml:space="preserve">Ilgalaikės gautinos sumos, kurios pagal </w:t>
                      </w:r>
                      <w:r>
                        <w:rPr>
                          <w:szCs w:val="24"/>
                        </w:rPr>
                        <w:t>17-ojo VSAFAS „Finansinis turtas ir finansiniai įsipareigojimai“ nuostatas turėtų būti vertinamos</w:t>
                      </w:r>
                      <w:r>
                        <w:rPr>
                          <w:lang w:eastAsia="lt-LT"/>
                        </w:rPr>
                        <w:t xml:space="preserve"> amortizuota savikaina, vertinamos įsigijimo savikaina šiais atvejais:</w:t>
                      </w:r>
                    </w:p>
                    <w:sdt>
                      <w:sdtPr>
                        <w:alias w:val="18.1 pp."/>
                        <w:tag w:val="part_fbb1821996334641887bc1e556b163b3"/>
                        <w:lock w:val="sdtLocked"/>
                        <w:richText/>
                      </w:sdtPr>
                      <w:sdtContent>
                        <w:p>
                          <w:pPr>
                            <w:tabs>
                              <w:tab w:val="left" w:pos="1701"/>
                            </w:tabs>
                            <w:ind w:firstLine="709"/>
                            <w:jc w:val="both"/>
                            <w:rPr>
                              <w:lang w:eastAsia="lt-LT"/>
                            </w:rPr>
                          </w:pPr>
                          <w:sdt>
                            <w:sdtPr>
                              <w:alias w:val="Numeris"/>
                              <w:tag w:val="nr_fbb1821996334641887bc1e556b163b3"/>
                              <w:lock w:val="sdtLocked"/>
                              <w:richText/>
                            </w:sdtPr>
                            <w:sdtContent>
                              <w:r>
                                <w:rPr>
                                  <w:lang w:eastAsia="lt-LT"/>
                                </w:rPr>
                                <w:t>18.1</w:t>
                              </w:r>
                            </w:sdtContent>
                          </w:sdt>
                          <w:r>
                            <w:rPr>
                              <w:lang w:eastAsia="lt-LT"/>
                            </w:rPr>
                            <w:t>.</w:t>
                            <w:tab/>
                          </w:r>
                          <w:r>
                            <w:rPr>
                              <w:szCs w:val="24"/>
                            </w:rPr>
                            <w:t>jeigu fondo apskaitoje pripažintas finansinis turtas,</w:t>
                          </w:r>
                          <w:r>
                            <w:t xml:space="preserve"> </w:t>
                          </w:r>
                          <w:r>
                            <w:rPr>
                              <w:szCs w:val="24"/>
                            </w:rPr>
                            <w:t xml:space="preserve">kurio atsiradimo metu buvo išleista pinigų ir kuris </w:t>
                          </w:r>
                          <w:r>
                            <w:rPr>
                              <w:lang w:eastAsia="lt-LT"/>
                            </w:rPr>
                            <w:t xml:space="preserve">susijęs su viešojo sektoriaus subjektu, kurio finansinių ataskaitų duomenys įtraukiami į tos pačios II konsolidavimo lygio, kaip tai nurodyta Lietuvos Respublikos finansų ministro 2011 m. balandžio 19 d. įsakyme Nr. 1K-152 „Dėl viešojo sektoriaus subjektų finansinių ataskaitų rinkinio konsolidavimo“, (toliau – II konsolidavimo lygis) viešojo sektoriaus subjektų grupės kaip fondas konsoliduotųjų finansinių ataskaitų rinkinį; </w:t>
                          </w:r>
                        </w:p>
                      </w:sdtContent>
                    </w:sdt>
                    <w:sdt>
                      <w:sdtPr>
                        <w:alias w:val="18.2 pp."/>
                        <w:tag w:val="part_dceffff882fc4b0abb855ce6903d4f58"/>
                        <w:lock w:val="sdtLocked"/>
                        <w:richText/>
                      </w:sdtPr>
                      <w:sdtContent>
                        <w:p>
                          <w:pPr>
                            <w:tabs>
                              <w:tab w:val="left" w:pos="1701"/>
                            </w:tabs>
                            <w:ind w:firstLine="709"/>
                            <w:jc w:val="both"/>
                            <w:rPr>
                              <w:lang w:eastAsia="lt-LT"/>
                            </w:rPr>
                          </w:pPr>
                          <w:sdt>
                            <w:sdtPr>
                              <w:alias w:val="Numeris"/>
                              <w:tag w:val="nr_dceffff882fc4b0abb855ce6903d4f58"/>
                              <w:lock w:val="sdtLocked"/>
                              <w:richText/>
                            </w:sdtPr>
                            <w:sdtContent>
                              <w:r>
                                <w:rPr>
                                  <w:lang w:eastAsia="lt-LT"/>
                                </w:rPr>
                                <w:t>18.2</w:t>
                              </w:r>
                            </w:sdtContent>
                          </w:sdt>
                          <w:r>
                            <w:rPr>
                              <w:lang w:eastAsia="lt-LT"/>
                            </w:rPr>
                            <w:t>.</w:t>
                            <w:tab/>
                          </w:r>
                          <w:r>
                            <w:rPr>
                              <w:szCs w:val="24"/>
                            </w:rPr>
                            <w:t>jeigu išteklių fondas valstybės iždui laikinai grąžintinai suteikia laisvų lėšų valstybės piniginių išteklių pinigų srautams subalansuoti.</w:t>
                          </w:r>
                        </w:p>
                      </w:sdtContent>
                    </w:sdt>
                  </w:sdtContent>
                </w:sdt>
                <w:sdt>
                  <w:sdtPr>
                    <w:alias w:val="19 p."/>
                    <w:tag w:val="part_288d9a88e97f4639ace63c1875ecb5e5"/>
                    <w:lock w:val="sdtLocked"/>
                    <w:richText/>
                  </w:sdtPr>
                  <w:sdtContent>
                    <w:p>
                      <w:pPr>
                        <w:tabs>
                          <w:tab w:val="left" w:pos="993"/>
                          <w:tab w:val="left" w:pos="1418"/>
                        </w:tabs>
                        <w:ind w:firstLine="709"/>
                        <w:jc w:val="both"/>
                        <w:rPr>
                          <w:szCs w:val="24"/>
                        </w:rPr>
                      </w:pPr>
                      <w:sdt>
                        <w:sdtPr>
                          <w:alias w:val="Numeris"/>
                          <w:tag w:val="nr_288d9a88e97f4639ace63c1875ecb5e5"/>
                          <w:lock w:val="sdtLocked"/>
                          <w:richText/>
                        </w:sdtPr>
                        <w:sdtContent>
                          <w:r>
                            <w:rPr>
                              <w:szCs w:val="24"/>
                            </w:rPr>
                            <w:t>19</w:t>
                          </w:r>
                        </w:sdtContent>
                      </w:sdt>
                      <w:r>
                        <w:rPr>
                          <w:szCs w:val="24"/>
                        </w:rPr>
                        <w:t>.</w:t>
                        <w:tab/>
                      </w:r>
                      <w:r>
                        <w:rPr>
                          <w:rFonts w:eastAsia="Calibri"/>
                          <w:szCs w:val="24"/>
                        </w:rPr>
                        <w:t xml:space="preserve">Finansinis </w:t>
                      </w:r>
                      <w:r>
                        <w:rPr>
                          <w:lang w:eastAsia="lt-LT"/>
                        </w:rPr>
                        <w:t xml:space="preserve">turtas, kuriam taikomos vertinimo išimtys, nurodytos Standarto 18 punkte, rodomas finansinės būklės ataskaitoje ir informacija apie jį atskleidžiama kaip finansinio turto, pagal </w:t>
                      </w:r>
                      <w:r>
                        <w:rPr>
                          <w:szCs w:val="24"/>
                        </w:rPr>
                        <w:t>17-ojo VSAFAS „Finansinis turtas ir finansiniai įsipareigojimai“ nuostatas vertinamo</w:t>
                      </w:r>
                      <w:r>
                        <w:rPr>
                          <w:lang w:eastAsia="lt-LT"/>
                        </w:rPr>
                        <w:t xml:space="preserve"> amortizuota savikaina.</w:t>
                      </w:r>
                    </w:p>
                  </w:sdtContent>
                </w:sdt>
                <w:sdt>
                  <w:sdtPr>
                    <w:alias w:val="20 p."/>
                    <w:tag w:val="part_56005e70f99f46a0beaa1b540c91171b"/>
                    <w:lock w:val="sdtLocked"/>
                    <w:richText/>
                  </w:sdtPr>
                  <w:sdtContent>
                    <w:p>
                      <w:pPr>
                        <w:tabs>
                          <w:tab w:val="left" w:pos="993"/>
                          <w:tab w:val="left" w:pos="1418"/>
                        </w:tabs>
                        <w:ind w:firstLine="709"/>
                        <w:jc w:val="both"/>
                        <w:rPr>
                          <w:szCs w:val="24"/>
                        </w:rPr>
                      </w:pPr>
                      <w:sdt>
                        <w:sdtPr>
                          <w:alias w:val="Numeris"/>
                          <w:tag w:val="nr_56005e70f99f46a0beaa1b540c91171b"/>
                          <w:lock w:val="sdtLocked"/>
                          <w:richText/>
                        </w:sdtPr>
                        <w:sdtContent>
                          <w:r>
                            <w:rPr>
                              <w:szCs w:val="24"/>
                            </w:rPr>
                            <w:t>20</w:t>
                          </w:r>
                        </w:sdtContent>
                      </w:sdt>
                      <w:r>
                        <w:rPr>
                          <w:szCs w:val="24"/>
                        </w:rPr>
                        <w:t>.</w:t>
                        <w:tab/>
                      </w:r>
                      <w:r>
                        <w:rPr>
                          <w:szCs w:val="24"/>
                          <w:lang w:eastAsia="lt-LT"/>
                        </w:rPr>
                        <w:t xml:space="preserve">Prie finansavimo sumų priskiriamos lėšos, gautos iš šaltinių, kurie nustatyti 20-ajame VSAFAS „Finansavimo sumos“. </w:t>
                      </w:r>
                      <w:r>
                        <w:rPr>
                          <w:szCs w:val="24"/>
                        </w:rPr>
                        <w:t>Finansavimo sumos pripažįstamos, vertinamos, registruojamos apskaitoje ir pateikiamos finansinės būklės ataskaitoje pagal 20-ojo VSAFAS „Finansavimo sumos“ nuostatas.</w:t>
                      </w:r>
                    </w:p>
                  </w:sdtContent>
                </w:sdt>
                <w:sdt>
                  <w:sdtPr>
                    <w:alias w:val="21 p."/>
                    <w:tag w:val="part_e2ae11ff3813496f9248c18cfd591225"/>
                    <w:lock w:val="sdtLocked"/>
                    <w:richText/>
                  </w:sdtPr>
                  <w:sdtContent>
                    <w:p>
                      <w:pPr>
                        <w:tabs>
                          <w:tab w:val="left" w:pos="993"/>
                          <w:tab w:val="left" w:pos="1418"/>
                        </w:tabs>
                        <w:ind w:firstLine="709"/>
                        <w:jc w:val="both"/>
                        <w:rPr>
                          <w:szCs w:val="24"/>
                          <w:lang w:eastAsia="lt-LT"/>
                        </w:rPr>
                      </w:pPr>
                      <w:sdt>
                        <w:sdtPr>
                          <w:alias w:val="Numeris"/>
                          <w:tag w:val="nr_e2ae11ff3813496f9248c18cfd591225"/>
                          <w:lock w:val="sdtLocked"/>
                          <w:richText/>
                        </w:sdtPr>
                        <w:sdtContent>
                          <w:r>
                            <w:rPr>
                              <w:szCs w:val="24"/>
                              <w:lang w:eastAsia="lt-LT"/>
                            </w:rPr>
                            <w:t>21</w:t>
                          </w:r>
                        </w:sdtContent>
                      </w:sdt>
                      <w:r>
                        <w:rPr>
                          <w:szCs w:val="24"/>
                          <w:lang w:eastAsia="lt-LT"/>
                        </w:rPr>
                        <w:t>.</w:t>
                        <w:tab/>
                        <w:t xml:space="preserve">Atidėjinių </w:t>
                      </w:r>
                      <w:r>
                        <w:t>įvertinimo, registravimo apskaitoje ir pateikimo finansinėse ataskaitose reikalavimai nustatomi</w:t>
                      </w:r>
                      <w:r>
                        <w:rPr>
                          <w:szCs w:val="24"/>
                          <w:lang w:eastAsia="lt-LT"/>
                        </w:rPr>
                        <w:t xml:space="preserve"> 18-ajame </w:t>
                      </w:r>
                      <w:r>
                        <w:t>viešojo sektoriaus apskaitos ir finansinės atskaitomybės standarte „Atidėjiniai, neapibrėžtieji įsipareigojimai, neapibrėžtasis turtas ir poataskaitiniai įvykiai“</w:t>
                      </w:r>
                      <w:r>
                        <w:rPr>
                          <w:lang w:eastAsia="lt-LT"/>
                        </w:rPr>
                        <w:t>,</w:t>
                      </w:r>
                      <w:r>
                        <w:t xml:space="preserve"> patvirtintame Lietuvos Respublikos finansų ministro 2008 m. rugpjūčio 21 d. įsakymu Nr. 1K-252 „Dėl viešojo sektoriaus apskaitos ir finansinės atskaitomybės 18-ojo standarto patvirtinimo“</w:t>
                      </w:r>
                      <w:r>
                        <w:rPr>
                          <w:szCs w:val="24"/>
                          <w:lang w:eastAsia="lt-LT"/>
                        </w:rPr>
                        <w:t>.</w:t>
                      </w:r>
                    </w:p>
                  </w:sdtContent>
                </w:sdt>
                <w:sdt>
                  <w:sdtPr>
                    <w:alias w:val="22 p."/>
                    <w:tag w:val="part_cd72daab3b9341e5b6f703dd62665e86"/>
                    <w:lock w:val="sdtLocked"/>
                    <w:richText/>
                  </w:sdtPr>
                  <w:sdtContent>
                    <w:p>
                      <w:pPr>
                        <w:tabs>
                          <w:tab w:val="left" w:pos="993"/>
                          <w:tab w:val="left" w:pos="1418"/>
                        </w:tabs>
                        <w:ind w:firstLine="709"/>
                        <w:jc w:val="both"/>
                        <w:rPr>
                          <w:szCs w:val="24"/>
                        </w:rPr>
                      </w:pPr>
                      <w:sdt>
                        <w:sdtPr>
                          <w:alias w:val="Numeris"/>
                          <w:tag w:val="nr_cd72daab3b9341e5b6f703dd62665e86"/>
                          <w:lock w:val="sdtLocked"/>
                          <w:richText/>
                        </w:sdtPr>
                        <w:sdtContent>
                          <w:r>
                            <w:rPr>
                              <w:szCs w:val="24"/>
                            </w:rPr>
                            <w:t>22</w:t>
                          </w:r>
                        </w:sdtContent>
                      </w:sdt>
                      <w:r>
                        <w:rPr>
                          <w:szCs w:val="24"/>
                        </w:rPr>
                        <w:t>.</w:t>
                        <w:tab/>
                      </w:r>
                      <w:r>
                        <w:rPr>
                          <w:szCs w:val="24"/>
                          <w:lang w:eastAsia="lt-LT"/>
                        </w:rPr>
                        <w:t xml:space="preserve">Ilgalaikių įsipareigojimų </w:t>
                      </w:r>
                      <w:r>
                        <w:t xml:space="preserve">įvertinimo, registravimo finansinėje apskaitoje ir pateikimo finansinėse ataskaitose reikalavimai nustatomi </w:t>
                      </w:r>
                      <w:r>
                        <w:rPr>
                          <w:szCs w:val="24"/>
                          <w:lang w:eastAsia="lt-LT"/>
                        </w:rPr>
                        <w:t xml:space="preserve">17-ajame VSAFAS </w:t>
                      </w:r>
                      <w:r>
                        <w:rPr>
                          <w:szCs w:val="24"/>
                        </w:rPr>
                        <w:t>„Finansinis turtas ir finansiniai įsipareigojimai“</w:t>
                      </w:r>
                      <w:r>
                        <w:t>.</w:t>
                      </w:r>
                    </w:p>
                  </w:sdtContent>
                </w:sdt>
                <w:sdt>
                  <w:sdtPr>
                    <w:alias w:val="23 p."/>
                    <w:tag w:val="part_718ac53ce09b46fe9d17b344d76b1789"/>
                    <w:lock w:val="sdtLocked"/>
                    <w:richText/>
                  </w:sdtPr>
                  <w:sdtContent>
                    <w:p>
                      <w:pPr>
                        <w:tabs>
                          <w:tab w:val="left" w:pos="993"/>
                          <w:tab w:val="left" w:pos="1418"/>
                        </w:tabs>
                        <w:ind w:firstLine="709"/>
                        <w:jc w:val="both"/>
                        <w:rPr>
                          <w:szCs w:val="24"/>
                        </w:rPr>
                      </w:pPr>
                      <w:sdt>
                        <w:sdtPr>
                          <w:alias w:val="Numeris"/>
                          <w:tag w:val="nr_718ac53ce09b46fe9d17b344d76b1789"/>
                          <w:lock w:val="sdtLocked"/>
                          <w:richText/>
                        </w:sdtPr>
                        <w:sdtContent>
                          <w:r>
                            <w:rPr>
                              <w:szCs w:val="24"/>
                            </w:rPr>
                            <w:t>23</w:t>
                          </w:r>
                        </w:sdtContent>
                      </w:sdt>
                      <w:r>
                        <w:rPr>
                          <w:szCs w:val="24"/>
                        </w:rPr>
                        <w:t>.</w:t>
                        <w:tab/>
                        <w:t>Straipsnis „Ilgalaikiai įsipareigojimai“ detalizuojamas į šiuos straipsnius:</w:t>
                      </w:r>
                    </w:p>
                    <w:sdt>
                      <w:sdtPr>
                        <w:alias w:val="23.1 pp."/>
                        <w:tag w:val="part_2d1f0dd5cf634917af8f1774b721132b"/>
                        <w:lock w:val="sdtLocked"/>
                        <w:richText/>
                      </w:sdtPr>
                      <w:sdtContent>
                        <w:p>
                          <w:pPr>
                            <w:tabs>
                              <w:tab w:val="left" w:pos="993"/>
                              <w:tab w:val="left" w:pos="1418"/>
                            </w:tabs>
                            <w:ind w:firstLine="709"/>
                            <w:jc w:val="both"/>
                            <w:rPr>
                              <w:szCs w:val="24"/>
                            </w:rPr>
                          </w:pPr>
                          <w:sdt>
                            <w:sdtPr>
                              <w:alias w:val="Numeris"/>
                              <w:tag w:val="nr_2d1f0dd5cf634917af8f1774b721132b"/>
                              <w:lock w:val="sdtLocked"/>
                              <w:richText/>
                            </w:sdtPr>
                            <w:sdtContent>
                              <w:r>
                                <w:rPr>
                                  <w:szCs w:val="24"/>
                                </w:rPr>
                                <w:t>23.1</w:t>
                              </w:r>
                            </w:sdtContent>
                          </w:sdt>
                          <w:r>
                            <w:rPr>
                              <w:szCs w:val="24"/>
                            </w:rPr>
                            <w:t>.</w:t>
                            <w:tab/>
                            <w:t xml:space="preserve">Straipsnyje „Ilgalaikiai skoliniai įsipareigojimai“ rodomi įsipareigojimai, </w:t>
                          </w:r>
                          <w:r>
                            <w:rPr>
                              <w:szCs w:val="24"/>
                              <w:lang w:eastAsia="lt-LT"/>
                            </w:rPr>
                            <w:t xml:space="preserve">prie kurių priskiriamos </w:t>
                          </w:r>
                          <w:r>
                            <w:t>paskolos, ir išvestinių finansinių priemonių įsipareigojimai, kurie</w:t>
                          </w:r>
                          <w:r>
                            <w:rPr>
                              <w:b/>
                              <w:bCs/>
                            </w:rPr>
                            <w:t xml:space="preserve"> </w:t>
                          </w:r>
                          <w:r>
                            <w:t>turės būti įvykdyti po 12 mėnesių nuo paskutinės ataskaitinio laikotarpio dienos.</w:t>
                          </w:r>
                          <w:r>
                            <w:rPr>
                              <w:szCs w:val="24"/>
                            </w:rPr>
                            <w:t xml:space="preserve"> </w:t>
                          </w:r>
                        </w:p>
                      </w:sdtContent>
                    </w:sdt>
                    <w:sdt>
                      <w:sdtPr>
                        <w:alias w:val="23.2 pp."/>
                        <w:tag w:val="part_81fc23e743c44910b4f6ab353006e8e5"/>
                        <w:lock w:val="sdtLocked"/>
                        <w:richText/>
                      </w:sdtPr>
                      <w:sdtContent>
                        <w:p>
                          <w:pPr>
                            <w:tabs>
                              <w:tab w:val="left" w:pos="993"/>
                              <w:tab w:val="left" w:pos="1418"/>
                            </w:tabs>
                            <w:ind w:firstLine="709"/>
                            <w:jc w:val="both"/>
                            <w:rPr>
                              <w:szCs w:val="24"/>
                            </w:rPr>
                          </w:pPr>
                          <w:sdt>
                            <w:sdtPr>
                              <w:alias w:val="Numeris"/>
                              <w:tag w:val="nr_81fc23e743c44910b4f6ab353006e8e5"/>
                              <w:lock w:val="sdtLocked"/>
                              <w:richText/>
                            </w:sdtPr>
                            <w:sdtContent>
                              <w:r>
                                <w:rPr>
                                  <w:szCs w:val="24"/>
                                </w:rPr>
                                <w:t>23.2</w:t>
                              </w:r>
                            </w:sdtContent>
                          </w:sdt>
                          <w:r>
                            <w:rPr>
                              <w:szCs w:val="24"/>
                            </w:rPr>
                            <w:t>.</w:t>
                            <w:tab/>
                            <w:t xml:space="preserve">Straipsnyje „Kiti ilgalaikiai įsipareigojimai“ rodomi įsipareigojimai, </w:t>
                          </w:r>
                          <w:r>
                            <w:rPr>
                              <w:szCs w:val="24"/>
                              <w:lang w:eastAsia="lt-LT"/>
                            </w:rPr>
                            <w:t xml:space="preserve">prie kurių priskiriami </w:t>
                          </w:r>
                          <w:r>
                            <w:t>ilgalaikiai įsipareigojimai, kurie negali būti priskirti Standarto 23.1 papunktyje nurodytiems įsipareigojimams</w:t>
                          </w:r>
                          <w:r>
                            <w:rPr>
                              <w:szCs w:val="24"/>
                            </w:rPr>
                            <w:t xml:space="preserve">. Šiame straipsnyje rodomi </w:t>
                          </w:r>
                          <w:r>
                            <w:t>valstybės ižde viešojo sektoriaus subjekto atidarytoje ir tvarkomoje sąskaitoje esančios ir įstaigų savo funkcijoms įgyvendinti laikinai nenaudojamos lėšos.</w:t>
                          </w:r>
                        </w:p>
                      </w:sdtContent>
                    </w:sdt>
                  </w:sdtContent>
                </w:sdt>
                <w:sdt>
                  <w:sdtPr>
                    <w:alias w:val="24 p."/>
                    <w:tag w:val="part_acd1d028690f4c45afed3cc3a3c023e5"/>
                    <w:lock w:val="sdtLocked"/>
                    <w:richText/>
                  </w:sdtPr>
                  <w:sdtContent>
                    <w:p>
                      <w:pPr>
                        <w:tabs>
                          <w:tab w:val="left" w:pos="993"/>
                          <w:tab w:val="left" w:pos="1418"/>
                        </w:tabs>
                        <w:ind w:firstLine="709"/>
                        <w:jc w:val="both"/>
                        <w:rPr>
                          <w:szCs w:val="24"/>
                        </w:rPr>
                      </w:pPr>
                      <w:sdt>
                        <w:sdtPr>
                          <w:alias w:val="Numeris"/>
                          <w:tag w:val="nr_acd1d028690f4c45afed3cc3a3c023e5"/>
                          <w:lock w:val="sdtLocked"/>
                          <w:richText/>
                        </w:sdtPr>
                        <w:sdtContent>
                          <w:r>
                            <w:rPr>
                              <w:szCs w:val="24"/>
                            </w:rPr>
                            <w:t>24</w:t>
                          </w:r>
                        </w:sdtContent>
                      </w:sdt>
                      <w:r>
                        <w:rPr>
                          <w:szCs w:val="24"/>
                        </w:rPr>
                        <w:t>.</w:t>
                        <w:tab/>
                      </w:r>
                      <w:r>
                        <w:rPr>
                          <w:szCs w:val="24"/>
                          <w:lang w:eastAsia="lt-LT"/>
                        </w:rPr>
                        <w:t xml:space="preserve">Trumpalaikių įsipareigojimų </w:t>
                      </w:r>
                      <w:r>
                        <w:t xml:space="preserve">įvertinimo, registravimo finansinėje apskaitoje ir pateikimo finansinėse ataskaitose reikalavimai nustatomi </w:t>
                      </w:r>
                      <w:r>
                        <w:rPr>
                          <w:szCs w:val="24"/>
                          <w:lang w:eastAsia="lt-LT"/>
                        </w:rPr>
                        <w:t xml:space="preserve">17-ajame VSAFAS </w:t>
                      </w:r>
                      <w:r>
                        <w:rPr>
                          <w:szCs w:val="24"/>
                        </w:rPr>
                        <w:t>„Finansinis turtas ir finansiniai įsipareigojimai“</w:t>
                      </w:r>
                      <w:r>
                        <w:rPr>
                          <w:szCs w:val="24"/>
                          <w:lang w:eastAsia="lt-LT"/>
                        </w:rPr>
                        <w:t xml:space="preserve"> ir </w:t>
                      </w:r>
                      <w:r>
                        <w:t xml:space="preserve">19-ajame viešojo sektoriaus apskaitos ir finansinės atskaitomybės standarte „Nuoma, finansinė nuoma (lizingas) ir kitos turto perdavimo sutartys“, patvirtintame Lietuvos Respublikos finansų ministro 2008 m. gegužės 14 d. įsakymu Nr. 1K-176 „Dėl viešojo sektoriaus apskaitos ir finansinės atskaitomybės 19-ojo standarto patvirtinimo“, (toliau – 19-asis VSAFAS „Nuoma, finansinė nuoma (lizingas) ir kitos turto perdavimo sutartys“. </w:t>
                      </w:r>
                    </w:p>
                  </w:sdtContent>
                </w:sdt>
                <w:sdt>
                  <w:sdtPr>
                    <w:alias w:val="25 p."/>
                    <w:tag w:val="part_debb450aae4746ebb76551cb64fe5c45"/>
                    <w:lock w:val="sdtLocked"/>
                    <w:richText/>
                  </w:sdtPr>
                  <w:sdtContent>
                    <w:p>
                      <w:pPr>
                        <w:tabs>
                          <w:tab w:val="left" w:pos="993"/>
                          <w:tab w:val="left" w:pos="1418"/>
                        </w:tabs>
                        <w:ind w:firstLine="709"/>
                        <w:jc w:val="both"/>
                        <w:rPr>
                          <w:szCs w:val="24"/>
                        </w:rPr>
                      </w:pPr>
                      <w:sdt>
                        <w:sdtPr>
                          <w:alias w:val="Numeris"/>
                          <w:tag w:val="nr_debb450aae4746ebb76551cb64fe5c45"/>
                          <w:lock w:val="sdtLocked"/>
                          <w:richText/>
                        </w:sdtPr>
                        <w:sdtContent>
                          <w:r>
                            <w:rPr>
                              <w:szCs w:val="24"/>
                            </w:rPr>
                            <w:t>25</w:t>
                          </w:r>
                        </w:sdtContent>
                      </w:sdt>
                      <w:r>
                        <w:rPr>
                          <w:szCs w:val="24"/>
                        </w:rPr>
                        <w:t>.</w:t>
                        <w:tab/>
                        <w:t>Straipsnis „Trumpalaikiai įsipareigojimai“ detalizuojamas į šiuos straipsnius:</w:t>
                      </w:r>
                    </w:p>
                    <w:sdt>
                      <w:sdtPr>
                        <w:alias w:val="25.1 pp."/>
                        <w:tag w:val="part_4707fd31b6f04dd79cec1f30e6d308af"/>
                        <w:lock w:val="sdtLocked"/>
                        <w:richText/>
                      </w:sdtPr>
                      <w:sdtContent>
                        <w:p>
                          <w:pPr>
                            <w:tabs>
                              <w:tab w:val="left" w:pos="993"/>
                              <w:tab w:val="left" w:pos="1418"/>
                            </w:tabs>
                            <w:ind w:firstLine="709"/>
                            <w:jc w:val="both"/>
                            <w:rPr>
                              <w:szCs w:val="24"/>
                            </w:rPr>
                          </w:pPr>
                          <w:sdt>
                            <w:sdtPr>
                              <w:alias w:val="Numeris"/>
                              <w:tag w:val="nr_4707fd31b6f04dd79cec1f30e6d308af"/>
                              <w:lock w:val="sdtLocked"/>
                              <w:richText/>
                            </w:sdtPr>
                            <w:sdtContent>
                              <w:r>
                                <w:rPr>
                                  <w:szCs w:val="24"/>
                                </w:rPr>
                                <w:t>25.1</w:t>
                              </w:r>
                            </w:sdtContent>
                          </w:sdt>
                          <w:r>
                            <w:rPr>
                              <w:szCs w:val="24"/>
                            </w:rPr>
                            <w:t>.</w:t>
                            <w:tab/>
                            <w:t xml:space="preserve">Straipsnyje „Trumpalaikiai skoliniai įsipareigojimai“ rodomi skoliniai įsipareigojimai </w:t>
                          </w:r>
                          <w:r>
                            <w:t>pagal Vyriausybės vertybinius popierius, paskolos ir išvestinių finansinių priemonių įsipareigojimai, kurie</w:t>
                          </w:r>
                          <w:r>
                            <w:rPr>
                              <w:b/>
                              <w:bCs/>
                            </w:rPr>
                            <w:t xml:space="preserve"> </w:t>
                          </w:r>
                          <w:r>
                            <w:t>turės būti įvykdyti per 12 mėnesių nuo paskutinės ataskaitinio laikotarpio dienos, įskaitant po metų mokėtinų skolinių įsipareigojimų einamųjų metų dalį, kurių apskaita tvarkoma pagal 17-ąjį VSAFAS „Finansinis turtas ir finansiniai įsipareigojimai“ ir 19-ąjį VSAFAS „Nuoma, finansinė nuoma (lizingas) ir kitos turto perdavimo sutartys“</w:t>
                          </w:r>
                          <w:r>
                            <w:rPr>
                              <w:szCs w:val="24"/>
                            </w:rPr>
                            <w:t xml:space="preserve">. </w:t>
                          </w:r>
                        </w:p>
                      </w:sdtContent>
                    </w:sdt>
                    <w:sdt>
                      <w:sdtPr>
                        <w:alias w:val="25.2 pp."/>
                        <w:tag w:val="part_c75d89ac8cd147d992ac7e75fcc50acb"/>
                        <w:lock w:val="sdtLocked"/>
                        <w:richText/>
                      </w:sdtPr>
                      <w:sdtContent>
                        <w:p>
                          <w:pPr>
                            <w:tabs>
                              <w:tab w:val="left" w:pos="993"/>
                              <w:tab w:val="left" w:pos="1418"/>
                            </w:tabs>
                            <w:ind w:firstLine="709"/>
                            <w:jc w:val="both"/>
                            <w:rPr>
                              <w:szCs w:val="24"/>
                            </w:rPr>
                          </w:pPr>
                          <w:sdt>
                            <w:sdtPr>
                              <w:alias w:val="Numeris"/>
                              <w:tag w:val="nr_c75d89ac8cd147d992ac7e75fcc50acb"/>
                              <w:lock w:val="sdtLocked"/>
                              <w:richText/>
                            </w:sdtPr>
                            <w:sdtContent>
                              <w:r>
                                <w:rPr>
                                  <w:szCs w:val="24"/>
                                </w:rPr>
                                <w:t>25.2</w:t>
                              </w:r>
                            </w:sdtContent>
                          </w:sdt>
                          <w:r>
                            <w:rPr>
                              <w:szCs w:val="24"/>
                            </w:rPr>
                            <w:t>.</w:t>
                            <w:tab/>
                            <w:t xml:space="preserve">Straipsnyje „Mokėtinos socialinės išmokos“ rodomos išmokos iš fondo, </w:t>
                          </w:r>
                          <w:r>
                            <w:t>kurios</w:t>
                          </w:r>
                          <w:r>
                            <w:rPr>
                              <w:b/>
                              <w:bCs/>
                            </w:rPr>
                            <w:t xml:space="preserve"> </w:t>
                          </w:r>
                          <w:r>
                            <w:t>turės būti išmokėtos per 12 mėnesių nuo paskutinės ataskaitinio laikotarpio dienos</w:t>
                          </w:r>
                          <w:r>
                            <w:rPr>
                              <w:szCs w:val="24"/>
                            </w:rPr>
                            <w:t xml:space="preserve">. </w:t>
                          </w:r>
                        </w:p>
                      </w:sdtContent>
                    </w:sdt>
                    <w:sdt>
                      <w:sdtPr>
                        <w:alias w:val="25.3 pp."/>
                        <w:tag w:val="part_102d49ee56264448a8616b73221cf212"/>
                        <w:lock w:val="sdtLocked"/>
                        <w:richText/>
                      </w:sdtPr>
                      <w:sdtContent>
                        <w:p>
                          <w:pPr>
                            <w:tabs>
                              <w:tab w:val="left" w:pos="993"/>
                              <w:tab w:val="left" w:pos="1418"/>
                            </w:tabs>
                            <w:ind w:firstLine="709"/>
                            <w:jc w:val="both"/>
                            <w:rPr>
                              <w:szCs w:val="24"/>
                            </w:rPr>
                          </w:pPr>
                          <w:sdt>
                            <w:sdtPr>
                              <w:alias w:val="Numeris"/>
                              <w:tag w:val="nr_102d49ee56264448a8616b73221cf212"/>
                              <w:lock w:val="sdtLocked"/>
                              <w:richText/>
                            </w:sdtPr>
                            <w:sdtContent>
                              <w:r>
                                <w:rPr>
                                  <w:szCs w:val="24"/>
                                </w:rPr>
                                <w:t>25.3</w:t>
                              </w:r>
                            </w:sdtContent>
                          </w:sdt>
                          <w:r>
                            <w:rPr>
                              <w:szCs w:val="24"/>
                            </w:rPr>
                            <w:t>.</w:t>
                            <w:tab/>
                            <w:t xml:space="preserve">Straipsnyje „Mokėtinos sumos už fondo administravimą“ rodomos sumos už fondo administravimą, kai fondą administruoja ne viešojo sektoriaus subjektas. Mokėtinos sumos už fondo administravimą finansinės būklės ataskaitoje, kai rengiamas viešojo sektoriaus subjektų grupės </w:t>
                          </w:r>
                          <w:r>
                            <w:rPr>
                              <w:color w:val="000000"/>
                            </w:rPr>
                            <w:t>finansinių ataskaitų rinkinys, valstybės metinių ataskaitų rinkinys, savivaldybės metinių ataskaitų rinkinys ir nacionalinis metinių ataskaitų rinkinys,</w:t>
                          </w:r>
                          <w:r>
                            <w:rPr>
                              <w:szCs w:val="24"/>
                            </w:rPr>
                            <w:t xml:space="preserve"> priskiriamos prie kitų trumpalaikių įsipareigojimų.</w:t>
                          </w:r>
                        </w:p>
                      </w:sdtContent>
                    </w:sdt>
                    <w:sdt>
                      <w:sdtPr>
                        <w:alias w:val="25.4 pp."/>
                        <w:tag w:val="part_0d72afff6400403b8d028146a40efd4a"/>
                        <w:lock w:val="sdtLocked"/>
                        <w:richText/>
                      </w:sdtPr>
                      <w:sdtContent>
                        <w:p>
                          <w:pPr>
                            <w:tabs>
                              <w:tab w:val="left" w:pos="993"/>
                              <w:tab w:val="left" w:pos="1418"/>
                            </w:tabs>
                            <w:ind w:firstLine="709"/>
                            <w:jc w:val="both"/>
                            <w:rPr>
                              <w:szCs w:val="24"/>
                              <w:lang w:eastAsia="lt-LT"/>
                            </w:rPr>
                          </w:pPr>
                          <w:sdt>
                            <w:sdtPr>
                              <w:alias w:val="Numeris"/>
                              <w:tag w:val="nr_0d72afff6400403b8d028146a40efd4a"/>
                              <w:lock w:val="sdtLocked"/>
                              <w:richText/>
                            </w:sdtPr>
                            <w:sdtContent>
                              <w:r>
                                <w:rPr>
                                  <w:szCs w:val="24"/>
                                  <w:lang w:eastAsia="lt-LT"/>
                                </w:rPr>
                                <w:t>25.4</w:t>
                              </w:r>
                            </w:sdtContent>
                          </w:sdt>
                          <w:r>
                            <w:rPr>
                              <w:szCs w:val="24"/>
                              <w:lang w:eastAsia="lt-LT"/>
                            </w:rPr>
                            <w:t>.</w:t>
                            <w:tab/>
                          </w:r>
                          <w:r>
                            <w:rPr>
                              <w:szCs w:val="24"/>
                            </w:rPr>
                            <w:t xml:space="preserve">Straipsnyje „Kiti trumpalaikiai įsipareigojimai“ </w:t>
                          </w:r>
                          <w:r>
                            <w:rPr>
                              <w:szCs w:val="24"/>
                              <w:lang w:eastAsia="lt-LT"/>
                            </w:rPr>
                            <w:t xml:space="preserve">rodomos kitos mokėtinos sumos, ateinančių laikotarpių pajamos, </w:t>
                          </w:r>
                          <w:r>
                            <w:t>valstybės ižde viešojo sektoriaus subjekto atidarytoje ir tvarkomoje sąskaitoje esančios ir įstaigų savo funkcijoms įgyvendinti laikinai nenaudojamos lėšos</w:t>
                          </w:r>
                          <w:r>
                            <w:rPr>
                              <w:szCs w:val="24"/>
                              <w:lang w:eastAsia="lt-LT"/>
                            </w:rPr>
                            <w:t xml:space="preserve"> ir kiti trumpalaikiai įsipareigojimai, kurie negali būti priskirti prie Standarto 25.1–25.3 papunkčiuose nurodytų įsipareigojimų. Šie įsipareigojimai finansinės būklės ataskaitoje skirstomi į šiuos straipsnius:</w:t>
                          </w:r>
                        </w:p>
                        <w:sdt>
                          <w:sdtPr>
                            <w:alias w:val="25.4.1 pp."/>
                            <w:tag w:val="part_16d79b896db04f72a6b89825898a0728"/>
                            <w:lock w:val="sdtLocked"/>
                            <w:richText/>
                          </w:sdtPr>
                          <w:sdtContent>
                            <w:p>
                              <w:pPr>
                                <w:tabs>
                                  <w:tab w:val="left" w:pos="993"/>
                                  <w:tab w:val="left" w:pos="1418"/>
                                </w:tabs>
                                <w:ind w:firstLine="720"/>
                                <w:jc w:val="both"/>
                                <w:rPr>
                                  <w:szCs w:val="24"/>
                                  <w:lang w:eastAsia="lt-LT"/>
                                </w:rPr>
                              </w:pPr>
                              <w:sdt>
                                <w:sdtPr>
                                  <w:alias w:val="Numeris"/>
                                  <w:tag w:val="nr_16d79b896db04f72a6b89825898a0728"/>
                                  <w:lock w:val="sdtLocked"/>
                                  <w:richText/>
                                </w:sdtPr>
                                <w:sdtContent>
                                  <w:r>
                                    <w:rPr>
                                      <w:szCs w:val="24"/>
                                      <w:lang w:eastAsia="lt-LT"/>
                                    </w:rPr>
                                    <w:t>25.4.1</w:t>
                                  </w:r>
                                </w:sdtContent>
                              </w:sdt>
                              <w:r>
                                <w:rPr>
                                  <w:szCs w:val="24"/>
                                  <w:lang w:eastAsia="lt-LT"/>
                                </w:rPr>
                                <w:t>.</w:t>
                                <w:tab/>
                                <w:t>„Mokėtinos sumos tarptautinėms institucijoms, į biudžetus ir fondus“;</w:t>
                              </w:r>
                            </w:p>
                          </w:sdtContent>
                        </w:sdt>
                        <w:sdt>
                          <w:sdtPr>
                            <w:alias w:val="25.4.2 pp."/>
                            <w:tag w:val="part_36cb2d908212485c9b6f78e258eb8d81"/>
                            <w:lock w:val="sdtLocked"/>
                            <w:richText/>
                          </w:sdtPr>
                          <w:sdtContent>
                            <w:p>
                              <w:pPr>
                                <w:tabs>
                                  <w:tab w:val="left" w:pos="993"/>
                                  <w:tab w:val="left" w:pos="1418"/>
                                </w:tabs>
                                <w:ind w:firstLine="720"/>
                                <w:jc w:val="both"/>
                                <w:rPr>
                                  <w:szCs w:val="24"/>
                                  <w:lang w:eastAsia="lt-LT"/>
                                </w:rPr>
                              </w:pPr>
                              <w:sdt>
                                <w:sdtPr>
                                  <w:alias w:val="Numeris"/>
                                  <w:tag w:val="nr_36cb2d908212485c9b6f78e258eb8d81"/>
                                  <w:lock w:val="sdtLocked"/>
                                  <w:richText/>
                                </w:sdtPr>
                                <w:sdtContent>
                                  <w:r>
                                    <w:rPr>
                                      <w:szCs w:val="24"/>
                                      <w:lang w:eastAsia="lt-LT"/>
                                    </w:rPr>
                                    <w:t>25.4.2</w:t>
                                  </w:r>
                                </w:sdtContent>
                              </w:sdt>
                              <w:r>
                                <w:rPr>
                                  <w:szCs w:val="24"/>
                                  <w:lang w:eastAsia="lt-LT"/>
                                </w:rPr>
                                <w:t>.</w:t>
                                <w:tab/>
                                <w:t xml:space="preserve">„Grąžintini mokesčiai, įmokos ir jų permokos“. Šios sumos </w:t>
                              </w:r>
                              <w:r>
                                <w:rPr>
                                  <w:szCs w:val="24"/>
                                </w:rPr>
                                <w:t>finansinės būklės ataskaitoje, kai rengiamas valstybės metinių ataskaitų rinkinys ar nacionalinis finansinių ataskaitų rinkinys, priskiriamos prie kitų įsipareigojimų;</w:t>
                              </w:r>
                            </w:p>
                          </w:sdtContent>
                        </w:sdt>
                        <w:sdt>
                          <w:sdtPr>
                            <w:alias w:val="25.4.3 pp."/>
                            <w:tag w:val="part_2dad9930551646c0b546b3ece2353818"/>
                            <w:lock w:val="sdtLocked"/>
                            <w:richText/>
                          </w:sdtPr>
                          <w:sdtContent>
                            <w:p>
                              <w:pPr>
                                <w:tabs>
                                  <w:tab w:val="left" w:pos="993"/>
                                  <w:tab w:val="left" w:pos="1418"/>
                                </w:tabs>
                                <w:ind w:firstLine="720"/>
                                <w:jc w:val="both"/>
                                <w:rPr>
                                  <w:szCs w:val="24"/>
                                </w:rPr>
                              </w:pPr>
                              <w:sdt>
                                <w:sdtPr>
                                  <w:alias w:val="Numeris"/>
                                  <w:tag w:val="nr_2dad9930551646c0b546b3ece2353818"/>
                                  <w:lock w:val="sdtLocked"/>
                                  <w:richText/>
                                </w:sdtPr>
                                <w:sdtContent>
                                  <w:r>
                                    <w:rPr>
                                      <w:szCs w:val="24"/>
                                    </w:rPr>
                                    <w:t>25.4.3</w:t>
                                  </w:r>
                                </w:sdtContent>
                              </w:sdt>
                              <w:r>
                                <w:rPr>
                                  <w:szCs w:val="24"/>
                                </w:rPr>
                                <w:t>.</w:t>
                                <w:tab/>
                              </w:r>
                              <w:r>
                                <w:rPr>
                                  <w:szCs w:val="24"/>
                                  <w:lang w:eastAsia="lt-LT"/>
                                </w:rPr>
                                <w:t>„Kiti įsipareigojimai“. Šiam straipsniui priskiriami įsipareigojimai, nenurodyti Standarto 25.4.1 ir 25.4.2 papunkčiuose.</w:t>
                              </w:r>
                            </w:p>
                          </w:sdtContent>
                        </w:sdt>
                      </w:sdtContent>
                    </w:sdt>
                  </w:sdtContent>
                </w:sdt>
                <w:sdt>
                  <w:sdtPr>
                    <w:alias w:val="26 p."/>
                    <w:tag w:val="part_cb5f9e89330c4f7797893553a3727efb"/>
                    <w:lock w:val="sdtLocked"/>
                    <w:richText/>
                  </w:sdtPr>
                  <w:sdtContent>
                    <w:p>
                      <w:pPr>
                        <w:tabs>
                          <w:tab w:val="left" w:pos="993"/>
                          <w:tab w:val="left" w:pos="1418"/>
                        </w:tabs>
                        <w:ind w:firstLine="709"/>
                        <w:jc w:val="both"/>
                        <w:rPr>
                          <w:szCs w:val="24"/>
                        </w:rPr>
                      </w:pPr>
                      <w:sdt>
                        <w:sdtPr>
                          <w:alias w:val="Numeris"/>
                          <w:tag w:val="nr_cb5f9e89330c4f7797893553a3727efb"/>
                          <w:lock w:val="sdtLocked"/>
                          <w:richText/>
                        </w:sdtPr>
                        <w:sdtContent>
                          <w:r>
                            <w:rPr>
                              <w:szCs w:val="24"/>
                            </w:rPr>
                            <w:t>26</w:t>
                          </w:r>
                        </w:sdtContent>
                      </w:sdt>
                      <w:r>
                        <w:rPr>
                          <w:szCs w:val="24"/>
                        </w:rPr>
                        <w:t>.</w:t>
                        <w:tab/>
                        <w:t>Ilgalaikiai ir trumpalaikiai įsipareigojimai pripažįstami, vertinami, registruojami apskaitoje ir rodomi finansinės būklės ataskaitoje pagal 17-ojo VSAFAS „Finansinis turtas ir finansiniai įsipareigojimai“</w:t>
                      </w:r>
                      <w:r>
                        <w:rPr>
                          <w:szCs w:val="24"/>
                          <w:lang w:eastAsia="lt-LT"/>
                        </w:rPr>
                        <w:t xml:space="preserve"> </w:t>
                      </w:r>
                      <w:r>
                        <w:rPr>
                          <w:szCs w:val="24"/>
                        </w:rPr>
                        <w:t>nuostatas, išskyrus įsipareigojimų, nurodytų Standarto 27 punkte, vertinimo atvejus, ir pagal 18-ojo VSAFAS „Atidėjiniai, neapibrėžtieji įsipareigojimai, neapibrėžtasis turtas ir poataskaitiniai įvykiai“ nuostatas. Negrąžintinomis pripažintos paskolos, gautos iš viešojo sektoriaus subjektų, pripažįstamos fondo gautomis finansavimo sumomis, o iš ne viešojo sektoriaus subjektų ‒ pajamomis.</w:t>
                      </w:r>
                    </w:p>
                  </w:sdtContent>
                </w:sdt>
                <w:sdt>
                  <w:sdtPr>
                    <w:alias w:val="27 p."/>
                    <w:tag w:val="part_4bd5a85af99449a48ab826e770a19dcc"/>
                    <w:lock w:val="sdtLocked"/>
                    <w:richText/>
                  </w:sdtPr>
                  <w:sdtContent>
                    <w:p>
                      <w:pPr>
                        <w:tabs>
                          <w:tab w:val="left" w:pos="993"/>
                          <w:tab w:val="left" w:pos="1418"/>
                        </w:tabs>
                        <w:ind w:firstLine="709"/>
                        <w:jc w:val="both"/>
                        <w:rPr>
                          <w:lang w:eastAsia="lt-LT"/>
                        </w:rPr>
                      </w:pPr>
                      <w:sdt>
                        <w:sdtPr>
                          <w:alias w:val="Numeris"/>
                          <w:tag w:val="nr_4bd5a85af99449a48ab826e770a19dcc"/>
                          <w:lock w:val="sdtLocked"/>
                          <w:richText/>
                        </w:sdtPr>
                        <w:sdtContent>
                          <w:r>
                            <w:rPr>
                              <w:lang w:eastAsia="lt-LT"/>
                            </w:rPr>
                            <w:t>27</w:t>
                          </w:r>
                        </w:sdtContent>
                      </w:sdt>
                      <w:r>
                        <w:rPr>
                          <w:lang w:eastAsia="lt-LT"/>
                        </w:rPr>
                        <w:t>.</w:t>
                        <w:tab/>
                        <w:t xml:space="preserve">Finansiniai įsipareigojimai, kurie pagal </w:t>
                      </w:r>
                      <w:r>
                        <w:rPr>
                          <w:szCs w:val="24"/>
                        </w:rPr>
                        <w:t>17-ojo VSAFAS „Finansinis turtas ir finansiniai įsipareigojimai“</w:t>
                      </w:r>
                      <w:r>
                        <w:rPr>
                          <w:szCs w:val="24"/>
                          <w:lang w:eastAsia="lt-LT"/>
                        </w:rPr>
                        <w:t xml:space="preserve"> </w:t>
                      </w:r>
                      <w:r>
                        <w:rPr>
                          <w:szCs w:val="24"/>
                        </w:rPr>
                        <w:t>nuostatas turėtų būti vertinami</w:t>
                      </w:r>
                      <w:r>
                        <w:rPr>
                          <w:lang w:eastAsia="lt-LT"/>
                        </w:rPr>
                        <w:t xml:space="preserve"> amortizuota savikaina, vertinami įsigijimo savikaina šiais atvejais:</w:t>
                      </w:r>
                    </w:p>
                    <w:sdt>
                      <w:sdtPr>
                        <w:alias w:val="27.1 pp."/>
                        <w:tag w:val="part_d34122f72eb84da3916c93774afb5e37"/>
                        <w:lock w:val="sdtLocked"/>
                        <w:richText/>
                      </w:sdtPr>
                      <w:sdtContent>
                        <w:p>
                          <w:pPr>
                            <w:tabs>
                              <w:tab w:val="left" w:pos="993"/>
                              <w:tab w:val="left" w:pos="1418"/>
                            </w:tabs>
                            <w:ind w:firstLine="709"/>
                            <w:jc w:val="both"/>
                            <w:rPr>
                              <w:lang w:eastAsia="lt-LT"/>
                            </w:rPr>
                          </w:pPr>
                          <w:sdt>
                            <w:sdtPr>
                              <w:alias w:val="Numeris"/>
                              <w:tag w:val="nr_d34122f72eb84da3916c93774afb5e37"/>
                              <w:lock w:val="sdtLocked"/>
                              <w:richText/>
                            </w:sdtPr>
                            <w:sdtContent>
                              <w:r>
                                <w:rPr>
                                  <w:lang w:eastAsia="lt-LT"/>
                                </w:rPr>
                                <w:t>27.1</w:t>
                              </w:r>
                            </w:sdtContent>
                          </w:sdt>
                          <w:r>
                            <w:rPr>
                              <w:lang w:eastAsia="lt-LT"/>
                            </w:rPr>
                            <w:t>.</w:t>
                            <w:tab/>
                          </w:r>
                          <w:r>
                            <w:rPr>
                              <w:szCs w:val="24"/>
                            </w:rPr>
                            <w:t>jeigu fondo apskaitoje pripažinti finansiniai įsipareigojimai,</w:t>
                          </w:r>
                          <w:r>
                            <w:t xml:space="preserve"> </w:t>
                          </w:r>
                          <w:r>
                            <w:rPr>
                              <w:szCs w:val="24"/>
                            </w:rPr>
                            <w:t>kurių susidarymo metu buvo išleista pinigų ir</w:t>
                          </w:r>
                          <w:r>
                            <w:rPr>
                              <w:lang w:eastAsia="lt-LT"/>
                            </w:rPr>
                            <w:t xml:space="preserve"> kurie susiję su viešojo sektoriaus subjektu, kurio finansinių ataskaitų duomenys įtraukiami į tos pačios II konsolidavimo lygio viešojo sektoriaus subjektų grupės kaip fondas konsoliduotųjų finansinių ataskaitų rinkinį; </w:t>
                          </w:r>
                        </w:p>
                      </w:sdtContent>
                    </w:sdt>
                    <w:sdt>
                      <w:sdtPr>
                        <w:alias w:val="27.2 pp."/>
                        <w:tag w:val="part_309674ec2ad44ab7a5a45dca3bab5298"/>
                        <w:lock w:val="sdtLocked"/>
                        <w:richText/>
                      </w:sdtPr>
                      <w:sdtContent>
                        <w:p>
                          <w:pPr>
                            <w:tabs>
                              <w:tab w:val="left" w:pos="993"/>
                              <w:tab w:val="left" w:pos="1418"/>
                            </w:tabs>
                            <w:ind w:firstLine="709"/>
                            <w:jc w:val="both"/>
                            <w:rPr>
                              <w:szCs w:val="24"/>
                            </w:rPr>
                          </w:pPr>
                          <w:sdt>
                            <w:sdtPr>
                              <w:alias w:val="Numeris"/>
                              <w:tag w:val="nr_309674ec2ad44ab7a5a45dca3bab5298"/>
                              <w:lock w:val="sdtLocked"/>
                              <w:richText/>
                            </w:sdtPr>
                            <w:sdtContent>
                              <w:r>
                                <w:rPr>
                                  <w:szCs w:val="24"/>
                                </w:rPr>
                                <w:t>27.2</w:t>
                              </w:r>
                            </w:sdtContent>
                          </w:sdt>
                          <w:r>
                            <w:rPr>
                              <w:szCs w:val="24"/>
                            </w:rPr>
                            <w:t>.</w:t>
                            <w:tab/>
                            <w:t xml:space="preserve">jeigu valstybės iždo finansiniai įsipareigojimai yra kitam išteklių fondui, kai </w:t>
                          </w:r>
                          <w:r>
                            <w:rPr>
                              <w:lang w:eastAsia="lt-LT"/>
                            </w:rPr>
                            <w:t>kitas išteklių fondas valstybės iždui grąžintinai suteikia laikinai laisvas lėšas valstybės piniginių išteklių srautams subalansuoti</w:t>
                          </w:r>
                          <w:r>
                            <w:rPr>
                              <w:szCs w:val="24"/>
                            </w:rPr>
                            <w:t>.</w:t>
                          </w:r>
                        </w:p>
                      </w:sdtContent>
                    </w:sdt>
                  </w:sdtContent>
                </w:sdt>
                <w:sdt>
                  <w:sdtPr>
                    <w:alias w:val="28 p."/>
                    <w:tag w:val="part_7231ef668f034d36bcaf5f170df94ffe"/>
                    <w:lock w:val="sdtLocked"/>
                    <w:richText/>
                  </w:sdtPr>
                  <w:sdtContent>
                    <w:p>
                      <w:pPr>
                        <w:tabs>
                          <w:tab w:val="left" w:pos="993"/>
                          <w:tab w:val="left" w:pos="1418"/>
                        </w:tabs>
                        <w:ind w:firstLine="709"/>
                        <w:jc w:val="both"/>
                        <w:rPr>
                          <w:szCs w:val="24"/>
                        </w:rPr>
                      </w:pPr>
                      <w:sdt>
                        <w:sdtPr>
                          <w:alias w:val="Numeris"/>
                          <w:tag w:val="nr_7231ef668f034d36bcaf5f170df94ffe"/>
                          <w:lock w:val="sdtLocked"/>
                          <w:richText/>
                        </w:sdtPr>
                        <w:sdtContent>
                          <w:r>
                            <w:rPr>
                              <w:szCs w:val="24"/>
                            </w:rPr>
                            <w:t>28</w:t>
                          </w:r>
                        </w:sdtContent>
                      </w:sdt>
                      <w:r>
                        <w:rPr>
                          <w:szCs w:val="24"/>
                        </w:rPr>
                        <w:t>.</w:t>
                        <w:tab/>
                        <w:t>Straipsnyje „Grynasis turtas“ rodoma fondo turto dalis, likusi iš fondo turto atėmus visus jo įsipareigojimus ir finansavimo sumas. Informacija apie grynąjį turtą pateikiama, grupuojama ir rodoma pagal Standarto šio skyriaus trečiojo skirsnio ir 4-ojo VSAFAS „Grynojo turto pokyčių ataskaita“ nuostatas.</w:t>
                      </w:r>
                    </w:p>
                  </w:sdtContent>
                </w:sdt>
                <w:sdt>
                  <w:sdtPr>
                    <w:alias w:val="29 p."/>
                    <w:tag w:val="part_75a6083748c44a95ab1df4f2ad38e3a5"/>
                    <w:lock w:val="sdtLocked"/>
                    <w:richText/>
                  </w:sdtPr>
                  <w:sdtContent>
                    <w:p>
                      <w:pPr>
                        <w:tabs>
                          <w:tab w:val="left" w:pos="993"/>
                          <w:tab w:val="left" w:pos="1418"/>
                        </w:tabs>
                        <w:ind w:firstLine="709"/>
                        <w:jc w:val="both"/>
                        <w:rPr>
                          <w:szCs w:val="24"/>
                        </w:rPr>
                      </w:pPr>
                      <w:sdt>
                        <w:sdtPr>
                          <w:alias w:val="Numeris"/>
                          <w:tag w:val="nr_75a6083748c44a95ab1df4f2ad38e3a5"/>
                          <w:lock w:val="sdtLocked"/>
                          <w:richText/>
                        </w:sdtPr>
                        <w:sdtContent>
                          <w:r>
                            <w:rPr>
                              <w:szCs w:val="24"/>
                            </w:rPr>
                            <w:t>29</w:t>
                          </w:r>
                        </w:sdtContent>
                      </w:sdt>
                      <w:r>
                        <w:rPr>
                          <w:szCs w:val="24"/>
                        </w:rPr>
                        <w:t>.</w:t>
                        <w:tab/>
                      </w:r>
                      <w:r>
                        <w:rPr>
                          <w:rFonts w:eastAsia="Calibri"/>
                          <w:szCs w:val="22"/>
                          <w:lang w:eastAsia="lt-LT"/>
                        </w:rPr>
                        <w:t>Kai fondą reglamentuojančiuose teisės aktuose numatytas rezervo sudarymas, straipsnyje „Rezervai“ rodoma rezervui skirtoje banko ar vertybinių popierių sąskaitoje sukaupta ir už einamąjį ataskaitinį laikotarpį pervestina suma,</w:t>
                      </w:r>
                      <w:r>
                        <w:rPr>
                          <w:szCs w:val="24"/>
                        </w:rPr>
                        <w:t xml:space="preserve"> išskiriant sudaryto rezervo sumą, panaudoto rezervo sumą ir nurodant investavimo rezultatus</w:t>
                      </w:r>
                      <w:r>
                        <w:rPr>
                          <w:rFonts w:eastAsia="Calibri"/>
                          <w:szCs w:val="22"/>
                          <w:lang w:eastAsia="lt-LT"/>
                        </w:rPr>
                        <w:t>. Šiame straipsnyje atskiro PSDF finansinių ataskaitų rinkinio finansinės būklės ataskaitoje rodomas ir PSDF biudžeto rezervas.</w:t>
                      </w:r>
                      <w:r>
                        <w:rPr>
                          <w:szCs w:val="24"/>
                        </w:rPr>
                        <w:t xml:space="preserve"> Sudarant PSDF grupės finansinių ataskaitų rinkinį ir nacionalinį metinių ataskaitų rinkinį investavimo rezultatai rodomi Standarto 2 priede nustatytos formos grynojo turto pokyčių ataskaitos 4 ir 11 punktuose ir 4-ojo VSAFAS „Grynojo turto pokyčių ataskaita“ 2 priedo nustatytos grynojo turto pokyčių ataskaitos formos 4 ir 13 punktuose „Kitos rezervų padidėjimo (sumažėjimo) sumos“.</w:t>
                      </w:r>
                    </w:p>
                    <w:p>
                      <w:pPr>
                        <w:tabs>
                          <w:tab w:val="left" w:pos="851"/>
                          <w:tab w:val="left" w:pos="1134"/>
                        </w:tabs>
                        <w:ind w:firstLine="709"/>
                        <w:jc w:val="center"/>
                        <w:rPr>
                          <w:b/>
                          <w:szCs w:val="24"/>
                        </w:rPr>
                      </w:pPr>
                    </w:p>
                  </w:sdtContent>
                </w:sdt>
              </w:sdtContent>
            </w:sdt>
            <w:sdt>
              <w:sdtPr>
                <w:alias w:val="skirsnis"/>
                <w:tag w:val="part_24b0f2977d3c4367b8fe23da6b28162f"/>
                <w:lock w:val="sdtLocked"/>
                <w:richText/>
              </w:sdtPr>
              <w:sdtContent>
                <w:p>
                  <w:pPr>
                    <w:tabs>
                      <w:tab w:val="left" w:pos="851"/>
                      <w:tab w:val="left" w:pos="1134"/>
                    </w:tabs>
                    <w:jc w:val="center"/>
                    <w:rPr>
                      <w:b/>
                      <w:szCs w:val="24"/>
                    </w:rPr>
                  </w:pPr>
                  <w:sdt>
                    <w:sdtPr>
                      <w:alias w:val="Numeris"/>
                      <w:tag w:val="nr_24b0f2977d3c4367b8fe23da6b28162f"/>
                      <w:lock w:val="sdtLocked"/>
                      <w:richText/>
                    </w:sdtPr>
                    <w:sdtContent>
                      <w:r>
                        <w:rPr>
                          <w:b/>
                          <w:szCs w:val="24"/>
                        </w:rPr>
                        <w:t>TREČIASIS</w:t>
                      </w:r>
                    </w:sdtContent>
                  </w:sdt>
                  <w:r>
                    <w:rPr>
                      <w:b/>
                      <w:szCs w:val="24"/>
                    </w:rPr>
                    <w:t xml:space="preserve"> SKIRSNIS</w:t>
                  </w:r>
                </w:p>
                <w:p>
                  <w:pPr>
                    <w:tabs>
                      <w:tab w:val="left" w:pos="851"/>
                      <w:tab w:val="left" w:pos="1134"/>
                    </w:tabs>
                    <w:jc w:val="center"/>
                    <w:rPr>
                      <w:b/>
                      <w:szCs w:val="24"/>
                    </w:rPr>
                  </w:pPr>
                  <w:sdt>
                    <w:sdtPr>
                      <w:alias w:val="Pavadinimas"/>
                      <w:tag w:val="title_24b0f2977d3c4367b8fe23da6b28162f"/>
                      <w:lock w:val="sdtLocked"/>
                      <w:richText/>
                    </w:sdtPr>
                    <w:sdtContent>
                      <w:r>
                        <w:rPr>
                          <w:b/>
                          <w:szCs w:val="24"/>
                        </w:rPr>
                        <w:t>VEIKLOS REZULTATŲ ATASKAITOS STRAIPSNIŲ PAAIŠKINIMAI</w:t>
                      </w:r>
                    </w:sdtContent>
                  </w:sdt>
                </w:p>
                <w:p>
                  <w:pPr>
                    <w:tabs>
                      <w:tab w:val="left" w:pos="851"/>
                      <w:tab w:val="left" w:pos="1134"/>
                    </w:tabs>
                    <w:ind w:firstLine="709"/>
                    <w:rPr>
                      <w:b/>
                      <w:szCs w:val="24"/>
                    </w:rPr>
                  </w:pPr>
                </w:p>
                <w:sdt>
                  <w:sdtPr>
                    <w:alias w:val="30 p."/>
                    <w:tag w:val="part_e294964ff3834e9d94bfd16f97fef960"/>
                    <w:lock w:val="sdtLocked"/>
                    <w:richText/>
                  </w:sdtPr>
                  <w:sdtContent>
                    <w:p>
                      <w:pPr>
                        <w:tabs>
                          <w:tab w:val="left" w:pos="993"/>
                          <w:tab w:val="left" w:pos="1418"/>
                        </w:tabs>
                        <w:ind w:firstLine="709"/>
                        <w:jc w:val="both"/>
                        <w:rPr>
                          <w:rFonts w:eastAsia="Calibri"/>
                          <w:szCs w:val="24"/>
                        </w:rPr>
                      </w:pPr>
                      <w:sdt>
                        <w:sdtPr>
                          <w:alias w:val="Numeris"/>
                          <w:tag w:val="nr_e294964ff3834e9d94bfd16f97fef960"/>
                          <w:lock w:val="sdtLocked"/>
                          <w:richText/>
                        </w:sdtPr>
                        <w:sdtContent>
                          <w:r>
                            <w:rPr>
                              <w:rFonts w:eastAsia="Calibri"/>
                              <w:szCs w:val="24"/>
                            </w:rPr>
                            <w:t>30</w:t>
                          </w:r>
                        </w:sdtContent>
                      </w:sdt>
                      <w:r>
                        <w:rPr>
                          <w:rFonts w:eastAsia="Calibri"/>
                          <w:szCs w:val="24"/>
                        </w:rPr>
                        <w:t>.</w:t>
                        <w:tab/>
                      </w:r>
                      <w:r>
                        <w:rPr>
                          <w:szCs w:val="24"/>
                        </w:rPr>
                        <w:t xml:space="preserve">Straipsnyje „Finansavimo pajamos“ rodoma </w:t>
                      </w:r>
                      <w:r>
                        <w:t>fondo</w:t>
                      </w:r>
                      <w:r>
                        <w:rPr>
                          <w:szCs w:val="24"/>
                        </w:rPr>
                        <w:t xml:space="preserve"> finansavimo sumų, gautų arba gautinų iš visų finansavimo sumų davėjų, dalis, panaudota per ataskaitinį laikotarpį patirtoms sąnaudoms kompensuoti. Straipsnyje „Finansavimo pajamos“ nurodytos sumos detalizuojamos į straipsnius:</w:t>
                      </w:r>
                    </w:p>
                    <w:sdt>
                      <w:sdtPr>
                        <w:alias w:val="30.1 pp."/>
                        <w:tag w:val="part_965879cfb0234e97a2d02621f3a91d14"/>
                        <w:lock w:val="sdtLocked"/>
                        <w:richText/>
                      </w:sdtPr>
                      <w:sdtContent>
                        <w:p>
                          <w:pPr>
                            <w:tabs>
                              <w:tab w:val="left" w:pos="993"/>
                              <w:tab w:val="left" w:pos="1418"/>
                            </w:tabs>
                            <w:ind w:firstLine="709"/>
                            <w:jc w:val="both"/>
                            <w:rPr>
                              <w:szCs w:val="24"/>
                            </w:rPr>
                          </w:pPr>
                          <w:sdt>
                            <w:sdtPr>
                              <w:alias w:val="Numeris"/>
                              <w:tag w:val="nr_965879cfb0234e97a2d02621f3a91d14"/>
                              <w:lock w:val="sdtLocked"/>
                              <w:richText/>
                            </w:sdtPr>
                            <w:sdtContent>
                              <w:r>
                                <w:rPr>
                                  <w:szCs w:val="24"/>
                                </w:rPr>
                                <w:t>30.1</w:t>
                              </w:r>
                            </w:sdtContent>
                          </w:sdt>
                          <w:r>
                            <w:rPr>
                              <w:szCs w:val="24"/>
                            </w:rPr>
                            <w:t>.</w:t>
                            <w:tab/>
                            <w:t xml:space="preserve">Straipsnyje „Iš valstybės biudžeto“ </w:t>
                          </w:r>
                          <w:r>
                            <w:rPr>
                              <w:color w:val="000000"/>
                            </w:rPr>
                            <w:t xml:space="preserve">sumos pateikiamos </w:t>
                          </w:r>
                          <w:r>
                            <w:rPr>
                              <w:lang w:eastAsia="lt-LT"/>
                            </w:rPr>
                            <w:t>Standarto 1–5 prieduose nustatytų formų veiklos rezultatų ataskaitose</w:t>
                          </w:r>
                          <w:r>
                            <w:rPr>
                              <w:szCs w:val="24"/>
                            </w:rPr>
                            <w:t>.</w:t>
                          </w:r>
                        </w:p>
                      </w:sdtContent>
                    </w:sdt>
                    <w:sdt>
                      <w:sdtPr>
                        <w:alias w:val="30.2 pp."/>
                        <w:tag w:val="part_8b5170cb81444c049a4c7d1163dc2de8"/>
                        <w:lock w:val="sdtLocked"/>
                        <w:richText/>
                      </w:sdtPr>
                      <w:sdtContent>
                        <w:p>
                          <w:pPr>
                            <w:tabs>
                              <w:tab w:val="left" w:pos="993"/>
                              <w:tab w:val="left" w:pos="1418"/>
                            </w:tabs>
                            <w:ind w:firstLine="709"/>
                            <w:jc w:val="both"/>
                            <w:rPr>
                              <w:szCs w:val="24"/>
                            </w:rPr>
                          </w:pPr>
                          <w:sdt>
                            <w:sdtPr>
                              <w:alias w:val="Numeris"/>
                              <w:tag w:val="nr_8b5170cb81444c049a4c7d1163dc2de8"/>
                              <w:lock w:val="sdtLocked"/>
                              <w:richText/>
                            </w:sdtPr>
                            <w:sdtContent>
                              <w:r>
                                <w:rPr>
                                  <w:szCs w:val="24"/>
                                </w:rPr>
                                <w:t>30.2</w:t>
                              </w:r>
                            </w:sdtContent>
                          </w:sdt>
                          <w:r>
                            <w:rPr>
                              <w:szCs w:val="24"/>
                            </w:rPr>
                            <w:t>.</w:t>
                            <w:tab/>
                            <w:t xml:space="preserve">Straipsnyje „Iš savivaldybių biudžetų“ </w:t>
                          </w:r>
                          <w:r>
                            <w:rPr>
                              <w:color w:val="000000"/>
                            </w:rPr>
                            <w:t xml:space="preserve">sumos pateikiamos </w:t>
                          </w:r>
                          <w:r>
                            <w:rPr>
                              <w:lang w:eastAsia="lt-LT"/>
                            </w:rPr>
                            <w:t>Standarto 1–5 prieduose nustatytų formų veiklos rezultatų ataskaitose</w:t>
                          </w:r>
                          <w:r>
                            <w:rPr>
                              <w:szCs w:val="24"/>
                            </w:rPr>
                            <w:t>.</w:t>
                          </w:r>
                        </w:p>
                      </w:sdtContent>
                    </w:sdt>
                    <w:sdt>
                      <w:sdtPr>
                        <w:alias w:val="30.3 pp."/>
                        <w:tag w:val="part_682c12b10a9d4c0c90310aa14d042b71"/>
                        <w:lock w:val="sdtLocked"/>
                        <w:richText/>
                      </w:sdtPr>
                      <w:sdtContent>
                        <w:p>
                          <w:pPr>
                            <w:tabs>
                              <w:tab w:val="left" w:pos="993"/>
                              <w:tab w:val="left" w:pos="1418"/>
                            </w:tabs>
                            <w:ind w:firstLine="709"/>
                            <w:jc w:val="both"/>
                            <w:rPr>
                              <w:szCs w:val="24"/>
                            </w:rPr>
                          </w:pPr>
                          <w:sdt>
                            <w:sdtPr>
                              <w:alias w:val="Numeris"/>
                              <w:tag w:val="nr_682c12b10a9d4c0c90310aa14d042b71"/>
                              <w:lock w:val="sdtLocked"/>
                              <w:richText/>
                            </w:sdtPr>
                            <w:sdtContent>
                              <w:r>
                                <w:rPr>
                                  <w:szCs w:val="24"/>
                                </w:rPr>
                                <w:t>30.3</w:t>
                              </w:r>
                            </w:sdtContent>
                          </w:sdt>
                          <w:r>
                            <w:rPr>
                              <w:szCs w:val="24"/>
                            </w:rPr>
                            <w:t>.</w:t>
                            <w:tab/>
                            <w:t xml:space="preserve">Straipsnyje „Iš Europos Sąjungos, užsienio valstybių ir tarptautinių organizacijų lėšų“ </w:t>
                          </w:r>
                          <w:r>
                            <w:rPr>
                              <w:color w:val="000000"/>
                            </w:rPr>
                            <w:t xml:space="preserve">sumos pateikiamos </w:t>
                          </w:r>
                          <w:r>
                            <w:rPr>
                              <w:lang w:eastAsia="lt-LT"/>
                            </w:rPr>
                            <w:t>Standarto 1–5 prieduose nustatytų formų veiklos rezultatų ataskaitose</w:t>
                          </w:r>
                          <w:r>
                            <w:rPr>
                              <w:szCs w:val="24"/>
                            </w:rPr>
                            <w:t>.</w:t>
                          </w:r>
                        </w:p>
                      </w:sdtContent>
                    </w:sdt>
                    <w:sdt>
                      <w:sdtPr>
                        <w:alias w:val="30.4 pp."/>
                        <w:tag w:val="part_ada952d2123d44359b823ed89a9c9bdc"/>
                        <w:lock w:val="sdtLocked"/>
                        <w:richText/>
                      </w:sdtPr>
                      <w:sdtContent>
                        <w:p>
                          <w:pPr>
                            <w:tabs>
                              <w:tab w:val="left" w:pos="993"/>
                              <w:tab w:val="left" w:pos="1418"/>
                            </w:tabs>
                            <w:ind w:firstLine="709"/>
                            <w:jc w:val="both"/>
                            <w:rPr>
                              <w:szCs w:val="24"/>
                            </w:rPr>
                          </w:pPr>
                          <w:sdt>
                            <w:sdtPr>
                              <w:alias w:val="Numeris"/>
                              <w:tag w:val="nr_ada952d2123d44359b823ed89a9c9bdc"/>
                              <w:lock w:val="sdtLocked"/>
                              <w:richText/>
                            </w:sdtPr>
                            <w:sdtContent>
                              <w:r>
                                <w:rPr>
                                  <w:szCs w:val="24"/>
                                </w:rPr>
                                <w:t>30.4</w:t>
                              </w:r>
                            </w:sdtContent>
                          </w:sdt>
                          <w:r>
                            <w:rPr>
                              <w:szCs w:val="24"/>
                            </w:rPr>
                            <w:t>.</w:t>
                            <w:tab/>
                            <w:t xml:space="preserve">Straipsnyje „Iš viešojo sektoriaus subjektų pajamų“ </w:t>
                          </w:r>
                          <w:r>
                            <w:rPr>
                              <w:color w:val="000000"/>
                            </w:rPr>
                            <w:t xml:space="preserve">sumos pateikiamos </w:t>
                          </w:r>
                          <w:r>
                            <w:rPr>
                              <w:lang w:eastAsia="lt-LT"/>
                            </w:rPr>
                            <w:t>Standarto 1–5 prieduose nustatytų formų veiklos rezultatų ataskaitose</w:t>
                          </w:r>
                          <w:r>
                            <w:rPr>
                              <w:szCs w:val="24"/>
                            </w:rPr>
                            <w:t>.</w:t>
                          </w:r>
                        </w:p>
                      </w:sdtContent>
                    </w:sdt>
                    <w:sdt>
                      <w:sdtPr>
                        <w:alias w:val="30.5 pp."/>
                        <w:tag w:val="part_1221265d4b334da38938711d2296d4fd"/>
                        <w:lock w:val="sdtLocked"/>
                        <w:richText/>
                      </w:sdtPr>
                      <w:sdtContent>
                        <w:p>
                          <w:pPr>
                            <w:tabs>
                              <w:tab w:val="left" w:pos="993"/>
                              <w:tab w:val="left" w:pos="1418"/>
                            </w:tabs>
                            <w:ind w:firstLine="709"/>
                            <w:jc w:val="both"/>
                            <w:rPr>
                              <w:szCs w:val="24"/>
                            </w:rPr>
                          </w:pPr>
                          <w:sdt>
                            <w:sdtPr>
                              <w:alias w:val="Numeris"/>
                              <w:tag w:val="nr_1221265d4b334da38938711d2296d4fd"/>
                              <w:lock w:val="sdtLocked"/>
                              <w:richText/>
                            </w:sdtPr>
                            <w:sdtContent>
                              <w:r>
                                <w:rPr>
                                  <w:szCs w:val="24"/>
                                </w:rPr>
                                <w:t>30.5</w:t>
                              </w:r>
                            </w:sdtContent>
                          </w:sdt>
                          <w:r>
                            <w:rPr>
                              <w:szCs w:val="24"/>
                            </w:rPr>
                            <w:t>.</w:t>
                            <w:tab/>
                            <w:t xml:space="preserve">Straipsnyje „Iš fizinių ir privačių juridinių asmenų“ </w:t>
                          </w:r>
                          <w:r>
                            <w:rPr>
                              <w:color w:val="000000"/>
                            </w:rPr>
                            <w:t xml:space="preserve">sumos pateikiamos </w:t>
                          </w:r>
                          <w:r>
                            <w:rPr>
                              <w:lang w:eastAsia="lt-LT"/>
                            </w:rPr>
                            <w:t>Standarto 1–5 prieduose nustatytų formų veiklos rezultatų ataskaitose</w:t>
                          </w:r>
                          <w:r>
                            <w:rPr>
                              <w:szCs w:val="24"/>
                            </w:rPr>
                            <w:t>.</w:t>
                          </w:r>
                        </w:p>
                      </w:sdtContent>
                    </w:sdt>
                  </w:sdtContent>
                </w:sdt>
                <w:sdt>
                  <w:sdtPr>
                    <w:alias w:val="31 p."/>
                    <w:tag w:val="part_15e36df07bc4446aa6cbd5f0b5e75261"/>
                    <w:lock w:val="sdtLocked"/>
                    <w:richText/>
                  </w:sdtPr>
                  <w:sdtContent>
                    <w:p>
                      <w:pPr>
                        <w:tabs>
                          <w:tab w:val="left" w:pos="993"/>
                          <w:tab w:val="left" w:pos="1418"/>
                        </w:tabs>
                        <w:ind w:firstLine="709"/>
                        <w:jc w:val="both"/>
                        <w:rPr>
                          <w:lang w:eastAsia="lt-LT"/>
                        </w:rPr>
                      </w:pPr>
                      <w:sdt>
                        <w:sdtPr>
                          <w:alias w:val="Numeris"/>
                          <w:tag w:val="nr_15e36df07bc4446aa6cbd5f0b5e75261"/>
                          <w:lock w:val="sdtLocked"/>
                          <w:richText/>
                        </w:sdtPr>
                        <w:sdtContent>
                          <w:r>
                            <w:rPr>
                              <w:lang w:eastAsia="lt-LT"/>
                            </w:rPr>
                            <w:t>31</w:t>
                          </w:r>
                        </w:sdtContent>
                      </w:sdt>
                      <w:r>
                        <w:rPr>
                          <w:lang w:eastAsia="lt-LT"/>
                        </w:rPr>
                        <w:t>.</w:t>
                        <w:tab/>
                        <w:t xml:space="preserve">Europos Sąjungos ir kitos tarptautinės finansinės paramos finansavimo sumų dalis, pervesta į valstybės iždo sąskaitą, už kurią nereikės atsiskaityti ir kurios nereikės grąžinti finansavimo sumų davėjui, pripažįstama valstybės iždo finansavimo pajamomis. Finansavimo sumų sumažėjimas dėl pripažinimo pajamomis pagal šio punkto nuostatas rodomas 20-ojo VSAFAS „Finansavimo sumos“ 2 priede nustatytos </w:t>
                      </w:r>
                      <w:r>
                        <w:rPr>
                          <w:szCs w:val="24"/>
                          <w:lang w:eastAsia="lt-LT"/>
                        </w:rPr>
                        <w:t xml:space="preserve">formos informacijos apie finansavimo sumas pagal šaltinį, tikslinę paskirtį ir jų pokyčius per ataskaitinį laikotarpį </w:t>
                      </w:r>
                      <w:r>
                        <w:rPr>
                          <w:lang w:eastAsia="lt-LT"/>
                        </w:rPr>
                        <w:t>lentelės 5 skiltyje „Finansavimo sumų pergrupavimas“ ir informacija apie tai pateikiama aiškinamajame rašte, papildomai nurodant, kokios sumos ir kodėl nereikės grąžinti finansavimo sumų davėjui.</w:t>
                      </w:r>
                    </w:p>
                  </w:sdtContent>
                </w:sdt>
                <w:sdt>
                  <w:sdtPr>
                    <w:alias w:val="32 p."/>
                    <w:tag w:val="part_eafd9863c39245c19b449c829f6ea307"/>
                    <w:lock w:val="sdtLocked"/>
                    <w:richText/>
                  </w:sdtPr>
                  <w:sdtContent>
                    <w:p>
                      <w:pPr>
                        <w:tabs>
                          <w:tab w:val="left" w:pos="993"/>
                          <w:tab w:val="left" w:pos="1418"/>
                        </w:tabs>
                        <w:ind w:firstLine="709"/>
                        <w:jc w:val="both"/>
                        <w:rPr>
                          <w:szCs w:val="24"/>
                        </w:rPr>
                      </w:pPr>
                      <w:sdt>
                        <w:sdtPr>
                          <w:alias w:val="Numeris"/>
                          <w:tag w:val="nr_eafd9863c39245c19b449c829f6ea307"/>
                          <w:lock w:val="sdtLocked"/>
                          <w:richText/>
                        </w:sdtPr>
                        <w:sdtContent>
                          <w:r>
                            <w:rPr>
                              <w:szCs w:val="24"/>
                            </w:rPr>
                            <w:t>32</w:t>
                          </w:r>
                        </w:sdtContent>
                      </w:sdt>
                      <w:r>
                        <w:rPr>
                          <w:szCs w:val="24"/>
                        </w:rPr>
                        <w:t>.</w:t>
                        <w:tab/>
                        <w:t>Straipsnyje „Mokesčių pajamos“ ir straipsnyje „Socialinių įmokų ir kitų įmokų į fondus pajamos“ rodomos pajamos, kurias fondas gauna iš valstybės ar savivaldybės vardu surinktų mokesčių ir (arba) socialinių įmokų, ir (arba) kitų įmokų į fondus. Mokesčių ir socialinių įmokų pajamos pripažįstamos, įvertinamos, registruojamos apskaitoje ir rodomos veiklos rezultatų ataskaitoje pagal 9-ojo VSAFAS „Mokesčių ir socialinių įmokų pajamos“ nuostatas.</w:t>
                      </w:r>
                    </w:p>
                  </w:sdtContent>
                </w:sdt>
                <w:sdt>
                  <w:sdtPr>
                    <w:alias w:val="33 p."/>
                    <w:tag w:val="part_17e74f8424b643208e148aa659be45c8"/>
                    <w:lock w:val="sdtLocked"/>
                    <w:richText/>
                  </w:sdtPr>
                  <w:sdtContent>
                    <w:p>
                      <w:pPr>
                        <w:tabs>
                          <w:tab w:val="left" w:pos="993"/>
                          <w:tab w:val="left" w:pos="1418"/>
                        </w:tabs>
                        <w:ind w:firstLine="709"/>
                        <w:jc w:val="both"/>
                        <w:rPr>
                          <w:szCs w:val="24"/>
                        </w:rPr>
                      </w:pPr>
                      <w:sdt>
                        <w:sdtPr>
                          <w:alias w:val="Numeris"/>
                          <w:tag w:val="nr_17e74f8424b643208e148aa659be45c8"/>
                          <w:lock w:val="sdtLocked"/>
                          <w:richText/>
                        </w:sdtPr>
                        <w:sdtContent>
                          <w:r>
                            <w:rPr>
                              <w:szCs w:val="24"/>
                            </w:rPr>
                            <w:t>33</w:t>
                          </w:r>
                        </w:sdtContent>
                      </w:sdt>
                      <w:r>
                        <w:rPr>
                          <w:szCs w:val="24"/>
                        </w:rPr>
                        <w:t>.</w:t>
                        <w:tab/>
                        <w:t>Straipsnyje „Kitos pajamos“ rodomos šios fondo pajamos:</w:t>
                      </w:r>
                    </w:p>
                    <w:sdt>
                      <w:sdtPr>
                        <w:alias w:val="33.1 pp."/>
                        <w:tag w:val="part_d35cb08dddc3433084a5b013e0f18a0d"/>
                        <w:lock w:val="sdtLocked"/>
                        <w:richText/>
                      </w:sdtPr>
                      <w:sdtContent>
                        <w:p>
                          <w:pPr>
                            <w:tabs>
                              <w:tab w:val="left" w:pos="993"/>
                              <w:tab w:val="left" w:pos="1418"/>
                            </w:tabs>
                            <w:ind w:firstLine="709"/>
                            <w:jc w:val="both"/>
                            <w:rPr>
                              <w:rFonts w:eastAsia="Calibri"/>
                            </w:rPr>
                          </w:pPr>
                          <w:sdt>
                            <w:sdtPr>
                              <w:alias w:val="Numeris"/>
                              <w:tag w:val="nr_d35cb08dddc3433084a5b013e0f18a0d"/>
                              <w:lock w:val="sdtLocked"/>
                              <w:richText/>
                            </w:sdtPr>
                            <w:sdtContent>
                              <w:r>
                                <w:rPr>
                                  <w:rFonts w:eastAsia="Calibri"/>
                                </w:rPr>
                                <w:t>33.1</w:t>
                              </w:r>
                            </w:sdtContent>
                          </w:sdt>
                          <w:r>
                            <w:rPr>
                              <w:rFonts w:eastAsia="Calibri"/>
                            </w:rPr>
                            <w:t>.</w:t>
                            <w:tab/>
                            <w:t xml:space="preserve">Straipsnyje „Prekių pardavimo ir </w:t>
                          </w:r>
                          <w:r>
                            <w:rPr>
                              <w:lang w:eastAsia="lt-LT"/>
                            </w:rPr>
                            <w:t xml:space="preserve">paslaugų, apmokamų valstybės ar savivaldybių biudžetų, išteklių fondų lėšomis, pajamos“ </w:t>
                          </w:r>
                          <w:r>
                            <w:rPr>
                              <w:rFonts w:eastAsia="Calibri"/>
                            </w:rPr>
                            <w:t>rodoma suma apima pajamas iš prekių pardavimo ir paslaugų suteikimo, už kuriuos moka kiti viešojo sektoriaus subjektai</w:t>
                          </w:r>
                          <w:r>
                            <w:rPr>
                              <w:lang w:eastAsia="lt-LT"/>
                            </w:rPr>
                            <w:t xml:space="preserve"> valstybės ar savivaldybių biudžetų, išteklių fondų lėšomis pagal sutartis</w:t>
                          </w:r>
                          <w:r>
                            <w:rPr>
                              <w:rFonts w:eastAsia="Calibri"/>
                            </w:rPr>
                            <w:t xml:space="preserve">, kuriose nurodomos sutartos suteikti paslaugos ar parduoti prekės ir jų kaina, pavyzdžiui, sveikatos priežiūros įstaigų pajamos už paslaugas, suteiktas pagal sutartis, sudarytas su teritorinėmis ligonių kasomis, apmokamas PSDF lėšomis. </w:t>
                          </w:r>
                        </w:p>
                      </w:sdtContent>
                    </w:sdt>
                    <w:sdt>
                      <w:sdtPr>
                        <w:alias w:val="33.2 pp."/>
                        <w:tag w:val="part_9ee766e94e0a495587b9bfb545a038fa"/>
                        <w:lock w:val="sdtLocked"/>
                        <w:richText/>
                      </w:sdtPr>
                      <w:sdtContent>
                        <w:p>
                          <w:pPr>
                            <w:tabs>
                              <w:tab w:val="left" w:pos="993"/>
                              <w:tab w:val="left" w:pos="1418"/>
                            </w:tabs>
                            <w:ind w:firstLine="709"/>
                            <w:jc w:val="both"/>
                            <w:rPr>
                              <w:rFonts w:eastAsia="Calibri"/>
                            </w:rPr>
                          </w:pPr>
                          <w:sdt>
                            <w:sdtPr>
                              <w:alias w:val="Numeris"/>
                              <w:tag w:val="nr_9ee766e94e0a495587b9bfb545a038fa"/>
                              <w:lock w:val="sdtLocked"/>
                              <w:richText/>
                            </w:sdtPr>
                            <w:sdtContent>
                              <w:r>
                                <w:rPr>
                                  <w:rFonts w:eastAsia="Calibri"/>
                                </w:rPr>
                                <w:t>33.2</w:t>
                              </w:r>
                            </w:sdtContent>
                          </w:sdt>
                          <w:r>
                            <w:rPr>
                              <w:rFonts w:eastAsia="Calibri"/>
                            </w:rPr>
                            <w:t>.</w:t>
                            <w:tab/>
                            <w:t>Straipsnyje „Kitos prekių ir paslaugų pardavimo pajamos“ rodoma suma apima pajamas iš prekių pardavimo ir paslaugų suteikimo, už kuriuos moka privatūs fiziniai ir juridiniai asmenys.</w:t>
                          </w:r>
                          <w:r>
                            <w:rPr>
                              <w:lang w:eastAsia="lt-LT"/>
                            </w:rPr>
                            <w:t xml:space="preserve"> </w:t>
                          </w:r>
                          <w:r>
                            <w:rPr>
                              <w:rFonts w:eastAsia="Calibri"/>
                            </w:rPr>
                            <w:t>Įprastai fondai tokių pajamų neturi, bet jų gali turėti, pavyzdžiui, jos gali būti parodytos PSDF finansinių ataskaitų rinkinyje dėl PSDF administratoriaus gautų ir į PSDF pervestų tokio pobūdžio pajamų, pavyzdžiui, pajamos už Europos sveikatos kortelių pakartotinį išdavimą.</w:t>
                          </w:r>
                        </w:p>
                      </w:sdtContent>
                    </w:sdt>
                    <w:sdt>
                      <w:sdtPr>
                        <w:alias w:val="33.3 pp."/>
                        <w:tag w:val="part_a5036ac2999f418586beb616e036ea37"/>
                        <w:lock w:val="sdtLocked"/>
                        <w:richText/>
                      </w:sdtPr>
                      <w:sdtContent>
                        <w:p>
                          <w:pPr>
                            <w:tabs>
                              <w:tab w:val="left" w:pos="993"/>
                              <w:tab w:val="left" w:pos="1418"/>
                            </w:tabs>
                            <w:ind w:firstLine="709"/>
                            <w:jc w:val="both"/>
                            <w:rPr>
                              <w:szCs w:val="24"/>
                            </w:rPr>
                          </w:pPr>
                          <w:sdt>
                            <w:sdtPr>
                              <w:alias w:val="Numeris"/>
                              <w:tag w:val="nr_a5036ac2999f418586beb616e036ea37"/>
                              <w:lock w:val="sdtLocked"/>
                              <w:richText/>
                            </w:sdtPr>
                            <w:sdtContent>
                              <w:r>
                                <w:rPr>
                                  <w:szCs w:val="24"/>
                                </w:rPr>
                                <w:t>33.3</w:t>
                              </w:r>
                            </w:sdtContent>
                          </w:sdt>
                          <w:r>
                            <w:rPr>
                              <w:szCs w:val="24"/>
                            </w:rPr>
                            <w:t>.</w:t>
                            <w:tab/>
                            <w:t>Straipsnyje „Baudų ir kitų netesybų pajamos“ rodoma suma apima baudų ir netesybų pajamas, išskyrus pajamas, priskiriamas prie finansinės ir investicinės veiklos.</w:t>
                          </w:r>
                        </w:p>
                      </w:sdtContent>
                    </w:sdt>
                    <w:sdt>
                      <w:sdtPr>
                        <w:alias w:val="33.4 pp."/>
                        <w:tag w:val="part_9b0e3dca9d9141ee8539f4af83bae875"/>
                        <w:lock w:val="sdtLocked"/>
                        <w:richText/>
                      </w:sdtPr>
                      <w:sdtContent>
                        <w:p>
                          <w:pPr>
                            <w:tabs>
                              <w:tab w:val="left" w:pos="993"/>
                              <w:tab w:val="left" w:pos="1418"/>
                            </w:tabs>
                            <w:ind w:firstLine="709"/>
                            <w:jc w:val="both"/>
                            <w:rPr>
                              <w:szCs w:val="24"/>
                            </w:rPr>
                          </w:pPr>
                          <w:sdt>
                            <w:sdtPr>
                              <w:alias w:val="Numeris"/>
                              <w:tag w:val="nr_9b0e3dca9d9141ee8539f4af83bae875"/>
                              <w:lock w:val="sdtLocked"/>
                              <w:richText/>
                            </w:sdtPr>
                            <w:sdtContent>
                              <w:r>
                                <w:rPr>
                                  <w:szCs w:val="24"/>
                                </w:rPr>
                                <w:t>33.4</w:t>
                              </w:r>
                            </w:sdtContent>
                          </w:sdt>
                          <w:r>
                            <w:rPr>
                              <w:szCs w:val="24"/>
                            </w:rPr>
                            <w:t>.</w:t>
                            <w:tab/>
                            <w:t>Straipsnyje „Finansinės ir investicinės veiklos pajamos“ rodomos finansinės ir investicinės veiklos pajamos, prie kurių priskiriamos pajamos, nurodytos 3-iajame VSAFAS „Veiklos rezultatų ataskaita“.</w:t>
                          </w:r>
                        </w:p>
                      </w:sdtContent>
                    </w:sdt>
                    <w:sdt>
                      <w:sdtPr>
                        <w:alias w:val="33.5 pp."/>
                        <w:tag w:val="part_169a5c5ed6b94226a9fc2c29aa47f1a5"/>
                        <w:lock w:val="sdtLocked"/>
                        <w:richText/>
                      </w:sdtPr>
                      <w:sdtContent>
                        <w:p>
                          <w:pPr>
                            <w:tabs>
                              <w:tab w:val="left" w:pos="993"/>
                              <w:tab w:val="left" w:pos="1418"/>
                            </w:tabs>
                            <w:ind w:firstLine="709"/>
                            <w:jc w:val="both"/>
                            <w:rPr>
                              <w:szCs w:val="24"/>
                            </w:rPr>
                          </w:pPr>
                          <w:sdt>
                            <w:sdtPr>
                              <w:alias w:val="Numeris"/>
                              <w:tag w:val="nr_169a5c5ed6b94226a9fc2c29aa47f1a5"/>
                              <w:lock w:val="sdtLocked"/>
                              <w:richText/>
                            </w:sdtPr>
                            <w:sdtContent>
                              <w:r>
                                <w:rPr>
                                  <w:szCs w:val="24"/>
                                </w:rPr>
                                <w:t>33.5</w:t>
                              </w:r>
                            </w:sdtContent>
                          </w:sdt>
                          <w:r>
                            <w:rPr>
                              <w:szCs w:val="24"/>
                            </w:rPr>
                            <w:t>.</w:t>
                            <w:tab/>
                            <w:t xml:space="preserve">Straipsnyje „Kitos“ rodoma suma apima kitas, Standarto 31.1–31.4 papunkčiuose nenurodytas, pajamas. </w:t>
                          </w:r>
                          <w:r>
                            <w:t>Straipsnį „Kitos pajamos“ detalizuojantys straipsniai plačiau paaiškinti 10-ajame VSAFAS „Kitos pajamos“. Prie šių pajamų priskiriamos ir valstybės ar fondo nuosavybėn privačių fizinių ar juridinių asmenų teisės aktuose nustatytais terminais neatsiimtos įmokos, kurias jie turėjo teisę atsiimti</w:t>
                          </w:r>
                          <w:r>
                            <w:rPr>
                              <w:szCs w:val="24"/>
                            </w:rPr>
                            <w:t xml:space="preserve">. </w:t>
                          </w:r>
                        </w:p>
                      </w:sdtContent>
                    </w:sdt>
                  </w:sdtContent>
                </w:sdt>
                <w:sdt>
                  <w:sdtPr>
                    <w:alias w:val="34 p."/>
                    <w:tag w:val="part_fcc449bfeda849d0b8a09db7e8c3c0fd"/>
                    <w:lock w:val="sdtLocked"/>
                    <w:richText/>
                  </w:sdtPr>
                  <w:sdtContent>
                    <w:p>
                      <w:pPr>
                        <w:tabs>
                          <w:tab w:val="left" w:pos="993"/>
                          <w:tab w:val="left" w:pos="1418"/>
                        </w:tabs>
                        <w:ind w:firstLine="709"/>
                        <w:jc w:val="both"/>
                        <w:rPr>
                          <w:szCs w:val="24"/>
                        </w:rPr>
                      </w:pPr>
                      <w:sdt>
                        <w:sdtPr>
                          <w:alias w:val="Numeris"/>
                          <w:tag w:val="nr_fcc449bfeda849d0b8a09db7e8c3c0fd"/>
                          <w:lock w:val="sdtLocked"/>
                          <w:richText/>
                        </w:sdtPr>
                        <w:sdtContent>
                          <w:r>
                            <w:rPr>
                              <w:szCs w:val="24"/>
                            </w:rPr>
                            <w:t>34</w:t>
                          </w:r>
                        </w:sdtContent>
                      </w:sdt>
                      <w:r>
                        <w:rPr>
                          <w:szCs w:val="24"/>
                        </w:rPr>
                        <w:t>.</w:t>
                        <w:tab/>
                      </w:r>
                      <w:r>
                        <w:t>Negrąžintinai kitiems subjektams pervestinos pajamų sumos mažina fondo apskaičiuotas pajamas ir rodomos veiklos rezultatų ataskaitos straipsnyje „Negrąžintinai pervestinos į valstybės ar savivaldybių biudžetus pajamos“.</w:t>
                      </w:r>
                    </w:p>
                  </w:sdtContent>
                </w:sdt>
                <w:sdt>
                  <w:sdtPr>
                    <w:alias w:val="35 p."/>
                    <w:tag w:val="part_685adb737e024fc4b987918466501abc"/>
                    <w:lock w:val="sdtLocked"/>
                    <w:richText/>
                  </w:sdtPr>
                  <w:sdtContent>
                    <w:p>
                      <w:pPr>
                        <w:tabs>
                          <w:tab w:val="left" w:pos="993"/>
                          <w:tab w:val="left" w:pos="1418"/>
                        </w:tabs>
                        <w:ind w:firstLine="709"/>
                        <w:jc w:val="both"/>
                        <w:rPr>
                          <w:szCs w:val="24"/>
                        </w:rPr>
                      </w:pPr>
                      <w:sdt>
                        <w:sdtPr>
                          <w:alias w:val="Numeris"/>
                          <w:tag w:val="nr_685adb737e024fc4b987918466501abc"/>
                          <w:lock w:val="sdtLocked"/>
                          <w:richText/>
                        </w:sdtPr>
                        <w:sdtContent>
                          <w:r>
                            <w:rPr>
                              <w:szCs w:val="24"/>
                            </w:rPr>
                            <w:t>35</w:t>
                          </w:r>
                        </w:sdtContent>
                      </w:sdt>
                      <w:r>
                        <w:rPr>
                          <w:szCs w:val="24"/>
                        </w:rPr>
                        <w:t>.</w:t>
                        <w:tab/>
                        <w:t>Fondo pajamomis nelaikomos:</w:t>
                      </w:r>
                    </w:p>
                    <w:sdt>
                      <w:sdtPr>
                        <w:alias w:val="35.1 pp."/>
                        <w:tag w:val="part_3ee29fea243646b2ae12d3cf17d608b8"/>
                        <w:lock w:val="sdtLocked"/>
                        <w:richText/>
                      </w:sdtPr>
                      <w:sdtContent>
                        <w:p>
                          <w:pPr>
                            <w:tabs>
                              <w:tab w:val="left" w:pos="993"/>
                              <w:tab w:val="left" w:pos="1418"/>
                            </w:tabs>
                            <w:ind w:left="142" w:firstLine="567"/>
                            <w:jc w:val="both"/>
                            <w:rPr>
                              <w:szCs w:val="24"/>
                            </w:rPr>
                          </w:pPr>
                          <w:sdt>
                            <w:sdtPr>
                              <w:alias w:val="Numeris"/>
                              <w:tag w:val="nr_3ee29fea243646b2ae12d3cf17d608b8"/>
                              <w:lock w:val="sdtLocked"/>
                              <w:richText/>
                            </w:sdtPr>
                            <w:sdtContent>
                              <w:r>
                                <w:rPr>
                                  <w:szCs w:val="24"/>
                                </w:rPr>
                                <w:t>35.1</w:t>
                              </w:r>
                            </w:sdtContent>
                          </w:sdt>
                          <w:r>
                            <w:rPr>
                              <w:szCs w:val="24"/>
                            </w:rPr>
                            <w:t>.</w:t>
                            <w:tab/>
                            <w:t>sumos, kurias fondas apskaičiuoja, surenka ir privalomai perveda kitam subjektui. Tokiu atveju fondo apskaitoje registruojamos apskaičiuotos pajamos ir pervestinos pajamos;</w:t>
                          </w:r>
                        </w:p>
                      </w:sdtContent>
                    </w:sdt>
                    <w:sdt>
                      <w:sdtPr>
                        <w:alias w:val="35.2 pp."/>
                        <w:tag w:val="part_d7258da4ee524ba1a936c5cc3d3cf876"/>
                        <w:lock w:val="sdtLocked"/>
                        <w:richText/>
                      </w:sdtPr>
                      <w:sdtContent>
                        <w:p>
                          <w:pPr>
                            <w:tabs>
                              <w:tab w:val="left" w:pos="993"/>
                              <w:tab w:val="left" w:pos="1418"/>
                            </w:tabs>
                            <w:ind w:left="142" w:firstLine="567"/>
                            <w:jc w:val="both"/>
                            <w:rPr>
                              <w:szCs w:val="24"/>
                            </w:rPr>
                          </w:pPr>
                          <w:sdt>
                            <w:sdtPr>
                              <w:alias w:val="Numeris"/>
                              <w:tag w:val="nr_d7258da4ee524ba1a936c5cc3d3cf876"/>
                              <w:lock w:val="sdtLocked"/>
                              <w:richText/>
                            </w:sdtPr>
                            <w:sdtContent>
                              <w:r>
                                <w:rPr>
                                  <w:szCs w:val="24"/>
                                </w:rPr>
                                <w:t>35.2</w:t>
                              </w:r>
                            </w:sdtContent>
                          </w:sdt>
                          <w:r>
                            <w:rPr>
                              <w:szCs w:val="24"/>
                            </w:rPr>
                            <w:t>.</w:t>
                            <w:tab/>
                            <w:t>tokios iš kitų subjektų gautos arba gautinos sumos, už kurių apskaičiavimą, administravimą fondo valdytojas ar tvarkytojas neatsakingas, o atsakingas tik už jų surinkimą, perskirstymą ir pervedimą kitiems subjektams. Šis papunktis netaikomas iždams, kurie, gavę tokias įplaukas, pripažįsta jas pajamomis;</w:t>
                          </w:r>
                        </w:p>
                      </w:sdtContent>
                    </w:sdt>
                    <w:sdt>
                      <w:sdtPr>
                        <w:alias w:val="35.3 pp."/>
                        <w:tag w:val="part_199316e02265495ba30ff63dbfc3641e"/>
                        <w:lock w:val="sdtLocked"/>
                        <w:richText/>
                      </w:sdtPr>
                      <w:sdtContent>
                        <w:p>
                          <w:pPr>
                            <w:tabs>
                              <w:tab w:val="left" w:pos="993"/>
                              <w:tab w:val="left" w:pos="1418"/>
                            </w:tabs>
                            <w:ind w:left="142" w:firstLine="567"/>
                            <w:jc w:val="both"/>
                            <w:rPr>
                              <w:szCs w:val="24"/>
                            </w:rPr>
                          </w:pPr>
                          <w:sdt>
                            <w:sdtPr>
                              <w:alias w:val="Numeris"/>
                              <w:tag w:val="nr_199316e02265495ba30ff63dbfc3641e"/>
                              <w:lock w:val="sdtLocked"/>
                              <w:richText/>
                            </w:sdtPr>
                            <w:sdtContent>
                              <w:r>
                                <w:rPr>
                                  <w:szCs w:val="24"/>
                                </w:rPr>
                                <w:t>35.3</w:t>
                              </w:r>
                            </w:sdtContent>
                          </w:sdt>
                          <w:r>
                            <w:rPr>
                              <w:szCs w:val="24"/>
                            </w:rPr>
                            <w:t>.</w:t>
                            <w:tab/>
                            <w:t>iš kitų viešojo sektoriaus subjektų gautos sumos, kurias tie subjektai uždirba (apskaičiuoja ir surenka) ir privalomai perveda į fondą (valstybės ar savivaldybės iždą), turėdami teisę šias sumas atgauti tą patį arba vėlesniais ataskaitiniais laikotarpiais.</w:t>
                          </w:r>
                        </w:p>
                      </w:sdtContent>
                    </w:sdt>
                  </w:sdtContent>
                </w:sdt>
                <w:sdt>
                  <w:sdtPr>
                    <w:alias w:val="36 p."/>
                    <w:tag w:val="part_7a1169f3414f487ca66d32b19f5a1002"/>
                    <w:lock w:val="sdtLocked"/>
                    <w:richText/>
                  </w:sdtPr>
                  <w:sdtContent>
                    <w:p>
                      <w:pPr>
                        <w:tabs>
                          <w:tab w:val="left" w:pos="993"/>
                          <w:tab w:val="left" w:pos="1418"/>
                        </w:tabs>
                        <w:ind w:firstLine="709"/>
                        <w:jc w:val="both"/>
                        <w:rPr>
                          <w:szCs w:val="24"/>
                        </w:rPr>
                      </w:pPr>
                      <w:sdt>
                        <w:sdtPr>
                          <w:alias w:val="Numeris"/>
                          <w:tag w:val="nr_7a1169f3414f487ca66d32b19f5a1002"/>
                          <w:lock w:val="sdtLocked"/>
                          <w:richText/>
                        </w:sdtPr>
                        <w:sdtContent>
                          <w:r>
                            <w:rPr>
                              <w:szCs w:val="24"/>
                            </w:rPr>
                            <w:t>36</w:t>
                          </w:r>
                        </w:sdtContent>
                      </w:sdt>
                      <w:r>
                        <w:rPr>
                          <w:szCs w:val="24"/>
                        </w:rPr>
                        <w:t>.</w:t>
                        <w:tab/>
                        <w:t xml:space="preserve">Fondo sąnaudas sudaro šios sąnaudų grupės: </w:t>
                      </w:r>
                    </w:p>
                    <w:sdt>
                      <w:sdtPr>
                        <w:alias w:val="36.1 pp."/>
                        <w:tag w:val="part_a5b862bbb32b45e2aab7fafb3054a904"/>
                        <w:lock w:val="sdtLocked"/>
                        <w:richText/>
                      </w:sdtPr>
                      <w:sdtContent>
                        <w:p>
                          <w:pPr>
                            <w:tabs>
                              <w:tab w:val="left" w:pos="993"/>
                              <w:tab w:val="left" w:pos="1418"/>
                            </w:tabs>
                            <w:ind w:firstLine="709"/>
                            <w:jc w:val="both"/>
                            <w:rPr>
                              <w:szCs w:val="24"/>
                            </w:rPr>
                          </w:pPr>
                          <w:sdt>
                            <w:sdtPr>
                              <w:alias w:val="Numeris"/>
                              <w:tag w:val="nr_a5b862bbb32b45e2aab7fafb3054a904"/>
                              <w:lock w:val="sdtLocked"/>
                              <w:richText/>
                            </w:sdtPr>
                            <w:sdtContent>
                              <w:r>
                                <w:rPr>
                                  <w:szCs w:val="24"/>
                                </w:rPr>
                                <w:t>36.1</w:t>
                              </w:r>
                            </w:sdtContent>
                          </w:sdt>
                          <w:r>
                            <w:rPr>
                              <w:szCs w:val="24"/>
                            </w:rPr>
                            <w:t>.</w:t>
                            <w:tab/>
                            <w:t>nuvertėjimo ir nurašytų sumų sąnaudos (</w:t>
                          </w:r>
                          <w:r>
                            <w:t>socialinių įmokų nuvertėjimo ir nurašytų sumų sąnaudos)</w:t>
                          </w:r>
                          <w:r>
                            <w:rPr>
                              <w:szCs w:val="24"/>
                            </w:rPr>
                            <w:t xml:space="preserve">, kurias sudaro neatgautinos arba abejotinai atgautinos sumos; </w:t>
                          </w:r>
                        </w:p>
                      </w:sdtContent>
                    </w:sdt>
                    <w:sdt>
                      <w:sdtPr>
                        <w:alias w:val="36.2 pp."/>
                        <w:tag w:val="part_63f0869787fb4b409e5fef454106d438"/>
                        <w:lock w:val="sdtLocked"/>
                        <w:richText/>
                      </w:sdtPr>
                      <w:sdtContent>
                        <w:p>
                          <w:pPr>
                            <w:tabs>
                              <w:tab w:val="left" w:pos="993"/>
                              <w:tab w:val="left" w:pos="1418"/>
                            </w:tabs>
                            <w:ind w:firstLine="709"/>
                            <w:jc w:val="both"/>
                            <w:rPr>
                              <w:szCs w:val="24"/>
                            </w:rPr>
                          </w:pPr>
                          <w:sdt>
                            <w:sdtPr>
                              <w:alias w:val="Numeris"/>
                              <w:tag w:val="nr_63f0869787fb4b409e5fef454106d438"/>
                              <w:lock w:val="sdtLocked"/>
                              <w:richText/>
                            </w:sdtPr>
                            <w:sdtContent>
                              <w:r>
                                <w:rPr>
                                  <w:szCs w:val="24"/>
                                </w:rPr>
                                <w:t>36.2</w:t>
                              </w:r>
                            </w:sdtContent>
                          </w:sdt>
                          <w:r>
                            <w:rPr>
                              <w:szCs w:val="24"/>
                            </w:rPr>
                            <w:t>.</w:t>
                            <w:tab/>
                            <w:t xml:space="preserve">socialinių išmokų sąnaudos; </w:t>
                          </w:r>
                        </w:p>
                      </w:sdtContent>
                    </w:sdt>
                    <w:sdt>
                      <w:sdtPr>
                        <w:alias w:val="36.3 pp."/>
                        <w:tag w:val="part_498875542e634a94a6df61abac57e0e3"/>
                        <w:lock w:val="sdtLocked"/>
                        <w:richText/>
                      </w:sdtPr>
                      <w:sdtContent>
                        <w:p>
                          <w:pPr>
                            <w:tabs>
                              <w:tab w:val="left" w:pos="993"/>
                              <w:tab w:val="left" w:pos="1418"/>
                            </w:tabs>
                            <w:ind w:firstLine="709"/>
                            <w:jc w:val="both"/>
                            <w:rPr>
                              <w:szCs w:val="24"/>
                            </w:rPr>
                          </w:pPr>
                          <w:sdt>
                            <w:sdtPr>
                              <w:alias w:val="Numeris"/>
                              <w:tag w:val="nr_498875542e634a94a6df61abac57e0e3"/>
                              <w:lock w:val="sdtLocked"/>
                              <w:richText/>
                            </w:sdtPr>
                            <w:sdtContent>
                              <w:r>
                                <w:rPr>
                                  <w:szCs w:val="24"/>
                                </w:rPr>
                                <w:t>36.3</w:t>
                              </w:r>
                            </w:sdtContent>
                          </w:sdt>
                          <w:r>
                            <w:rPr>
                              <w:szCs w:val="24"/>
                            </w:rPr>
                            <w:t>.</w:t>
                            <w:tab/>
                            <w:t xml:space="preserve">finansavimo sąnaudos. Fondas sąnaudas priskiria prie finansavimo sąnaudų, kai fondo išlaidų paskirtis – kitų subjektų vykdomų funkcijų ar veiklų finansavimas; </w:t>
                          </w:r>
                        </w:p>
                      </w:sdtContent>
                    </w:sdt>
                    <w:sdt>
                      <w:sdtPr>
                        <w:alias w:val="36.4 pp."/>
                        <w:tag w:val="part_264e633e1a0a46bf98bfa8c421c2d433"/>
                        <w:lock w:val="sdtLocked"/>
                        <w:richText/>
                      </w:sdtPr>
                      <w:sdtContent>
                        <w:p>
                          <w:pPr>
                            <w:tabs>
                              <w:tab w:val="left" w:pos="993"/>
                              <w:tab w:val="left" w:pos="1418"/>
                            </w:tabs>
                            <w:ind w:firstLine="709"/>
                            <w:jc w:val="both"/>
                            <w:rPr>
                              <w:szCs w:val="24"/>
                            </w:rPr>
                          </w:pPr>
                          <w:sdt>
                            <w:sdtPr>
                              <w:alias w:val="Numeris"/>
                              <w:tag w:val="nr_264e633e1a0a46bf98bfa8c421c2d433"/>
                              <w:lock w:val="sdtLocked"/>
                              <w:richText/>
                            </w:sdtPr>
                            <w:sdtContent>
                              <w:r>
                                <w:rPr>
                                  <w:szCs w:val="24"/>
                                </w:rPr>
                                <w:t>36.4</w:t>
                              </w:r>
                            </w:sdtContent>
                          </w:sdt>
                          <w:r>
                            <w:rPr>
                              <w:szCs w:val="24"/>
                            </w:rPr>
                            <w:t>.</w:t>
                            <w:tab/>
                            <w:t>finansinės ir investicinės veiklos sąnaudos, prie kurių priskiriamos sąnaudos, nurodytos 3-iajame VSAFAS „Veiklos rezultatų ataskaita“;</w:t>
                          </w:r>
                        </w:p>
                      </w:sdtContent>
                    </w:sdt>
                    <w:sdt>
                      <w:sdtPr>
                        <w:alias w:val="36.5 pp."/>
                        <w:tag w:val="part_69ba596ba67f4d8b9d97804db00cbd39"/>
                        <w:lock w:val="sdtLocked"/>
                        <w:richText/>
                      </w:sdtPr>
                      <w:sdtContent>
                        <w:p>
                          <w:pPr>
                            <w:tabs>
                              <w:tab w:val="left" w:pos="993"/>
                              <w:tab w:val="left" w:pos="1418"/>
                            </w:tabs>
                            <w:ind w:firstLine="709"/>
                            <w:jc w:val="both"/>
                            <w:rPr>
                              <w:szCs w:val="24"/>
                            </w:rPr>
                          </w:pPr>
                          <w:sdt>
                            <w:sdtPr>
                              <w:alias w:val="Numeris"/>
                              <w:tag w:val="nr_69ba596ba67f4d8b9d97804db00cbd39"/>
                              <w:lock w:val="sdtLocked"/>
                              <w:richText/>
                            </w:sdtPr>
                            <w:sdtContent>
                              <w:r>
                                <w:rPr>
                                  <w:szCs w:val="24"/>
                                </w:rPr>
                                <w:t>36.5</w:t>
                              </w:r>
                            </w:sdtContent>
                          </w:sdt>
                          <w:r>
                            <w:rPr>
                              <w:szCs w:val="24"/>
                            </w:rPr>
                            <w:t>.</w:t>
                            <w:tab/>
                            <w:t>kitos sąnaudos, kurios detalizuojamos į:</w:t>
                          </w:r>
                        </w:p>
                        <w:sdt>
                          <w:sdtPr>
                            <w:alias w:val="36.5.1 pp."/>
                            <w:tag w:val="part_4ac63684cb2d4aff8b30e3d9230190a0"/>
                            <w:lock w:val="sdtLocked"/>
                            <w:richText/>
                          </w:sdtPr>
                          <w:sdtContent>
                            <w:p>
                              <w:pPr>
                                <w:tabs>
                                  <w:tab w:val="left" w:pos="993"/>
                                  <w:tab w:val="left" w:pos="1418"/>
                                </w:tabs>
                                <w:ind w:firstLine="709"/>
                                <w:jc w:val="both"/>
                                <w:rPr>
                                  <w:szCs w:val="24"/>
                                </w:rPr>
                              </w:pPr>
                              <w:sdt>
                                <w:sdtPr>
                                  <w:alias w:val="Numeris"/>
                                  <w:tag w:val="nr_4ac63684cb2d4aff8b30e3d9230190a0"/>
                                  <w:lock w:val="sdtLocked"/>
                                  <w:richText/>
                                </w:sdtPr>
                                <w:sdtContent>
                                  <w:r>
                                    <w:rPr>
                                      <w:szCs w:val="24"/>
                                    </w:rPr>
                                    <w:t>36.5.1</w:t>
                                  </w:r>
                                </w:sdtContent>
                              </w:sdt>
                              <w:r>
                                <w:rPr>
                                  <w:szCs w:val="24"/>
                                </w:rPr>
                                <w:t>.</w:t>
                                <w:tab/>
                                <w:t xml:space="preserve">fondo administravimo sąnaudas, padaromos finansuojant veiklas, susijusias su fondo vykdoma veikla; </w:t>
                              </w:r>
                            </w:p>
                          </w:sdtContent>
                        </w:sdt>
                        <w:sdt>
                          <w:sdtPr>
                            <w:alias w:val="36.5.2 pp."/>
                            <w:tag w:val="part_f7875181317e4fea84dd0d893c0eb67b"/>
                            <w:lock w:val="sdtLocked"/>
                            <w:richText/>
                          </w:sdtPr>
                          <w:sdtContent>
                            <w:p>
                              <w:pPr>
                                <w:tabs>
                                  <w:tab w:val="left" w:pos="993"/>
                                  <w:tab w:val="left" w:pos="1418"/>
                                </w:tabs>
                                <w:ind w:firstLine="710"/>
                                <w:jc w:val="both"/>
                                <w:rPr>
                                  <w:szCs w:val="24"/>
                                </w:rPr>
                              </w:pPr>
                              <w:sdt>
                                <w:sdtPr>
                                  <w:alias w:val="Numeris"/>
                                  <w:tag w:val="nr_f7875181317e4fea84dd0d893c0eb67b"/>
                                  <w:lock w:val="sdtLocked"/>
                                  <w:richText/>
                                </w:sdtPr>
                                <w:sdtContent>
                                  <w:r>
                                    <w:rPr>
                                      <w:szCs w:val="24"/>
                                    </w:rPr>
                                    <w:t>36.5.2</w:t>
                                  </w:r>
                                </w:sdtContent>
                              </w:sdt>
                              <w:r>
                                <w:rPr>
                                  <w:szCs w:val="24"/>
                                </w:rPr>
                                <w:t>.</w:t>
                                <w:tab/>
                                <w:t>kitas, nenurodytas Standarto 37.5.1 papunktyje.</w:t>
                              </w:r>
                            </w:p>
                          </w:sdtContent>
                        </w:sdt>
                      </w:sdtContent>
                    </w:sdt>
                  </w:sdtContent>
                </w:sdt>
                <w:sdt>
                  <w:sdtPr>
                    <w:alias w:val="37 p."/>
                    <w:tag w:val="part_0cf01072e4ab46e7b90fc702d1f74a54"/>
                    <w:lock w:val="sdtLocked"/>
                    <w:richText/>
                  </w:sdtPr>
                  <w:sdtContent>
                    <w:p>
                      <w:pPr>
                        <w:tabs>
                          <w:tab w:val="left" w:pos="993"/>
                          <w:tab w:val="left" w:pos="1418"/>
                        </w:tabs>
                        <w:ind w:firstLine="709"/>
                        <w:jc w:val="both"/>
                        <w:rPr>
                          <w:szCs w:val="24"/>
                        </w:rPr>
                      </w:pPr>
                      <w:sdt>
                        <w:sdtPr>
                          <w:alias w:val="Numeris"/>
                          <w:tag w:val="nr_0cf01072e4ab46e7b90fc702d1f74a54"/>
                          <w:lock w:val="sdtLocked"/>
                          <w:richText/>
                        </w:sdtPr>
                        <w:sdtContent>
                          <w:r>
                            <w:rPr>
                              <w:szCs w:val="24"/>
                            </w:rPr>
                            <w:t>37</w:t>
                          </w:r>
                        </w:sdtContent>
                      </w:sdt>
                      <w:r>
                        <w:rPr>
                          <w:szCs w:val="24"/>
                        </w:rPr>
                        <w:t>.</w:t>
                        <w:tab/>
                        <w:t>Išmokos iš fondo pripažįstamos sąnaudomis tik tokia dalimi, kuria, fondo valdytojo ar tvarkytojo vertinimu, tikėtina, nebus išieškotos iš kitų subjektų. Tikimybę, kad išmokėtos sumos ar jų dalis bus išieškotos, gali pagrįsti užstatyto turto, laiduotojų ar kitų garantijų buvimo faktas, statistiniais duomenimis grįstas vertinimas, atsižvelgiant į anksčiau išieškotas sumas. Kitos pagrindinės veiklos sąnaudos tikslinamos pasikeitus išieškotinų sumų vertinimui vėlesniais ataskaitiniais laikotarpiais.</w:t>
                      </w:r>
                    </w:p>
                  </w:sdtContent>
                </w:sdt>
                <w:sdt>
                  <w:sdtPr>
                    <w:alias w:val="38 p."/>
                    <w:tag w:val="part_da6e034f018348cb990713e30ff57f81"/>
                    <w:lock w:val="sdtLocked"/>
                    <w:richText/>
                  </w:sdtPr>
                  <w:sdtContent>
                    <w:p>
                      <w:pPr>
                        <w:tabs>
                          <w:tab w:val="left" w:pos="993"/>
                          <w:tab w:val="left" w:pos="1418"/>
                        </w:tabs>
                        <w:ind w:firstLine="709"/>
                        <w:jc w:val="both"/>
                        <w:rPr>
                          <w:szCs w:val="24"/>
                        </w:rPr>
                      </w:pPr>
                      <w:sdt>
                        <w:sdtPr>
                          <w:alias w:val="Numeris"/>
                          <w:tag w:val="nr_da6e034f018348cb990713e30ff57f81"/>
                          <w:lock w:val="sdtLocked"/>
                          <w:richText/>
                        </w:sdtPr>
                        <w:sdtContent>
                          <w:r>
                            <w:rPr>
                              <w:szCs w:val="24"/>
                            </w:rPr>
                            <w:t>38</w:t>
                          </w:r>
                        </w:sdtContent>
                      </w:sdt>
                      <w:r>
                        <w:rPr>
                          <w:szCs w:val="24"/>
                        </w:rPr>
                        <w:t>.</w:t>
                        <w:tab/>
                      </w:r>
                      <w:r>
                        <w:rPr>
                          <w:rFonts w:eastAsia="Calibri"/>
                          <w:szCs w:val="24"/>
                        </w:rPr>
                        <w:t xml:space="preserve">Fondo </w:t>
                      </w:r>
                      <w:r>
                        <w:rPr>
                          <w:szCs w:val="24"/>
                        </w:rPr>
                        <w:t xml:space="preserve">sąnaudos pripažįstamos, įvertinamos, registruojamos apskaitoje ir rodomos veiklos rezultatų ataskaitoje pagal 11-ąjį </w:t>
                      </w:r>
                      <w:r>
                        <w:rPr>
                          <w:color w:val="000000"/>
                        </w:rPr>
                        <w:t xml:space="preserve">viešojo sektoriaus apskaitos ir finansinės atskaitomybės standartą „Sąnaudos“, patvirtintą </w:t>
                      </w:r>
                      <w:r>
                        <w:t>Lietuvos Respublikos finansų ministro 2008 m. vasario 8 d. įsakymu Nr. 1K-059 „Dėl 11-ojo viešojo sektoriaus apskaitos ir finansinės atskaitomybės standarto patvirtinimo“</w:t>
                      </w:r>
                      <w:r>
                        <w:rPr>
                          <w:szCs w:val="24"/>
                        </w:rPr>
                        <w:t xml:space="preserve">. </w:t>
                      </w:r>
                    </w:p>
                  </w:sdtContent>
                </w:sdt>
                <w:sdt>
                  <w:sdtPr>
                    <w:alias w:val="39 p."/>
                    <w:tag w:val="part_3def8616ba7847b4ba58514db91e4075"/>
                    <w:lock w:val="sdtLocked"/>
                    <w:richText/>
                  </w:sdtPr>
                  <w:sdtContent>
                    <w:p>
                      <w:pPr>
                        <w:tabs>
                          <w:tab w:val="left" w:pos="993"/>
                          <w:tab w:val="left" w:pos="1418"/>
                        </w:tabs>
                        <w:ind w:firstLine="709"/>
                        <w:jc w:val="both"/>
                        <w:rPr>
                          <w:szCs w:val="24"/>
                        </w:rPr>
                      </w:pPr>
                      <w:sdt>
                        <w:sdtPr>
                          <w:alias w:val="Numeris"/>
                          <w:tag w:val="nr_3def8616ba7847b4ba58514db91e4075"/>
                          <w:lock w:val="sdtLocked"/>
                          <w:richText/>
                        </w:sdtPr>
                        <w:sdtContent>
                          <w:r>
                            <w:rPr>
                              <w:szCs w:val="24"/>
                            </w:rPr>
                            <w:t>39</w:t>
                          </w:r>
                        </w:sdtContent>
                      </w:sdt>
                      <w:r>
                        <w:rPr>
                          <w:szCs w:val="24"/>
                        </w:rPr>
                        <w:t>.</w:t>
                        <w:tab/>
                        <w:t xml:space="preserve">Straipsnyje „Apskaitos politikos keitimo ir esminių apskaitos klaidų taisymo įtaka“ rodomas visų pataisymų, susijusių su taikomos fondo apskaitos politikos keitimu ar esminių klaidų taisymais, neatsižvelgiant į jų pobūdį, rezultatas. Apskaitos politikos keitimo ir klaidų taisymo įtakos apskaitos ir pateikimo finansinėse ataskaitose reikalavimai nustatyti 7-ajame </w:t>
                      </w:r>
                      <w:r>
                        <w:rPr>
                          <w:color w:val="000000"/>
                        </w:rPr>
                        <w:t>viešojo sektoriaus apskaitos ir finansinės atskaitomybės standarte „</w:t>
                      </w:r>
                      <w:r>
                        <w:rPr>
                          <w:szCs w:val="24"/>
                        </w:rPr>
                        <w:t>Apskaitos politikos, apskaitinių įverčių keitimas ir klaidų taisymas</w:t>
                      </w:r>
                      <w:r>
                        <w:rPr>
                          <w:color w:val="000000"/>
                        </w:rPr>
                        <w:t xml:space="preserve">“, patvirtintame </w:t>
                      </w:r>
                      <w:r>
                        <w:t>Lietuvos Respublikos finansų ministro 2008 m. vasario 8 d. įsakymu Nr. 1K-058 „</w:t>
                      </w:r>
                      <w:r>
                        <w:rPr>
                          <w:szCs w:val="24"/>
                        </w:rPr>
                        <w:t>Dėl</w:t>
                      </w:r>
                      <w:r>
                        <w:t xml:space="preserve"> viešojo sektoriaus apskaitos ir finansinės atskaitomybės 7-ojo standarto patvirtinimo“</w:t>
                      </w:r>
                      <w:r>
                        <w:rPr>
                          <w:szCs w:val="24"/>
                        </w:rPr>
                        <w:t>.</w:t>
                      </w:r>
                    </w:p>
                    <w:p>
                      <w:pPr>
                        <w:tabs>
                          <w:tab w:val="left" w:pos="851"/>
                          <w:tab w:val="left" w:pos="1134"/>
                        </w:tabs>
                        <w:ind w:firstLine="709"/>
                        <w:jc w:val="center"/>
                        <w:rPr>
                          <w:b/>
                          <w:szCs w:val="24"/>
                        </w:rPr>
                      </w:pPr>
                    </w:p>
                  </w:sdtContent>
                </w:sdt>
              </w:sdtContent>
            </w:sdt>
            <w:sdt>
              <w:sdtPr>
                <w:alias w:val="skirsnis"/>
                <w:tag w:val="part_ff68d1d5cfb94ffc83764d80d29519db"/>
                <w:lock w:val="sdtLocked"/>
                <w:richText/>
              </w:sdtPr>
              <w:sdtContent>
                <w:p>
                  <w:pPr>
                    <w:tabs>
                      <w:tab w:val="left" w:pos="851"/>
                      <w:tab w:val="left" w:pos="1134"/>
                    </w:tabs>
                    <w:jc w:val="center"/>
                    <w:rPr>
                      <w:b/>
                      <w:szCs w:val="24"/>
                    </w:rPr>
                  </w:pPr>
                  <w:sdt>
                    <w:sdtPr>
                      <w:alias w:val="Numeris"/>
                      <w:tag w:val="nr_ff68d1d5cfb94ffc83764d80d29519db"/>
                      <w:lock w:val="sdtLocked"/>
                      <w:richText/>
                    </w:sdtPr>
                    <w:sdtContent>
                      <w:r>
                        <w:rPr>
                          <w:b/>
                          <w:szCs w:val="24"/>
                        </w:rPr>
                        <w:t>KETVIRTASIS</w:t>
                      </w:r>
                    </w:sdtContent>
                  </w:sdt>
                  <w:r>
                    <w:rPr>
                      <w:b/>
                      <w:szCs w:val="24"/>
                    </w:rPr>
                    <w:t xml:space="preserve"> SKIRSNIS</w:t>
                  </w:r>
                </w:p>
                <w:p>
                  <w:pPr>
                    <w:tabs>
                      <w:tab w:val="left" w:pos="851"/>
                      <w:tab w:val="left" w:pos="1134"/>
                    </w:tabs>
                    <w:jc w:val="center"/>
                    <w:rPr>
                      <w:b/>
                      <w:szCs w:val="24"/>
                    </w:rPr>
                  </w:pPr>
                  <w:sdt>
                    <w:sdtPr>
                      <w:alias w:val="Pavadinimas"/>
                      <w:tag w:val="title_ff68d1d5cfb94ffc83764d80d29519db"/>
                      <w:lock w:val="sdtLocked"/>
                      <w:richText/>
                    </w:sdtPr>
                    <w:sdtContent>
                      <w:r>
                        <w:rPr>
                          <w:b/>
                          <w:szCs w:val="24"/>
                        </w:rPr>
                        <w:t>KITOSE ATASKAITOSE PATEIKIAMA INFORMACIJA</w:t>
                      </w:r>
                    </w:sdtContent>
                  </w:sdt>
                </w:p>
                <w:p>
                  <w:pPr>
                    <w:tabs>
                      <w:tab w:val="left" w:pos="851"/>
                      <w:tab w:val="left" w:pos="1134"/>
                    </w:tabs>
                    <w:ind w:firstLine="709"/>
                    <w:jc w:val="both"/>
                    <w:rPr>
                      <w:szCs w:val="24"/>
                    </w:rPr>
                  </w:pPr>
                </w:p>
                <w:sdt>
                  <w:sdtPr>
                    <w:alias w:val="40 p."/>
                    <w:tag w:val="part_7c80f545c761440da29f0514c003c082"/>
                    <w:lock w:val="sdtLocked"/>
                    <w:richText/>
                  </w:sdtPr>
                  <w:sdtContent>
                    <w:p>
                      <w:pPr>
                        <w:tabs>
                          <w:tab w:val="left" w:pos="993"/>
                          <w:tab w:val="left" w:pos="1418"/>
                        </w:tabs>
                        <w:ind w:firstLine="709"/>
                        <w:jc w:val="both"/>
                        <w:rPr>
                          <w:szCs w:val="24"/>
                        </w:rPr>
                      </w:pPr>
                      <w:sdt>
                        <w:sdtPr>
                          <w:alias w:val="Numeris"/>
                          <w:tag w:val="nr_7c80f545c761440da29f0514c003c082"/>
                          <w:lock w:val="sdtLocked"/>
                          <w:richText/>
                        </w:sdtPr>
                        <w:sdtContent>
                          <w:r>
                            <w:rPr>
                              <w:szCs w:val="24"/>
                            </w:rPr>
                            <w:t>40</w:t>
                          </w:r>
                        </w:sdtContent>
                      </w:sdt>
                      <w:r>
                        <w:rPr>
                          <w:szCs w:val="24"/>
                        </w:rPr>
                        <w:t>.</w:t>
                        <w:tab/>
                        <w:t>Fondo pinigų srautų ataskaitoje rodomos ataskaitinio laikotarpio pinigų ir pinigų ekvivalentų įplaukos bei išmokos atsižvelgiant į 5-ojo VSAFAS „Pinigų srautų ataskaita“ reikalavimus.</w:t>
                      </w:r>
                    </w:p>
                  </w:sdtContent>
                </w:sdt>
                <w:sdt>
                  <w:sdtPr>
                    <w:alias w:val="41 p."/>
                    <w:tag w:val="part_14fd4a89da364dd09fa29249cf6a74cc"/>
                    <w:lock w:val="sdtLocked"/>
                    <w:richText/>
                  </w:sdtPr>
                  <w:sdtContent>
                    <w:p>
                      <w:pPr>
                        <w:tabs>
                          <w:tab w:val="left" w:pos="993"/>
                          <w:tab w:val="left" w:pos="1418"/>
                        </w:tabs>
                        <w:ind w:firstLine="709"/>
                        <w:jc w:val="both"/>
                        <w:rPr>
                          <w:szCs w:val="24"/>
                        </w:rPr>
                      </w:pPr>
                      <w:sdt>
                        <w:sdtPr>
                          <w:alias w:val="Numeris"/>
                          <w:tag w:val="nr_14fd4a89da364dd09fa29249cf6a74cc"/>
                          <w:lock w:val="sdtLocked"/>
                          <w:richText/>
                        </w:sdtPr>
                        <w:sdtContent>
                          <w:r>
                            <w:rPr>
                              <w:szCs w:val="24"/>
                            </w:rPr>
                            <w:t>41</w:t>
                          </w:r>
                        </w:sdtContent>
                      </w:sdt>
                      <w:r>
                        <w:rPr>
                          <w:szCs w:val="24"/>
                        </w:rPr>
                        <w:t>.</w:t>
                        <w:tab/>
                        <w:t xml:space="preserve">Mokesčių fondai ir kiti fondai, kurie neturi rezervų, grynojo turto pokyčių ataskaitos į savo finansinių ataskaitų rinkinį gali neįtraukti, tik finansinėms ataskaitoms konsoliduoti reikalingą informaciją turi pateikti į Viešojo sektoriaus ataskaitų konsolidavimo informacinę sistemą. </w:t>
                      </w:r>
                    </w:p>
                  </w:sdtContent>
                </w:sdt>
                <w:sdt>
                  <w:sdtPr>
                    <w:alias w:val="42 p."/>
                    <w:tag w:val="part_c8de6915dd214a56b07ca55d0c82aa58"/>
                    <w:lock w:val="sdtLocked"/>
                    <w:richText/>
                  </w:sdtPr>
                  <w:sdtContent>
                    <w:p>
                      <w:pPr>
                        <w:tabs>
                          <w:tab w:val="left" w:pos="993"/>
                          <w:tab w:val="left" w:pos="1418"/>
                        </w:tabs>
                        <w:ind w:firstLine="709"/>
                        <w:jc w:val="both"/>
                        <w:rPr>
                          <w:szCs w:val="24"/>
                        </w:rPr>
                      </w:pPr>
                      <w:sdt>
                        <w:sdtPr>
                          <w:alias w:val="Numeris"/>
                          <w:tag w:val="nr_c8de6915dd214a56b07ca55d0c82aa58"/>
                          <w:lock w:val="sdtLocked"/>
                          <w:richText/>
                        </w:sdtPr>
                        <w:sdtContent>
                          <w:r>
                            <w:rPr>
                              <w:szCs w:val="24"/>
                            </w:rPr>
                            <w:t>42</w:t>
                          </w:r>
                        </w:sdtContent>
                      </w:sdt>
                      <w:r>
                        <w:rPr>
                          <w:szCs w:val="24"/>
                        </w:rPr>
                        <w:t>.</w:t>
                        <w:tab/>
                        <w:t>Sudarydami grynojo turto pokyčių ataskaitą fondai straipsnyje „Kiti rezervai“ parodo kitų rezervų, jeigu juos sudaro, jų veiklą reglamentuojančiuose teisės aktuose nurodytas sumas.</w:t>
                      </w:r>
                    </w:p>
                  </w:sdtContent>
                </w:sdt>
                <w:sdt>
                  <w:sdtPr>
                    <w:alias w:val="43 p."/>
                    <w:tag w:val="part_0dfe7e89681c48afb40ec0ac62e528be"/>
                    <w:lock w:val="sdtLocked"/>
                    <w:richText/>
                  </w:sdtPr>
                  <w:sdtContent>
                    <w:p>
                      <w:pPr>
                        <w:tabs>
                          <w:tab w:val="left" w:pos="993"/>
                          <w:tab w:val="left" w:pos="1418"/>
                        </w:tabs>
                        <w:ind w:firstLine="709"/>
                        <w:jc w:val="both"/>
                        <w:rPr>
                          <w:szCs w:val="24"/>
                        </w:rPr>
                      </w:pPr>
                      <w:sdt>
                        <w:sdtPr>
                          <w:alias w:val="Numeris"/>
                          <w:tag w:val="nr_0dfe7e89681c48afb40ec0ac62e528be"/>
                          <w:lock w:val="sdtLocked"/>
                          <w:richText/>
                        </w:sdtPr>
                        <w:sdtContent>
                          <w:r>
                            <w:rPr>
                              <w:szCs w:val="24"/>
                            </w:rPr>
                            <w:t>43</w:t>
                          </w:r>
                        </w:sdtContent>
                      </w:sdt>
                      <w:r>
                        <w:rPr>
                          <w:szCs w:val="24"/>
                        </w:rPr>
                        <w:t>.</w:t>
                        <w:tab/>
                        <w:t xml:space="preserve">Pildant kitus fondo grynojo turto pokyčių ataskaitos straipsnius vadovaujamasi 4-uoju VSAFAS „Grynojo turto pokyčių ataskaita“. </w:t>
                      </w:r>
                    </w:p>
                  </w:sdtContent>
                </w:sdt>
                <w:sdt>
                  <w:sdtPr>
                    <w:alias w:val="44 p."/>
                    <w:tag w:val="part_5fef323bb6d6436baefd451558e7a093"/>
                    <w:lock w:val="sdtLocked"/>
                    <w:richText/>
                  </w:sdtPr>
                  <w:sdtContent>
                    <w:p>
                      <w:pPr>
                        <w:tabs>
                          <w:tab w:val="left" w:pos="993"/>
                          <w:tab w:val="left" w:pos="1418"/>
                        </w:tabs>
                        <w:ind w:firstLine="709"/>
                        <w:jc w:val="both"/>
                        <w:rPr>
                          <w:szCs w:val="24"/>
                        </w:rPr>
                      </w:pPr>
                      <w:sdt>
                        <w:sdtPr>
                          <w:alias w:val="Numeris"/>
                          <w:tag w:val="nr_5fef323bb6d6436baefd451558e7a093"/>
                          <w:lock w:val="sdtLocked"/>
                          <w:richText/>
                        </w:sdtPr>
                        <w:sdtContent>
                          <w:r>
                            <w:rPr>
                              <w:szCs w:val="24"/>
                            </w:rPr>
                            <w:t>44</w:t>
                          </w:r>
                        </w:sdtContent>
                      </w:sdt>
                      <w:r>
                        <w:rPr>
                          <w:szCs w:val="24"/>
                        </w:rPr>
                        <w:t>.</w:t>
                        <w:tab/>
                        <w:t xml:space="preserve">Sudarant fondo aiškinamąjį raštą vadovaujamasi Standartu ir 6-uoju </w:t>
                      </w:r>
                      <w:r>
                        <w:rPr>
                          <w:szCs w:val="24"/>
                          <w:lang w:eastAsia="lt-LT"/>
                        </w:rPr>
                        <w:t>VSAFAS „Finansinių ataskaitų aiškinamasis raštas</w:t>
                      </w:r>
                      <w:r>
                        <w:rPr>
                          <w:szCs w:val="24"/>
                        </w:rPr>
                        <w:t>.</w:t>
                      </w:r>
                    </w:p>
                  </w:sdtContent>
                </w:sdt>
                <w:sdt>
                  <w:sdtPr>
                    <w:alias w:val="45 p."/>
                    <w:tag w:val="part_c2cc833b0572468fb1e2a1bf7503a9c6"/>
                    <w:lock w:val="sdtLocked"/>
                    <w:richText/>
                  </w:sdtPr>
                  <w:sdtContent>
                    <w:p>
                      <w:pPr>
                        <w:tabs>
                          <w:tab w:val="left" w:pos="993"/>
                          <w:tab w:val="left" w:pos="1418"/>
                        </w:tabs>
                        <w:ind w:firstLine="709"/>
                        <w:jc w:val="both"/>
                        <w:rPr>
                          <w:szCs w:val="24"/>
                        </w:rPr>
                      </w:pPr>
                      <w:sdt>
                        <w:sdtPr>
                          <w:alias w:val="Numeris"/>
                          <w:tag w:val="nr_c2cc833b0572468fb1e2a1bf7503a9c6"/>
                          <w:lock w:val="sdtLocked"/>
                          <w:richText/>
                        </w:sdtPr>
                        <w:sdtContent>
                          <w:r>
                            <w:rPr>
                              <w:szCs w:val="24"/>
                            </w:rPr>
                            <w:t>45</w:t>
                          </w:r>
                        </w:sdtContent>
                      </w:sdt>
                      <w:r>
                        <w:rPr>
                          <w:szCs w:val="24"/>
                        </w:rPr>
                        <w:t>.</w:t>
                        <w:tab/>
                        <w:t xml:space="preserve">Fondų, kurie rengia tarpinių ataskaitų rinkinius, tarpinių finansinių ataskaitų rinkinio sutrumpintame aiškinamajame rašte teikiama informacija pagal 23-iojo VSAFAS „Tarpinių finansinių ataskaitų rinkinys“ nuostatas, taikomas tarpinių finansinių ataskaitų sutrumpintam aiškinamajam raštui. </w:t>
                      </w:r>
                    </w:p>
                    <w:p>
                      <w:pPr>
                        <w:tabs>
                          <w:tab w:val="left" w:pos="851"/>
                          <w:tab w:val="left" w:pos="1134"/>
                        </w:tabs>
                        <w:ind w:firstLine="709"/>
                        <w:jc w:val="both"/>
                        <w:rPr>
                          <w:b/>
                          <w:szCs w:val="24"/>
                        </w:rPr>
                      </w:pPr>
                    </w:p>
                  </w:sdtContent>
                </w:sdt>
              </w:sdtContent>
            </w:sdt>
            <w:sdt>
              <w:sdtPr>
                <w:alias w:val="skirsnis"/>
                <w:tag w:val="part_af47c36ebe7a4df3af53abdfdf0fe043"/>
                <w:lock w:val="sdtLocked"/>
                <w:richText/>
              </w:sdtPr>
              <w:sdtContent>
                <w:p>
                  <w:pPr>
                    <w:tabs>
                      <w:tab w:val="left" w:pos="851"/>
                      <w:tab w:val="left" w:pos="1134"/>
                    </w:tabs>
                    <w:jc w:val="center"/>
                    <w:rPr>
                      <w:b/>
                      <w:szCs w:val="24"/>
                    </w:rPr>
                  </w:pPr>
                  <w:sdt>
                    <w:sdtPr>
                      <w:alias w:val="Numeris"/>
                      <w:tag w:val="nr_af47c36ebe7a4df3af53abdfdf0fe043"/>
                      <w:lock w:val="sdtLocked"/>
                      <w:richText/>
                    </w:sdtPr>
                    <w:sdtContent>
                      <w:r>
                        <w:rPr>
                          <w:b/>
                          <w:szCs w:val="24"/>
                        </w:rPr>
                        <w:t>PENKTASIS</w:t>
                      </w:r>
                    </w:sdtContent>
                  </w:sdt>
                  <w:r>
                    <w:rPr>
                      <w:b/>
                      <w:szCs w:val="24"/>
                    </w:rPr>
                    <w:t xml:space="preserve"> SKIRSNIS</w:t>
                  </w:r>
                </w:p>
                <w:p>
                  <w:pPr>
                    <w:tabs>
                      <w:tab w:val="left" w:pos="851"/>
                      <w:tab w:val="left" w:pos="1134"/>
                    </w:tabs>
                    <w:jc w:val="center"/>
                    <w:rPr>
                      <w:b/>
                      <w:szCs w:val="24"/>
                    </w:rPr>
                  </w:pPr>
                  <w:sdt>
                    <w:sdtPr>
                      <w:alias w:val="Pavadinimas"/>
                      <w:tag w:val="title_af47c36ebe7a4df3af53abdfdf0fe043"/>
                      <w:lock w:val="sdtLocked"/>
                      <w:richText/>
                    </w:sdtPr>
                    <w:sdtContent>
                      <w:r>
                        <w:rPr>
                          <w:b/>
                          <w:szCs w:val="24"/>
                        </w:rPr>
                        <w:t>VALSTYBĖS IR SAVIVALDYBIŲ IŽDAMS TAIKOMOS NUOSTATOS DĖL VALSTYBĖS AR SAVIVALDYBĖS TURTO PARDAVIMO APSKAITOS</w:t>
                      </w:r>
                    </w:sdtContent>
                  </w:sdt>
                </w:p>
                <w:p>
                  <w:pPr>
                    <w:tabs>
                      <w:tab w:val="left" w:pos="851"/>
                      <w:tab w:val="left" w:pos="1134"/>
                    </w:tabs>
                    <w:ind w:firstLine="709"/>
                    <w:jc w:val="center"/>
                    <w:rPr>
                      <w:b/>
                      <w:szCs w:val="24"/>
                    </w:rPr>
                  </w:pPr>
                </w:p>
                <w:sdt>
                  <w:sdtPr>
                    <w:alias w:val="46 p."/>
                    <w:tag w:val="part_d09273c14071467a8799106037c4349a"/>
                    <w:lock w:val="sdtLocked"/>
                    <w:richText/>
                  </w:sdtPr>
                  <w:sdtContent>
                    <w:p>
                      <w:pPr>
                        <w:tabs>
                          <w:tab w:val="left" w:pos="993"/>
                          <w:tab w:val="left" w:pos="1418"/>
                        </w:tabs>
                        <w:ind w:firstLine="709"/>
                        <w:jc w:val="both"/>
                        <w:rPr>
                          <w:szCs w:val="24"/>
                        </w:rPr>
                      </w:pPr>
                      <w:sdt>
                        <w:sdtPr>
                          <w:alias w:val="Numeris"/>
                          <w:tag w:val="nr_d09273c14071467a8799106037c4349a"/>
                          <w:lock w:val="sdtLocked"/>
                          <w:richText/>
                        </w:sdtPr>
                        <w:sdtContent>
                          <w:r>
                            <w:rPr>
                              <w:szCs w:val="24"/>
                            </w:rPr>
                            <w:t>46</w:t>
                          </w:r>
                        </w:sdtContent>
                      </w:sdt>
                      <w:r>
                        <w:rPr>
                          <w:szCs w:val="24"/>
                        </w:rPr>
                        <w:t>.</w:t>
                        <w:tab/>
                        <w:t xml:space="preserve">Valstybės iždas prie ilgalaikių gautinų sumų priskiria iš centralizuotai valdomo valstybės turto valdytojo (toliau – CTV) gautinas sumas už jam perduotas privatizuoti valstybei nuosavybės teise priklausančias akcijas ir parduoti skirtą valstybei nuosavybės teise priklausantį ilgalaikį materialųjį turtą, kol jis yra neparduotas arba kai parduotas, jeigu gautinų sumų sumokėjimo terminas ilgesnis negu 12 mėnesių, taip pat iš kitų subjektų, įgaliotų parduoti valstybės turtą, gautinas sumas už parduotą turtą, kurių sumokėjimo terminas ilgesnis negu 12 mėnesių. Analogiškos nuostatos taikomos savivaldybės iždo finansinėms ataskaitoms, jeigu perduotos CTV parduoti savivaldybei nuosavybės teise priklausančios akcijos ar ilgalaikis materialusis turtas. </w:t>
                      </w:r>
                    </w:p>
                  </w:sdtContent>
                </w:sdt>
                <w:sdt>
                  <w:sdtPr>
                    <w:alias w:val="47 p."/>
                    <w:tag w:val="part_0e37830033af40fbb6981bcd2720ba7e"/>
                    <w:lock w:val="sdtLocked"/>
                    <w:richText/>
                  </w:sdtPr>
                  <w:sdtContent>
                    <w:p>
                      <w:pPr>
                        <w:tabs>
                          <w:tab w:val="left" w:pos="993"/>
                          <w:tab w:val="left" w:pos="1418"/>
                        </w:tabs>
                        <w:ind w:firstLine="709"/>
                        <w:jc w:val="both"/>
                        <w:rPr>
                          <w:szCs w:val="24"/>
                        </w:rPr>
                      </w:pPr>
                      <w:sdt>
                        <w:sdtPr>
                          <w:alias w:val="Numeris"/>
                          <w:tag w:val="nr_0e37830033af40fbb6981bcd2720ba7e"/>
                          <w:lock w:val="sdtLocked"/>
                          <w:richText/>
                        </w:sdtPr>
                        <w:sdtContent>
                          <w:r>
                            <w:rPr>
                              <w:szCs w:val="24"/>
                            </w:rPr>
                            <w:t>47</w:t>
                          </w:r>
                        </w:sdtContent>
                      </w:sdt>
                      <w:r>
                        <w:rPr>
                          <w:szCs w:val="24"/>
                        </w:rPr>
                        <w:t>.</w:t>
                        <w:tab/>
                        <w:t>Savivaldybių iždai prie gautinų finansavimo sumų iš valstybės biudžeto priskiria teisės aktuose nurodytą įplaukų, kurias gauna įgalioti parduoti valstybinę žemę subjektai už parduotą valstybinę žemę, dalį. Šios įplaukos pripažįstamos gautinomis finansavimo sumomis tą ataskaitinį laikotarpį, kai valstybinės žemės pirkėjas sumoka įgaliotam parduoti valstybinę žemę subjektui pagal jo teikiamą informaciją.</w:t>
                      </w:r>
                    </w:p>
                  </w:sdtContent>
                </w:sdt>
                <w:sdt>
                  <w:sdtPr>
                    <w:alias w:val="48 p."/>
                    <w:tag w:val="part_2a1d71bde94a432082e82f909c6e7809"/>
                    <w:lock w:val="sdtLocked"/>
                    <w:richText/>
                  </w:sdtPr>
                  <w:sdtContent>
                    <w:p>
                      <w:pPr>
                        <w:tabs>
                          <w:tab w:val="left" w:pos="993"/>
                          <w:tab w:val="left" w:pos="1418"/>
                        </w:tabs>
                        <w:ind w:firstLine="709"/>
                        <w:jc w:val="both"/>
                        <w:rPr>
                          <w:szCs w:val="24"/>
                        </w:rPr>
                      </w:pPr>
                      <w:sdt>
                        <w:sdtPr>
                          <w:alias w:val="Numeris"/>
                          <w:tag w:val="nr_2a1d71bde94a432082e82f909c6e7809"/>
                          <w:lock w:val="sdtLocked"/>
                          <w:richText/>
                        </w:sdtPr>
                        <w:sdtContent>
                          <w:r>
                            <w:rPr>
                              <w:szCs w:val="24"/>
                            </w:rPr>
                            <w:t>48</w:t>
                          </w:r>
                        </w:sdtContent>
                      </w:sdt>
                      <w:r>
                        <w:rPr>
                          <w:szCs w:val="24"/>
                        </w:rPr>
                        <w:t>.</w:t>
                        <w:tab/>
                        <w:t xml:space="preserve">Valstybės ar savivaldybės iždo apskaitoje pripažintos ilgalaikės gautinos sumos iš CTV arba iš kitų subjektų, įgaliotų parduoti valstybės turtą, už jiems perduotas privatizuoti akcijas ir parduoti skirtą ilgalaikį materialųjį turtą, kol jis yra neparduotas, vertinamos įsigijimo savikaina. </w:t>
                      </w:r>
                      <w:r>
                        <w:rPr>
                          <w:lang w:eastAsia="lt-LT"/>
                        </w:rPr>
                        <w:t xml:space="preserve">Informacija apie tokias gautinas sumas atskleidžiama taip pat, kaip finansinio turto, pagal </w:t>
                      </w:r>
                      <w:r>
                        <w:rPr>
                          <w:szCs w:val="24"/>
                        </w:rPr>
                        <w:t xml:space="preserve">17-ojo VSAFAS </w:t>
                      </w:r>
                      <w:r>
                        <w:t>„</w:t>
                      </w:r>
                      <w:r>
                        <w:rPr>
                          <w:szCs w:val="24"/>
                        </w:rPr>
                        <w:t>Finansinis turtas ir finansiniai įsipareigojimai“ nuostatas vertinamo</w:t>
                      </w:r>
                      <w:r>
                        <w:rPr>
                          <w:lang w:eastAsia="lt-LT"/>
                        </w:rPr>
                        <w:t xml:space="preserve"> amortizuota savikaina.</w:t>
                      </w:r>
                    </w:p>
                  </w:sdtContent>
                </w:sdt>
                <w:sdt>
                  <w:sdtPr>
                    <w:alias w:val="49 p."/>
                    <w:tag w:val="part_73b5c6d6eef44b9e958d6e62e693af89"/>
                    <w:lock w:val="sdtLocked"/>
                    <w:richText/>
                  </w:sdtPr>
                  <w:sdtContent>
                    <w:p>
                      <w:pPr>
                        <w:tabs>
                          <w:tab w:val="left" w:pos="993"/>
                          <w:tab w:val="left" w:pos="1418"/>
                        </w:tabs>
                        <w:ind w:firstLine="709"/>
                        <w:jc w:val="both"/>
                        <w:rPr>
                          <w:szCs w:val="24"/>
                        </w:rPr>
                      </w:pPr>
                      <w:sdt>
                        <w:sdtPr>
                          <w:alias w:val="Numeris"/>
                          <w:tag w:val="nr_73b5c6d6eef44b9e958d6e62e693af89"/>
                          <w:lock w:val="sdtLocked"/>
                          <w:richText/>
                        </w:sdtPr>
                        <w:sdtContent>
                          <w:r>
                            <w:rPr>
                              <w:szCs w:val="24"/>
                            </w:rPr>
                            <w:t>49</w:t>
                          </w:r>
                        </w:sdtContent>
                      </w:sdt>
                      <w:r>
                        <w:rPr>
                          <w:szCs w:val="24"/>
                        </w:rPr>
                        <w:t>.</w:t>
                        <w:tab/>
                        <w:t>Valstybės iždas prie per vienus metus gautinų sumų priskiria iš CTV gautinas sumas už jam perduotas privatizuoti valstybei nuosavybės teise priklausančias akcijas ir parduoti skirtą valstybei nuosavybės teise priklausantį ilgalaikį materialųjį turtą po to, kai turtas parduotas, jeigu gautinų sumų sumokėjimo terminas ne ilgesnis negu 12 mėnesių, taip pat iš kitų subjektų, įgaliotų parduoti valstybės turtą, gautinas sumas už parduotą turtą. Analogiškos nuostatos taikomos savivaldybės iždo finansinėms ataskaitoms, jeigu perduotos parduoti savivaldybei nuosavybės teise priklausančios akcijos ar ilgalaikis materialusis turtas.</w:t>
                      </w:r>
                    </w:p>
                  </w:sdtContent>
                </w:sdt>
                <w:sdt>
                  <w:sdtPr>
                    <w:alias w:val="50 p."/>
                    <w:tag w:val="part_2270c7292b5c468b878c3befa0c757a9"/>
                    <w:lock w:val="sdtLocked"/>
                    <w:richText/>
                  </w:sdtPr>
                  <w:sdtContent>
                    <w:p>
                      <w:pPr>
                        <w:tabs>
                          <w:tab w:val="left" w:pos="993"/>
                          <w:tab w:val="left" w:pos="1418"/>
                        </w:tabs>
                        <w:ind w:firstLine="709"/>
                        <w:jc w:val="both"/>
                        <w:rPr>
                          <w:szCs w:val="24"/>
                        </w:rPr>
                      </w:pPr>
                      <w:sdt>
                        <w:sdtPr>
                          <w:alias w:val="Numeris"/>
                          <w:tag w:val="nr_2270c7292b5c468b878c3befa0c757a9"/>
                          <w:lock w:val="sdtLocked"/>
                          <w:richText/>
                        </w:sdtPr>
                        <w:sdtContent>
                          <w:r>
                            <w:rPr>
                              <w:szCs w:val="24"/>
                            </w:rPr>
                            <w:t>50</w:t>
                          </w:r>
                        </w:sdtContent>
                      </w:sdt>
                      <w:r>
                        <w:rPr>
                          <w:szCs w:val="24"/>
                        </w:rPr>
                        <w:t>.</w:t>
                        <w:tab/>
                        <w:t xml:space="preserve">Materialųjį turtą įtraukus į parduodamų objektų sąrašą, </w:t>
                      </w:r>
                      <w:r>
                        <w:rPr>
                          <w:rFonts w:eastAsia="Calibri"/>
                          <w:szCs w:val="24"/>
                        </w:rPr>
                        <w:t>iždas pagal jam CTV pateiktą informaciją nemažina finansavimo sąnaudų, nors turtą perdavęs viešojo sektoriaus subjektas rodo finansavimo sumų grąžinimą.</w:t>
                      </w:r>
                      <w:r>
                        <w:rPr>
                          <w:szCs w:val="24"/>
                        </w:rPr>
                        <w:t xml:space="preserve"> Pardavus šį turtą, jo balansine verte iždo apskaitoje pripažįstamos pajamos, kurios iždų veiklos rezultatų ataskaitoje priskiriamos prie kitų pajamų. Akcijas įtraukus į privatizuojamų akcijų sąrašą, šių akcijų balansine verte pripažįstamos pajamos, kurios iždų veiklos rezultatų ataskaitoje priskiriamos prie finansinės ir investicinės veiklos pajamų. Materialųjį turtą ar akcijas išbraukus iš parduodamų objektų ar privatizuojamų akcijų sąrašo, išbraukiamo turto balansine verte mažinamos prieš tai pripažintos pajamos. </w:t>
                      </w:r>
                    </w:p>
                    <w:p>
                      <w:pPr>
                        <w:tabs>
                          <w:tab w:val="left" w:pos="851"/>
                          <w:tab w:val="left" w:pos="1134"/>
                        </w:tabs>
                        <w:ind w:left="567" w:firstLine="709"/>
                        <w:jc w:val="both"/>
                        <w:rPr>
                          <w:rFonts w:eastAsia="Calibri"/>
                          <w:szCs w:val="24"/>
                        </w:rPr>
                      </w:pPr>
                    </w:p>
                  </w:sdtContent>
                </w:sdt>
              </w:sdtContent>
            </w:sdt>
          </w:sdtContent>
        </w:sdt>
        <w:sdt>
          <w:sdtPr>
            <w:alias w:val="skyrius"/>
            <w:tag w:val="part_2647762366584566bb3b9aa1f73a2c3f"/>
            <w:lock w:val="sdtLocked"/>
            <w:richText/>
          </w:sdtPr>
          <w:sdtContent>
            <w:p>
              <w:pPr>
                <w:tabs>
                  <w:tab w:val="left" w:pos="851"/>
                  <w:tab w:val="left" w:pos="1134"/>
                </w:tabs>
                <w:jc w:val="center"/>
                <w:rPr>
                  <w:b/>
                  <w:lang w:eastAsia="lt-LT"/>
                </w:rPr>
              </w:pPr>
              <w:sdt>
                <w:sdtPr>
                  <w:alias w:val="Numeris"/>
                  <w:tag w:val="nr_2647762366584566bb3b9aa1f73a2c3f"/>
                  <w:lock w:val="sdtLocked"/>
                  <w:richText/>
                </w:sdtPr>
                <w:sdtContent>
                  <w:r>
                    <w:rPr>
                      <w:b/>
                      <w:lang w:eastAsia="lt-LT"/>
                    </w:rPr>
                    <w:t>III</w:t>
                  </w:r>
                </w:sdtContent>
              </w:sdt>
              <w:r>
                <w:rPr>
                  <w:b/>
                  <w:lang w:eastAsia="lt-LT"/>
                </w:rPr>
                <w:t xml:space="preserve"> SKYRIUS</w:t>
              </w:r>
            </w:p>
            <w:p>
              <w:pPr>
                <w:tabs>
                  <w:tab w:val="left" w:pos="851"/>
                  <w:tab w:val="left" w:pos="1134"/>
                </w:tabs>
                <w:jc w:val="center"/>
                <w:rPr>
                  <w:b/>
                  <w:szCs w:val="24"/>
                </w:rPr>
              </w:pPr>
              <w:sdt>
                <w:sdtPr>
                  <w:alias w:val="Pavadinimas"/>
                  <w:tag w:val="title_2647762366584566bb3b9aa1f73a2c3f"/>
                  <w:lock w:val="sdtLocked"/>
                  <w:richText/>
                </w:sdtPr>
                <w:sdtContent>
                  <w:r>
                    <w:rPr>
                      <w:b/>
                      <w:szCs w:val="24"/>
                    </w:rPr>
                    <w:t>PSDF GRUPĖS FINANSINIŲ ATASKAITŲ RINKINIO RENGIMO REIKALAVIMAI</w:t>
                  </w:r>
                </w:sdtContent>
              </w:sdt>
            </w:p>
            <w:p>
              <w:pPr>
                <w:tabs>
                  <w:tab w:val="left" w:pos="851"/>
                  <w:tab w:val="left" w:pos="1134"/>
                </w:tabs>
                <w:jc w:val="center"/>
                <w:rPr>
                  <w:b/>
                  <w:szCs w:val="24"/>
                </w:rPr>
              </w:pPr>
            </w:p>
            <w:sdt>
              <w:sdtPr>
                <w:alias w:val="51 p."/>
                <w:tag w:val="part_577b5896a8a643169eaf138f8a596213"/>
                <w:lock w:val="sdtLocked"/>
                <w:richText/>
              </w:sdtPr>
              <w:sdtContent>
                <w:p>
                  <w:pPr>
                    <w:tabs>
                      <w:tab w:val="left" w:pos="993"/>
                      <w:tab w:val="left" w:pos="1418"/>
                    </w:tabs>
                    <w:ind w:firstLine="709"/>
                    <w:jc w:val="both"/>
                    <w:rPr>
                      <w:szCs w:val="24"/>
                    </w:rPr>
                  </w:pPr>
                  <w:sdt>
                    <w:sdtPr>
                      <w:alias w:val="Numeris"/>
                      <w:tag w:val="nr_577b5896a8a643169eaf138f8a596213"/>
                      <w:lock w:val="sdtLocked"/>
                      <w:richText/>
                    </w:sdtPr>
                    <w:sdtContent>
                      <w:r>
                        <w:rPr>
                          <w:szCs w:val="24"/>
                        </w:rPr>
                        <w:t>51</w:t>
                      </w:r>
                    </w:sdtContent>
                  </w:sdt>
                  <w:r>
                    <w:rPr>
                      <w:szCs w:val="24"/>
                    </w:rPr>
                    <w:t>.</w:t>
                    <w:tab/>
                    <w:t>PSDF grupės metinių ataskaitų rinkinį sudaro Viešojo sektoriaus atskaitomybės įstatymo 7 straipsnio 1 dalyje nurodytos ataskaitos.</w:t>
                  </w:r>
                </w:p>
              </w:sdtContent>
            </w:sdt>
            <w:sdt>
              <w:sdtPr>
                <w:alias w:val="52 p."/>
                <w:tag w:val="part_c5d15be72b964f7bbe864bd68f7ee3cb"/>
                <w:lock w:val="sdtLocked"/>
                <w:richText/>
              </w:sdtPr>
              <w:sdtContent>
                <w:p>
                  <w:pPr>
                    <w:tabs>
                      <w:tab w:val="left" w:pos="993"/>
                      <w:tab w:val="left" w:pos="1418"/>
                    </w:tabs>
                    <w:ind w:firstLine="709"/>
                    <w:jc w:val="both"/>
                  </w:pPr>
                  <w:sdt>
                    <w:sdtPr>
                      <w:alias w:val="Numeris"/>
                      <w:tag w:val="nr_c5d15be72b964f7bbe864bd68f7ee3cb"/>
                      <w:lock w:val="sdtLocked"/>
                      <w:richText/>
                    </w:sdtPr>
                    <w:sdtContent>
                      <w:r>
                        <w:t>52</w:t>
                      </w:r>
                    </w:sdtContent>
                  </w:sdt>
                  <w:r>
                    <w:t>.</w:t>
                    <w:tab/>
                    <w:t>Rengiant PSDF grupės metinių ataskaitų rinkinį naudojamos Standarto 2 priede pateiktos formos.</w:t>
                  </w:r>
                </w:p>
              </w:sdtContent>
            </w:sdt>
            <w:sdt>
              <w:sdtPr>
                <w:alias w:val="53 p."/>
                <w:tag w:val="part_fed5f351eb9e4842970dad64658ba78f"/>
                <w:lock w:val="sdtLocked"/>
                <w:richText/>
              </w:sdtPr>
              <w:sdtContent>
                <w:p>
                  <w:pPr>
                    <w:tabs>
                      <w:tab w:val="left" w:pos="993"/>
                      <w:tab w:val="left" w:pos="1418"/>
                    </w:tabs>
                    <w:ind w:firstLine="709"/>
                    <w:jc w:val="both"/>
                    <w:rPr>
                      <w:szCs w:val="24"/>
                    </w:rPr>
                  </w:pPr>
                  <w:sdt>
                    <w:sdtPr>
                      <w:alias w:val="Numeris"/>
                      <w:tag w:val="nr_fed5f351eb9e4842970dad64658ba78f"/>
                      <w:lock w:val="sdtLocked"/>
                      <w:richText/>
                    </w:sdtPr>
                    <w:sdtContent>
                      <w:r>
                        <w:rPr>
                          <w:szCs w:val="24"/>
                        </w:rPr>
                        <w:t>53</w:t>
                      </w:r>
                    </w:sdtContent>
                  </w:sdt>
                  <w:r>
                    <w:rPr>
                      <w:szCs w:val="24"/>
                    </w:rPr>
                    <w:t>.</w:t>
                    <w:tab/>
                    <w:t>PSDF grupės tarpinių finansinių ataskaitų rinkinys nerengiamas.</w:t>
                  </w:r>
                </w:p>
                <w:p>
                  <w:pPr>
                    <w:tabs>
                      <w:tab w:val="left" w:pos="1134"/>
                    </w:tabs>
                    <w:ind w:left="360"/>
                    <w:jc w:val="both"/>
                    <w:rPr>
                      <w:szCs w:val="24"/>
                    </w:rPr>
                  </w:pPr>
                </w:p>
                <w:p>
                  <w:pPr>
                    <w:ind w:firstLine="720"/>
                    <w:rPr>
                      <w:lang w:eastAsia="lt-LT"/>
                    </w:rPr>
                  </w:pPr>
                </w:p>
                <w:p>
                  <w:pPr>
                    <w:jc w:val="center"/>
                    <w:rPr>
                      <w:szCs w:val="24"/>
                      <w:lang w:eastAsia="lt-LT"/>
                    </w:rPr>
                  </w:pPr>
                  <w:r>
                    <w:rPr>
                      <w:szCs w:val="24"/>
                      <w:lang w:eastAsia="lt-LT"/>
                    </w:rPr>
                    <w:t>_____________________________</w:t>
                  </w:r>
                </w:p>
                <w:p>
                  <w:r>
                    <w:br w:type="page"/>
                  </w:r>
                </w:p>
              </w:sdtContent>
            </w:sdt>
          </w:sdtContent>
        </w:sdt>
      </w:sdtContent>
    </w:sdt>
    <w:sdt>
      <w:sdtPr>
        <w:alias w:val="1 pr."/>
        <w:tag w:val="part_ce9f768d76364a76823fd46943a0c053"/>
        <w:lock w:val="sdtLocked"/>
        <w:richText/>
      </w:sdtPr>
      <w:sdtContent>
        <w:p>
          <w:pPr>
            <w:tabs>
              <w:tab w:val="left" w:pos="5387"/>
            </w:tabs>
            <w:ind w:firstLine="4536"/>
            <w:rPr>
              <w:szCs w:val="24"/>
              <w:lang w:eastAsia="lt-LT"/>
            </w:rPr>
          </w:pPr>
          <w:r>
            <w:rPr>
              <w:szCs w:val="24"/>
              <w:lang w:eastAsia="lt-LT"/>
            </w:rPr>
            <w:t xml:space="preserve">26-ojo viešojo sektoriaus apskaitos ir </w:t>
          </w:r>
        </w:p>
        <w:p>
          <w:pPr>
            <w:tabs>
              <w:tab w:val="left" w:pos="913"/>
              <w:tab w:val="left" w:pos="6320"/>
              <w:tab w:val="left" w:pos="9372"/>
            </w:tabs>
            <w:ind w:left="4535"/>
            <w:rPr>
              <w:szCs w:val="24"/>
              <w:lang w:eastAsia="lt-LT"/>
            </w:rPr>
          </w:pPr>
          <w:r>
            <w:rPr>
              <w:szCs w:val="24"/>
              <w:lang w:eastAsia="lt-LT"/>
            </w:rPr>
            <w:t>finansinės atskaitomybės standarto „Fondų apskaita ir finansinių ataskaitų rinkinys“</w:t>
          </w:r>
        </w:p>
        <w:p>
          <w:pPr>
            <w:tabs>
              <w:tab w:val="left" w:pos="913"/>
              <w:tab w:val="left" w:pos="6320"/>
              <w:tab w:val="left" w:pos="9372"/>
            </w:tabs>
            <w:ind w:left="4535"/>
            <w:rPr>
              <w:szCs w:val="24"/>
              <w:lang w:eastAsia="lt-LT"/>
            </w:rPr>
          </w:pPr>
          <w:sdt>
            <w:sdtPr>
              <w:alias w:val="Numeris"/>
              <w:tag w:val="nr_ce9f768d76364a76823fd46943a0c053"/>
              <w:lock w:val="sdtLocked"/>
              <w:richText/>
            </w:sdtPr>
            <w:sdtContent>
              <w:r>
                <w:rPr>
                  <w:szCs w:val="24"/>
                  <w:lang w:eastAsia="lt-LT"/>
                </w:rPr>
                <w:t>1</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ce9f768d76364a76823fd46943a0c053"/>
              <w:lock w:val="sdtLocked"/>
              <w:richText/>
            </w:sdtPr>
            <w:sdtContent>
              <w:r>
                <w:rPr>
                  <w:b/>
                  <w:szCs w:val="24"/>
                  <w:lang w:eastAsia="lt-LT"/>
                </w:rPr>
                <w:t>(Privalomojo sveikatos draudimo fondo finansinių ataskaitų rinkinio forma)</w:t>
              </w:r>
            </w:sdtContent>
          </w:sdt>
        </w:p>
        <w:p>
          <w:pPr>
            <w:tabs>
              <w:tab w:val="left" w:pos="913"/>
              <w:tab w:val="left" w:pos="6320"/>
              <w:tab w:val="left" w:pos="9372"/>
            </w:tabs>
            <w:spacing w:line="240" w:lineRule="atLeast"/>
            <w:ind w:left="4535"/>
            <w:rPr>
              <w:szCs w:val="24"/>
              <w:lang w:eastAsia="lt-LT"/>
            </w:rPr>
          </w:pPr>
        </w:p>
        <w:sdt>
          <w:sdtPr>
            <w:alias w:val="skirsnis"/>
            <w:tag w:val="part_8bfc31aaefbd4ddeb4fc563dc4545084"/>
            <w:lock w:val="sdtLocked"/>
            <w:richText/>
          </w:sdtPr>
          <w:sdtContent>
            <w:sdt>
              <w:sdtPr>
                <w:alias w:val="Pavadinimas"/>
                <w:tag w:val="title_8bfc31aaefbd4ddeb4fc563dc4545084"/>
                <w:lock w:val="sdtLocked"/>
                <w:richText/>
              </w:sdtPr>
              <w:sdtContent>
                <w:p>
                  <w:pPr>
                    <w:tabs>
                      <w:tab w:val="left" w:leader="underscore" w:pos="8901"/>
                    </w:tabs>
                    <w:jc w:val="center"/>
                    <w:rPr>
                      <w:b/>
                      <w:szCs w:val="24"/>
                    </w:rPr>
                  </w:pPr>
                  <w:r>
                    <w:rPr>
                      <w:b/>
                      <w:szCs w:val="24"/>
                    </w:rPr>
                    <w:t>PRIVALOMOJO SVEIKATOS DRAUDIMO FONDAS</w:t>
                  </w:r>
                </w:p>
                <w:p>
                  <w:pPr>
                    <w:tabs>
                      <w:tab w:val="left" w:leader="underscore" w:pos="8901"/>
                    </w:tabs>
                    <w:jc w:val="center"/>
                    <w:rPr>
                      <w:b/>
                      <w:szCs w:val="24"/>
                    </w:rPr>
                  </w:pPr>
                  <w:r>
                    <w:rPr>
                      <w:b/>
                      <w:szCs w:val="24"/>
                    </w:rPr>
                    <w:t>____________________________________________________________________________</w:t>
                  </w:r>
                </w:p>
              </w:sdtContent>
            </w:sdt>
            <w:p>
              <w:pPr>
                <w:jc w:val="center"/>
                <w:rPr>
                  <w:szCs w:val="24"/>
                  <w:lang w:eastAsia="lt-LT"/>
                </w:rPr>
              </w:pPr>
              <w:r>
                <w:rPr>
                  <w:szCs w:val="24"/>
                  <w:lang w:eastAsia="lt-LT"/>
                </w:rPr>
                <w:t>(viešojo sektoriaus subjekto, parengusio valstybės veiklos rezultatų ataskaitą, kodas, adresas)</w:t>
              </w:r>
            </w:p>
            <w:p>
              <w:pPr>
                <w:rPr>
                  <w:szCs w:val="24"/>
                  <w:lang w:eastAsia="lt-LT"/>
                </w:rPr>
              </w:pPr>
            </w:p>
          </w:sdtContent>
        </w:sdt>
        <w:sdt>
          <w:sdtPr>
            <w:alias w:val="skirsnis"/>
            <w:tag w:val="part_3f81b4dc87bf4b2fb3132436f1f12367"/>
            <w:lock w:val="sdtLocked"/>
            <w:richText/>
          </w:sdtPr>
          <w:sdtContent>
            <w:sdt>
              <w:sdtPr>
                <w:alias w:val="Pavadinimas"/>
                <w:tag w:val="title_3f81b4dc87bf4b2fb3132436f1f12367"/>
                <w:lock w:val="sdtLocked"/>
                <w:richText/>
              </w:sdtPr>
              <w:sdtContent>
                <w:p>
                  <w:pPr>
                    <w:jc w:val="center"/>
                    <w:rPr>
                      <w:b/>
                      <w:szCs w:val="24"/>
                      <w:lang w:eastAsia="lt-LT"/>
                    </w:rPr>
                  </w:pPr>
                  <w:r>
                    <w:rPr>
                      <w:b/>
                      <w:szCs w:val="24"/>
                      <w:lang w:eastAsia="lt-LT"/>
                    </w:rPr>
                    <w:t>PRIVALOMOJO SVEIKATOS DRAUDIMO FONDO ______METŲ FINANSINIŲ ATASKAITŲ RINKINYS</w:t>
                  </w:r>
                </w:p>
                <w:p>
                  <w:pPr>
                    <w:jc w:val="center"/>
                    <w:rPr>
                      <w:b/>
                      <w:szCs w:val="24"/>
                      <w:lang w:eastAsia="lt-LT"/>
                    </w:rPr>
                  </w:pPr>
                  <w:r>
                    <w:rPr>
                      <w:b/>
                      <w:szCs w:val="24"/>
                      <w:lang w:eastAsia="lt-LT"/>
                    </w:rPr>
                    <w:t>(be Valstybinės ligonių kasos prie Lietuvos Respublikos sveikatos apsaugos ministerijos duomenų)</w:t>
                  </w:r>
                </w:p>
              </w:sdtContent>
            </w:sdt>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spacing w:line="240" w:lineRule="atLeast"/>
                <w:jc w:val="center"/>
                <w:rPr>
                  <w:sz w:val="20"/>
                  <w:lang w:eastAsia="lt-LT"/>
                </w:rPr>
              </w:pPr>
              <w:r>
                <w:rPr>
                  <w:sz w:val="20"/>
                  <w:lang w:eastAsia="lt-LT"/>
                </w:rPr>
                <w:t>_____________________</w:t>
              </w:r>
            </w:p>
            <w:p>
              <w:pPr>
                <w:spacing w:line="240" w:lineRule="atLeast"/>
                <w:jc w:val="center"/>
                <w:rPr>
                  <w:sz w:val="20"/>
                  <w:lang w:eastAsia="lt-LT"/>
                </w:rPr>
              </w:pPr>
              <w:r>
                <w:rPr>
                  <w:sz w:val="20"/>
                  <w:lang w:eastAsia="lt-LT"/>
                </w:rPr>
                <w:t>(sudarymo vieta)</w:t>
              </w:r>
            </w:p>
            <w:p>
              <w:pPr>
                <w:rPr>
                  <w:szCs w:val="24"/>
                </w:rPr>
              </w:pPr>
            </w:p>
          </w:sdtContent>
        </w:sdt>
        <w:sdt>
          <w:sdtPr>
            <w:alias w:val="skirsnis"/>
            <w:tag w:val="part_1f8d53b440bf4431b9ddb2f73c2414d5"/>
            <w:lock w:val="sdtLocked"/>
            <w:richText/>
          </w:sdtPr>
          <w:sdtContent>
            <w:p>
              <w:pPr>
                <w:jc w:val="center"/>
                <w:rPr>
                  <w:b/>
                  <w:sz w:val="28"/>
                  <w:szCs w:val="24"/>
                </w:rPr>
              </w:pPr>
              <w:sdt>
                <w:sdtPr>
                  <w:alias w:val="Pavadinimas"/>
                  <w:tag w:val="title_1f8d53b440bf4431b9ddb2f73c2414d5"/>
                  <w:lock w:val="sdtLocked"/>
                  <w:richText/>
                </w:sdtPr>
                <w:sdtContent>
                  <w:r>
                    <w:rPr>
                      <w:b/>
                      <w:sz w:val="28"/>
                      <w:szCs w:val="24"/>
                    </w:rPr>
                    <w:t>TURINYS</w:t>
                  </w:r>
                </w:sdtContent>
              </w:sdt>
            </w:p>
            <w:p>
              <w:pPr>
                <w:jc w:val="center"/>
                <w:rPr>
                  <w:b/>
                  <w:sz w:val="28"/>
                  <w:szCs w:val="24"/>
                </w:rPr>
              </w:pPr>
            </w:p>
          </w:sdtContent>
        </w:sdt>
        <w:sdt>
          <w:sdtPr>
            <w:alias w:val="skirsnis"/>
            <w:tag w:val="part_2bc9dd57be8a45a89dc108f5e8c617b9"/>
            <w:lock w:val="sdtLocked"/>
            <w:richText/>
          </w:sdtPr>
          <w:sdtContent>
            <w:p>
              <w:pPr>
                <w:spacing w:line="276" w:lineRule="auto"/>
                <w:rPr>
                  <w:b/>
                  <w:szCs w:val="24"/>
                </w:rPr>
              </w:pPr>
              <w:sdt>
                <w:sdtPr>
                  <w:alias w:val="Pavadinimas"/>
                  <w:tag w:val="title_2bc9dd57be8a45a89dc108f5e8c617b9"/>
                  <w:lock w:val="sdtLocked"/>
                  <w:richText/>
                </w:sdtPr>
                <w:sdtContent>
                  <w:r>
                    <w:rPr>
                      <w:b/>
                      <w:szCs w:val="24"/>
                    </w:rPr>
                    <w:t>METINĖS FINANSINĖS ATASKAITOS:</w:t>
                  </w:r>
                </w:sdtContent>
              </w:sdt>
            </w:p>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t>GRYNOJO TURTO POKYČIŲ ATASKAITA</w:t>
                <w:tab/>
                <w:tab/>
                <w:tab/>
                <w:tab/>
              </w:r>
              <w:r>
                <w:rPr>
                  <w:bCs/>
                  <w:szCs w:val="24"/>
                  <w:lang w:eastAsia="lt-LT"/>
                </w:rPr>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AIŠKINAMASIS RAŠTAS</w:t>
                <w:tab/>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Privalomojo sveikatos draudimo fondo ______ metų finansinių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e55ab43a9acf406da91666ec69612f00"/>
            <w:lock w:val="sdtLocked"/>
            <w:richText/>
          </w:sdtPr>
          <w:sdtContent>
            <w:p>
              <w:pPr>
                <w:jc w:val="center"/>
                <w:rPr>
                  <w:b/>
                  <w:bCs/>
                  <w:szCs w:val="24"/>
                  <w:lang w:eastAsia="lt-LT"/>
                </w:rPr>
              </w:pPr>
              <w:sdt>
                <w:sdtPr>
                  <w:alias w:val="Pavadinimas"/>
                  <w:tag w:val="title_e55ab43a9acf406da91666ec69612f00"/>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855" w:type="dxa"/>
                <w:tblLayout w:type="fixed"/>
                <w:tblLook w:val="04A0" w:firstRow="1" w:lastRow="0" w:firstColumn="1" w:lastColumn="0" w:noHBand="0" w:noVBand="1"/>
              </w:tblPr>
              <w:tblGrid>
                <w:gridCol w:w="846"/>
                <w:gridCol w:w="5040"/>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40"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hideMark/>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rPr>
                        <w:b/>
                        <w:bCs/>
                        <w:caps/>
                        <w:sz w:val="20"/>
                        <w:lang w:eastAsia="lt-LT"/>
                      </w:rPr>
                    </w:pPr>
                    <w:r>
                      <w:rPr>
                        <w:b/>
                        <w:bCs/>
                        <w:cap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b/>
                        <w:bCs/>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b/>
                        <w:bCs/>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b/>
                        <w:bCs/>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2.1.</w:t>
                    </w:r>
                  </w:p>
                </w:tc>
                <w:tc>
                  <w:tcPr>
                    <w:tcW w:w="5040" w:type="dxa"/>
                    <w:tcBorders>
                      <w:top w:val="nil"/>
                      <w:left w:val="nil"/>
                      <w:bottom w:val="nil"/>
                      <w:right w:val="single" w:sz="4" w:space="0" w:color="auto"/>
                    </w:tcBorders>
                    <w:noWrap/>
                    <w:vAlign w:val="center"/>
                    <w:hideMark/>
                  </w:tcPr>
                  <w:p>
                    <w:pPr>
                      <w:spacing w:line="240" w:lineRule="atLeast"/>
                      <w:rPr>
                        <w:caps/>
                        <w:sz w:val="20"/>
                        <w:lang w:eastAsia="lt-LT"/>
                      </w:rPr>
                    </w:pPr>
                    <w:r>
                      <w:rPr>
                        <w:caps/>
                        <w:sz w:val="20"/>
                        <w:lang w:eastAsia="lt-LT"/>
                      </w:rPr>
                      <w:t>Per vienus</w:t>
                    </w:r>
                    <w:r>
                      <w:rPr>
                        <w:b/>
                        <w:bCs/>
                        <w:caps/>
                        <w:sz w:val="20"/>
                        <w:lang w:eastAsia="lt-LT"/>
                      </w:rPr>
                      <w:t xml:space="preserve"> </w:t>
                    </w:r>
                    <w:r>
                      <w:rPr>
                        <w:caps/>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2.1.</w:t>
                    </w:r>
                    <w:r>
                      <w:rPr>
                        <w:sz w:val="20"/>
                        <w:lang w:val="en-GB" w:eastAsia="lt-LT"/>
                      </w:rPr>
                      <w:t>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2.1.2.</w:t>
                    </w:r>
                  </w:p>
                </w:tc>
                <w:tc>
                  <w:tcPr>
                    <w:tcW w:w="5040"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2.1.3.</w:t>
                    </w:r>
                  </w:p>
                </w:tc>
                <w:tc>
                  <w:tcPr>
                    <w:tcW w:w="5040"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2.1.4.</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5040"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val="en-GB" w:eastAsia="lt-LT"/>
                      </w:rPr>
                    </w:pPr>
                    <w:r>
                      <w:rPr>
                        <w:caps/>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4.1.</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5040"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savivaldybių biudžetų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4.3.</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Europos Sąjungos, užsienio valstybių ir tarptautinių organizacijų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4.4.</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sz w:val="20"/>
                        <w:lang w:eastAsia="lt-LT"/>
                      </w:rPr>
                      <w:t xml:space="preserve">Iš viešojo sektoriaus subjektų pajamų </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4.5.</w:t>
                    </w:r>
                  </w:p>
                </w:tc>
                <w:tc>
                  <w:tcPr>
                    <w:tcW w:w="5040" w:type="dxa"/>
                    <w:tcBorders>
                      <w:top w:val="nil"/>
                      <w:left w:val="nil"/>
                      <w:bottom w:val="single" w:sz="4" w:space="0" w:color="auto"/>
                      <w:right w:val="single" w:sz="4" w:space="0" w:color="auto"/>
                    </w:tcBorders>
                    <w:noWrap/>
                    <w:vAlign w:val="center"/>
                  </w:tcPr>
                  <w:p>
                    <w:pPr>
                      <w:spacing w:line="240" w:lineRule="atLeast"/>
                      <w:rPr>
                        <w:b/>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5.1.</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5.2.</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caps/>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5040"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5040"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caps/>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5.3.1.</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w:t>
                    </w:r>
                    <w:r>
                      <w:rPr>
                        <w:strike/>
                        <w:sz w:val="20"/>
                        <w:lang w:eastAsia="lt-LT"/>
                      </w:rPr>
                      <w:t xml:space="preserve"> </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Mokėtinos sumos už fondo administravimą</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w:t>
                    </w:r>
                  </w:p>
                </w:tc>
                <w:tc>
                  <w:tcPr>
                    <w:tcW w:w="5040"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5.3.4.1.</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5.3.4.2</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6.1.</w:t>
                    </w:r>
                  </w:p>
                </w:tc>
                <w:tc>
                  <w:tcPr>
                    <w:tcW w:w="5040" w:type="dxa"/>
                    <w:tcBorders>
                      <w:top w:val="nil"/>
                      <w:left w:val="nil"/>
                      <w:bottom w:val="single" w:sz="4" w:space="0" w:color="auto"/>
                      <w:right w:val="single" w:sz="4" w:space="0" w:color="auto"/>
                    </w:tcBorders>
                    <w:noWrap/>
                    <w:vAlign w:val="center"/>
                  </w:tcPr>
                  <w:p>
                    <w:pPr>
                      <w:spacing w:line="240" w:lineRule="atLeast"/>
                      <w:rPr>
                        <w:sz w:val="20"/>
                        <w:lang w:eastAsia="lt-LT"/>
                      </w:rPr>
                    </w:pPr>
                    <w:r>
                      <w:rPr>
                        <w:sz w:val="20"/>
                        <w:lang w:eastAsia="lt-LT"/>
                      </w:rPr>
                      <w:t>Rezervai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6.2.</w:t>
                    </w:r>
                  </w:p>
                </w:tc>
                <w:tc>
                  <w:tcPr>
                    <w:tcW w:w="50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5040"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pPr>
              <w:r>
                <w:t>_____________________</w:t>
              </w:r>
            </w:p>
            <w:p>
              <w:pPr>
                <w:sectPr>
                  <w:pgSz w:w="11906" w:h="16838"/>
                  <w:pgMar w:top="1134" w:right="567" w:bottom="1134" w:left="1701" w:header="567" w:footer="567" w:gutter="0"/>
                  <w:cols w:space="1296"/>
                  <w:titlePg/>
                  <w:docGrid w:linePitch="326"/>
                </w:sectPr>
              </w:pPr>
            </w:p>
          </w:sdtContent>
        </w:sdt>
        <w:sdt>
          <w:sdtPr>
            <w:alias w:val="skirsnis"/>
            <w:tag w:val="part_cc2cb85de8194076b68d03f0a99f3cbc"/>
            <w:lock w:val="sdtLocked"/>
            <w:richText/>
          </w:sdtPr>
          <w:sdtContent>
            <w:p>
              <w:pPr>
                <w:jc w:val="center"/>
                <w:rPr>
                  <w:b/>
                  <w:bCs/>
                  <w:szCs w:val="24"/>
                  <w:lang w:eastAsia="lt-LT"/>
                </w:rPr>
              </w:pPr>
              <w:sdt>
                <w:sdtPr>
                  <w:alias w:val="Pavadinimas"/>
                  <w:tag w:val="title_cc2cb85de8194076b68d03f0a99f3cbc"/>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4816"/>
                <w:gridCol w:w="972"/>
                <w:gridCol w:w="1610"/>
                <w:gridCol w:w="1487"/>
              </w:tblGrid>
              <w:tr>
                <w:trPr>
                  <w:trHeight w:val="682"/>
                  <w:tblHeader/>
                </w:trPr>
                <w:tc>
                  <w:tcPr>
                    <w:tcW w:w="114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Eil. Nr.</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Straipsniai</w:t>
                    </w:r>
                  </w:p>
                </w:tc>
                <w:tc>
                  <w:tcPr>
                    <w:tcW w:w="97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Pastabos Nr.</w:t>
                    </w:r>
                  </w:p>
                </w:tc>
                <w:tc>
                  <w:tcPr>
                    <w:tcW w:w="161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487"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245"/>
                  <w:tblHeader/>
                </w:trPr>
                <w:tc>
                  <w:tcPr>
                    <w:tcW w:w="1146"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816"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61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87"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Cs/>
                        <w:sz w:val="20"/>
                        <w:lang w:eastAsia="lt-LT"/>
                      </w:rPr>
                      <w:t>1.1.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bCs/>
                        <w:sz w:val="20"/>
                        <w:lang w:eastAsia="lt-LT"/>
                      </w:rPr>
                      <w:t>FINANSAVIMO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Iš valstybės biudžeto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Iš savivaldybių biudžetų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Iš Europos Sąjungos, užsienio valstybių ir tarptautinių organizacijų lėšų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Iš viešojo sektoriaus subjektų pajamų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Iš fizinių ir privačių juridinių asmenų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1.2.</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sz w:val="20"/>
                        <w:lang w:eastAsia="lt-LT"/>
                      </w:rPr>
                      <w:t>SOCIALINIŲ ĮMOKŲ PAJAMOS GRYNĄJA VERTE</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rPr>
                        <w:sz w:val="20"/>
                        <w:lang w:eastAsia="lt-LT"/>
                      </w:rPr>
                    </w:pPr>
                    <w:r>
                      <w:rPr>
                        <w:sz w:val="20"/>
                        <w:lang w:eastAsia="lt-LT"/>
                      </w:rPr>
                      <w:t>Socialinių įmokų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583"/>
                      <w:rPr>
                        <w:sz w:val="20"/>
                        <w:lang w:eastAsia="lt-LT"/>
                      </w:rPr>
                    </w:pPr>
                    <w:r>
                      <w:rPr>
                        <w:sz w:val="20"/>
                        <w:lang w:eastAsia="lt-LT"/>
                      </w:rPr>
                      <w:t>Valstybinio socialinio draudimo fondo valdybos administruojamos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1.2.1.2.</w:t>
                    </w:r>
                  </w:p>
                </w:tc>
                <w:tc>
                  <w:tcPr>
                    <w:tcW w:w="4816" w:type="dxa"/>
                    <w:tcBorders>
                      <w:top w:val="single" w:sz="4" w:space="0" w:color="auto"/>
                      <w:left w:val="single" w:sz="4" w:space="0" w:color="auto"/>
                      <w:bottom w:val="single" w:sz="4" w:space="0" w:color="auto"/>
                      <w:right w:val="single" w:sz="4" w:space="0" w:color="auto"/>
                    </w:tcBorders>
                  </w:tcPr>
                  <w:p>
                    <w:pPr>
                      <w:ind w:left="583"/>
                      <w:rPr>
                        <w:sz w:val="20"/>
                        <w:lang w:eastAsia="lt-LT"/>
                      </w:rPr>
                    </w:pPr>
                    <w:r>
                      <w:rPr>
                        <w:sz w:val="20"/>
                        <w:lang w:eastAsia="lt-LT"/>
                      </w:rPr>
                      <w:t>Valstybinės mokesčių inspekcijos administruojamos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583" w:hanging="1"/>
                      <w:rPr>
                        <w:sz w:val="20"/>
                        <w:lang w:eastAsia="lt-LT"/>
                      </w:rPr>
                    </w:pPr>
                    <w:r>
                      <w:rPr>
                        <w:sz w:val="20"/>
                        <w:lang w:eastAsia="lt-LT"/>
                      </w:rPr>
                      <w:t>Savanoriškos juridinių ir fizinių asmenų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583" w:hanging="1"/>
                      <w:rPr>
                        <w:sz w:val="20"/>
                        <w:lang w:eastAsia="lt-LT"/>
                      </w:rPr>
                    </w:pPr>
                    <w:r>
                      <w:rPr>
                        <w:sz w:val="20"/>
                        <w:lang w:eastAsia="lt-LT"/>
                      </w:rPr>
                      <w:t>Kitos socialinės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1.2.1.5.</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320"/>
                      <w:rPr>
                        <w:b/>
                        <w:bCs/>
                        <w:sz w:val="20"/>
                        <w:lang w:eastAsia="lt-LT"/>
                      </w:rPr>
                    </w:pPr>
                    <w:r>
                      <w:rPr>
                        <w:sz w:val="20"/>
                        <w:lang w:eastAsia="lt-LT"/>
                      </w:rPr>
                      <w:t>Pervestinų socialinių įmokų suma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sz w:val="20"/>
                        <w:lang w:eastAsia="lt-LT"/>
                      </w:rPr>
                      <w:t>KITOS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315"/>
                </w:trPr>
                <w:tc>
                  <w:tcPr>
                    <w:tcW w:w="1146" w:type="dxa"/>
                    <w:hideMark/>
                  </w:tcPr>
                  <w:p>
                    <w:pPr>
                      <w:spacing w:line="276" w:lineRule="auto"/>
                      <w:jc w:val="center"/>
                      <w:rPr>
                        <w:sz w:val="20"/>
                        <w:lang w:eastAsia="lt-LT"/>
                      </w:rPr>
                    </w:pPr>
                    <w:r>
                      <w:rPr>
                        <w:sz w:val="20"/>
                        <w:lang w:eastAsia="lt-LT"/>
                      </w:rPr>
                      <w:t>1.3.1.</w:t>
                    </w:r>
                  </w:p>
                </w:tc>
                <w:tc>
                  <w:tcPr>
                    <w:tcW w:w="4816" w:type="dxa"/>
                    <w:hideMark/>
                  </w:tcPr>
                  <w:p>
                    <w:pPr>
                      <w:spacing w:line="276" w:lineRule="auto"/>
                      <w:ind w:left="301"/>
                      <w:rPr>
                        <w:sz w:val="20"/>
                        <w:lang w:eastAsia="lt-LT"/>
                      </w:rPr>
                    </w:pPr>
                    <w:r>
                      <w:rPr>
                        <w:sz w:val="20"/>
                        <w:lang w:eastAsia="lt-LT"/>
                      </w:rPr>
                      <w:t>PSDF veiklos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rPr>
                  <w:trHeight w:val="141"/>
                </w:trPr>
                <w:tc>
                  <w:tcPr>
                    <w:tcW w:w="1146" w:type="dxa"/>
                    <w:hideMark/>
                  </w:tcPr>
                  <w:p>
                    <w:pPr>
                      <w:spacing w:line="276" w:lineRule="auto"/>
                      <w:jc w:val="center"/>
                      <w:rPr>
                        <w:sz w:val="20"/>
                        <w:lang w:eastAsia="lt-LT"/>
                      </w:rPr>
                    </w:pPr>
                    <w:r>
                      <w:rPr>
                        <w:sz w:val="20"/>
                        <w:lang w:eastAsia="lt-LT"/>
                      </w:rPr>
                      <w:t>1.3.2.</w:t>
                    </w:r>
                  </w:p>
                </w:tc>
                <w:tc>
                  <w:tcPr>
                    <w:tcW w:w="4816" w:type="dxa"/>
                    <w:hideMark/>
                  </w:tcPr>
                  <w:p>
                    <w:pPr>
                      <w:spacing w:line="276" w:lineRule="auto"/>
                      <w:ind w:left="301"/>
                      <w:rPr>
                        <w:sz w:val="20"/>
                        <w:lang w:eastAsia="lt-LT"/>
                      </w:rPr>
                    </w:pPr>
                    <w:r>
                      <w:rPr>
                        <w:sz w:val="20"/>
                        <w:lang w:eastAsia="lt-LT"/>
                      </w:rPr>
                      <w:t>Baudų ir kitų netesybų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rPr>
                  <w:trHeight w:val="315"/>
                </w:trPr>
                <w:tc>
                  <w:tcPr>
                    <w:tcW w:w="1146" w:type="dxa"/>
                    <w:hideMark/>
                  </w:tcPr>
                  <w:p>
                    <w:pPr>
                      <w:spacing w:line="276" w:lineRule="auto"/>
                      <w:jc w:val="center"/>
                      <w:rPr>
                        <w:sz w:val="20"/>
                        <w:lang w:eastAsia="lt-LT"/>
                      </w:rPr>
                    </w:pPr>
                    <w:r>
                      <w:rPr>
                        <w:sz w:val="20"/>
                        <w:lang w:eastAsia="lt-LT"/>
                      </w:rPr>
                      <w:t>1.3.3.</w:t>
                    </w:r>
                  </w:p>
                </w:tc>
                <w:tc>
                  <w:tcPr>
                    <w:tcW w:w="4816" w:type="dxa"/>
                    <w:hideMark/>
                  </w:tcPr>
                  <w:p>
                    <w:pPr>
                      <w:spacing w:line="276" w:lineRule="auto"/>
                      <w:ind w:left="301"/>
                      <w:rPr>
                        <w:sz w:val="20"/>
                        <w:lang w:eastAsia="lt-LT"/>
                      </w:rPr>
                    </w:pPr>
                    <w:r>
                      <w:rPr>
                        <w:sz w:val="20"/>
                        <w:lang w:eastAsia="lt-LT"/>
                      </w:rPr>
                      <w:t>Finansinės ir investicinės veiklos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1.3.3.1.</w:t>
                    </w:r>
                  </w:p>
                </w:tc>
                <w:tc>
                  <w:tcPr>
                    <w:tcW w:w="4816" w:type="dxa"/>
                    <w:vAlign w:val="center"/>
                  </w:tcPr>
                  <w:p>
                    <w:pPr>
                      <w:tabs>
                        <w:tab w:val="left" w:pos="889"/>
                        <w:tab w:val="left" w:pos="4049"/>
                        <w:tab w:val="left" w:pos="6784"/>
                        <w:tab w:val="left" w:pos="8024"/>
                        <w:tab w:val="left" w:pos="9440"/>
                        <w:tab w:val="left" w:pos="10883"/>
                      </w:tabs>
                      <w:ind w:left="463"/>
                      <w:rPr>
                        <w:sz w:val="20"/>
                        <w:lang w:eastAsia="lt-LT"/>
                      </w:rPr>
                    </w:pPr>
                    <w:r>
                      <w:rPr>
                        <w:bCs/>
                        <w:sz w:val="20"/>
                        <w:lang w:eastAsia="lt-LT"/>
                      </w:rPr>
                      <w:t>Finansinio turto tikrosios vertės padidėjimas ir perleidimo pelnas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1.3.3.2.</w:t>
                    </w:r>
                  </w:p>
                </w:tc>
                <w:tc>
                  <w:tcPr>
                    <w:tcW w:w="4816" w:type="dxa"/>
                    <w:vAlign w:val="center"/>
                  </w:tcPr>
                  <w:p>
                    <w:pPr>
                      <w:tabs>
                        <w:tab w:val="left" w:pos="889"/>
                        <w:tab w:val="left" w:pos="4049"/>
                        <w:tab w:val="left" w:pos="6784"/>
                        <w:tab w:val="left" w:pos="8024"/>
                        <w:tab w:val="left" w:pos="9440"/>
                        <w:tab w:val="left" w:pos="10883"/>
                      </w:tabs>
                      <w:ind w:left="463"/>
                      <w:rPr>
                        <w:sz w:val="20"/>
                        <w:lang w:eastAsia="lt-LT"/>
                      </w:rPr>
                    </w:pPr>
                    <w:r>
                      <w:rPr>
                        <w:bCs/>
                        <w:sz w:val="20"/>
                        <w:lang w:eastAsia="lt-LT"/>
                      </w:rPr>
                      <w:t>Palūkanų pajamos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1.3.3.3.</w:t>
                    </w:r>
                  </w:p>
                </w:tc>
                <w:tc>
                  <w:tcPr>
                    <w:tcW w:w="4816" w:type="dxa"/>
                    <w:vAlign w:val="center"/>
                  </w:tcPr>
                  <w:p>
                    <w:pPr>
                      <w:tabs>
                        <w:tab w:val="left" w:pos="889"/>
                        <w:tab w:val="left" w:pos="4049"/>
                        <w:tab w:val="left" w:pos="6784"/>
                        <w:tab w:val="left" w:pos="8024"/>
                        <w:tab w:val="left" w:pos="9440"/>
                        <w:tab w:val="left" w:pos="10883"/>
                      </w:tabs>
                      <w:ind w:left="463"/>
                      <w:rPr>
                        <w:sz w:val="20"/>
                        <w:lang w:eastAsia="lt-LT"/>
                      </w:rPr>
                    </w:pPr>
                    <w:r>
                      <w:rPr>
                        <w:bCs/>
                        <w:sz w:val="20"/>
                        <w:lang w:eastAsia="lt-LT"/>
                      </w:rPr>
                      <w:t>Kitos finansinės ir investicinės veiklos pajamos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315"/>
                </w:trPr>
                <w:tc>
                  <w:tcPr>
                    <w:tcW w:w="1146" w:type="dxa"/>
                    <w:hideMark/>
                  </w:tcPr>
                  <w:p>
                    <w:pPr>
                      <w:spacing w:line="276" w:lineRule="auto"/>
                      <w:jc w:val="center"/>
                      <w:rPr>
                        <w:sz w:val="20"/>
                        <w:lang w:eastAsia="lt-LT"/>
                      </w:rPr>
                    </w:pPr>
                    <w:r>
                      <w:rPr>
                        <w:sz w:val="20"/>
                        <w:lang w:eastAsia="lt-LT"/>
                      </w:rPr>
                      <w:t>1.3.4.</w:t>
                    </w:r>
                  </w:p>
                </w:tc>
                <w:tc>
                  <w:tcPr>
                    <w:tcW w:w="4816" w:type="dxa"/>
                    <w:hideMark/>
                  </w:tcPr>
                  <w:p>
                    <w:pPr>
                      <w:spacing w:line="276" w:lineRule="auto"/>
                      <w:ind w:left="301"/>
                      <w:rPr>
                        <w:sz w:val="20"/>
                        <w:lang w:eastAsia="lt-LT"/>
                      </w:rPr>
                    </w:pPr>
                    <w:r>
                      <w:rPr>
                        <w:sz w:val="20"/>
                        <w:lang w:eastAsia="lt-LT"/>
                      </w:rPr>
                      <w:t xml:space="preserve">Kitos </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159" w:firstLine="20"/>
                      <w:rPr>
                        <w:b/>
                        <w:bCs/>
                        <w:sz w:val="20"/>
                        <w:lang w:eastAsia="lt-LT"/>
                      </w:rPr>
                    </w:pPr>
                    <w:r>
                      <w:rPr>
                        <w:sz w:val="20"/>
                        <w:lang w:eastAsia="lt-LT"/>
                      </w:rPr>
                      <w:t>SOCIALINIŲ IŠMOKŲ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Asmens sveikatos priežiūros paslaugų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Vaistų, medicinos pagalbos priemonių ir medicinos priemonių nuomos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Medicininės reabilitacijos ir sanatorinio gydymo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Ortopedijos techninių priemonių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Sveikatos programų ir kitų sveikatos draudimo išlaidų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2.1.6.</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0"/>
                      <w:rPr>
                        <w:sz w:val="20"/>
                        <w:lang w:eastAsia="lt-LT"/>
                      </w:rPr>
                    </w:pPr>
                    <w:r>
                      <w:rPr>
                        <w:sz w:val="20"/>
                        <w:lang w:eastAsia="lt-LT"/>
                      </w:rPr>
                      <w:t>Kitų socialinių išmokų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8"/>
                      <w:rPr>
                        <w:sz w:val="20"/>
                        <w:lang w:eastAsia="lt-LT"/>
                      </w:rPr>
                    </w:pPr>
                    <w:r>
                      <w:rPr>
                        <w:sz w:val="20"/>
                        <w:lang w:eastAsia="lt-LT"/>
                      </w:rPr>
                      <w:t>SOCIALINIŲ ĮMOKŲ NUVERTĖJIMO IR NURAŠYTŲ SUMŲ SĄNAUDOS (neatgautinos arba abejotinai atgautinos sumos)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159" w:firstLine="20"/>
                      <w:rPr>
                        <w:sz w:val="20"/>
                        <w:lang w:eastAsia="lt-LT"/>
                      </w:rPr>
                    </w:pPr>
                    <w:r>
                      <w:rPr>
                        <w:sz w:val="20"/>
                        <w:lang w:eastAsia="lt-LT"/>
                      </w:rPr>
                      <w:t>FINANSAVIMO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159" w:right="-57" w:firstLine="20"/>
                      <w:rPr>
                        <w:b/>
                        <w:bCs/>
                        <w:sz w:val="20"/>
                        <w:lang w:eastAsia="lt-LT"/>
                      </w:rPr>
                    </w:pPr>
                    <w:r>
                      <w:rPr>
                        <w:sz w:val="20"/>
                        <w:lang w:eastAsia="lt-LT"/>
                      </w:rPr>
                      <w:t>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Finansinio turto vertės sumažėjimas, perleidimo nuostolis, nuvertėjimas ir nurašymas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Palūkanų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Kitos 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68" w:firstLine="20"/>
                      <w:jc w:val="both"/>
                      <w:rPr>
                        <w:bCs/>
                        <w:sz w:val="20"/>
                        <w:lang w:eastAsia="lt-LT"/>
                      </w:rPr>
                    </w:pPr>
                    <w:r>
                      <w:rPr>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20"/>
                      <w:jc w:val="both"/>
                      <w:rPr>
                        <w:bCs/>
                        <w:sz w:val="20"/>
                        <w:lang w:eastAsia="lt-LT"/>
                      </w:rPr>
                    </w:pPr>
                    <w:r>
                      <w:rPr>
                        <w:sz w:val="20"/>
                        <w:lang w:eastAsia="lt-LT"/>
                      </w:rPr>
                      <w:t>Fondo administravimo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301" w:firstLine="20"/>
                      <w:jc w:val="both"/>
                      <w:rPr>
                        <w:bCs/>
                        <w:sz w:val="20"/>
                        <w:lang w:eastAsia="lt-LT"/>
                      </w:rPr>
                    </w:pPr>
                    <w:r>
                      <w:rPr>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pPr>
              <w:r>
                <w:t>________________________</w:t>
              </w:r>
            </w:p>
            <w:p>
              <w:pPr>
                <w:sectPr>
                  <w:pgSz w:w="11906" w:h="16838"/>
                  <w:pgMar w:top="1077" w:right="1134" w:bottom="1077" w:left="1440" w:header="567" w:footer="567" w:gutter="0"/>
                  <w:cols w:space="1296"/>
                </w:sectPr>
              </w:pPr>
            </w:p>
          </w:sdtContent>
        </w:sdt>
        <w:sdt>
          <w:sdtPr>
            <w:alias w:val="skirsnis"/>
            <w:tag w:val="part_bd6ae72ace344fcdbdd8082dab28b24f"/>
            <w:lock w:val="sdtLocked"/>
            <w:richText/>
          </w:sdtPr>
          <w:sdtContent>
            <w:p>
              <w:pPr>
                <w:jc w:val="center"/>
                <w:rPr>
                  <w:b/>
                  <w:lang w:val="es-ES"/>
                </w:rPr>
              </w:pPr>
              <w:sdt>
                <w:sdtPr>
                  <w:alias w:val="Pavadinimas"/>
                  <w:tag w:val="title_bd6ae72ace344fcdbdd8082dab28b24f"/>
                  <w:lock w:val="sdtLocked"/>
                  <w:richText/>
                </w:sdtPr>
                <w:sdtContent>
                  <w:r>
                    <w:rPr>
                      <w:b/>
                    </w:rPr>
                    <w:t>GRYNOJO TURTO POKYČIŲ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 xml:space="preserve">________________ </w:t>
              </w:r>
              <w:r>
                <w:rPr>
                  <w:b/>
                  <w:bCs/>
                  <w:szCs w:val="24"/>
                  <w:lang w:eastAsia="lt-LT"/>
                </w:rPr>
                <w:t>D. DUOMENIS</w:t>
              </w:r>
            </w:p>
            <w:p>
              <w:pPr>
                <w:tabs>
                  <w:tab w:val="left" w:pos="913"/>
                  <w:tab w:val="left" w:pos="6320"/>
                  <w:tab w:val="left" w:pos="9372"/>
                  <w:tab w:val="left" w:pos="10344"/>
                  <w:tab w:val="left" w:pos="11584"/>
                </w:tabs>
                <w:jc w:val="center"/>
                <w:rPr>
                  <w:szCs w:val="24"/>
                  <w:lang w:eastAsia="lt-LT"/>
                </w:rPr>
              </w:pPr>
            </w:p>
            <w:p>
              <w:pPr>
                <w:ind w:right="118"/>
                <w:jc w:val="right"/>
                <w:rPr>
                  <w:i/>
                  <w:iCs/>
                  <w:sz w:val="20"/>
                  <w:lang w:eastAsia="lt-LT"/>
                </w:rPr>
              </w:pPr>
              <w:r>
                <w:rPr>
                  <w:i/>
                  <w:iCs/>
                  <w:sz w:val="20"/>
                  <w:lang w:eastAsia="lt-LT"/>
                </w:rPr>
                <w:t>Pateikimo valiuta ir tikslumas: eurai</w:t>
              </w:r>
            </w:p>
            <w:tbl>
              <w:tblPr>
                <w:tblW w:w="10250" w:type="dxa"/>
                <w:tblInd w:w="93" w:type="dxa"/>
                <w:tblLayout w:type="fixed"/>
                <w:tblLook w:val="04A0" w:firstRow="1" w:lastRow="0" w:firstColumn="1" w:lastColumn="0" w:noHBand="0" w:noVBand="1"/>
              </w:tblPr>
              <w:tblGrid>
                <w:gridCol w:w="624"/>
                <w:gridCol w:w="4381"/>
                <w:gridCol w:w="993"/>
                <w:gridCol w:w="1275"/>
                <w:gridCol w:w="1560"/>
                <w:gridCol w:w="1417"/>
              </w:tblGrid>
              <w:tr>
                <w:trPr>
                  <w:trHeight w:val="1197"/>
                </w:trPr>
                <w:tc>
                  <w:tcPr>
                    <w:tcW w:w="624" w:type="dxa"/>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r>
                      <w:rPr>
                        <w:b/>
                        <w:bCs/>
                        <w:sz w:val="20"/>
                        <w:lang w:eastAsia="lt-LT"/>
                      </w:rPr>
                      <w:t>Eil. Nr.</w:t>
                    </w:r>
                  </w:p>
                </w:tc>
                <w:tc>
                  <w:tcPr>
                    <w:tcW w:w="4381" w:type="dxa"/>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r>
                      <w:rPr>
                        <w:b/>
                        <w:bCs/>
                        <w:sz w:val="20"/>
                        <w:lang w:eastAsia="lt-LT"/>
                      </w:rPr>
                      <w:t>Straipsniai</w:t>
                    </w:r>
                  </w:p>
                </w:tc>
                <w:tc>
                  <w:tcPr>
                    <w:tcW w:w="993" w:type="dxa"/>
                    <w:tcBorders>
                      <w:top w:val="single" w:sz="4" w:space="0" w:color="auto"/>
                      <w:left w:val="single" w:sz="4" w:space="0" w:color="auto"/>
                      <w:bottom w:val="single" w:sz="4" w:space="0" w:color="auto"/>
                      <w:right w:val="single" w:sz="4" w:space="0" w:color="auto"/>
                    </w:tcBorders>
                    <w:vAlign w:val="center"/>
                    <w:hideMark/>
                  </w:tcPr>
                  <w:p>
                    <w:pPr>
                      <w:rPr>
                        <w:b/>
                        <w:bCs/>
                        <w:sz w:val="20"/>
                        <w:lang w:eastAsia="lt-LT"/>
                      </w:rPr>
                    </w:pPr>
                    <w:r>
                      <w:rPr>
                        <w:b/>
                        <w:bCs/>
                        <w:sz w:val="20"/>
                        <w:lang w:eastAsia="lt-LT"/>
                      </w:rPr>
                      <w:t>Pastabos Nr.</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Privalomojo sveikatos draudimo fondo biudžeto rezervas</w:t>
                    </w:r>
                  </w:p>
                </w:tc>
                <w:tc>
                  <w:tcPr>
                    <w:tcW w:w="1560" w:type="dxa"/>
                    <w:tcBorders>
                      <w:top w:val="single" w:sz="4" w:space="0" w:color="auto"/>
                      <w:left w:val="nil"/>
                      <w:right w:val="single" w:sz="4" w:space="0" w:color="auto"/>
                    </w:tcBorders>
                    <w:shd w:val="clear" w:color="auto" w:fill="auto"/>
                    <w:vAlign w:val="center"/>
                  </w:tcPr>
                  <w:p>
                    <w:pPr>
                      <w:jc w:val="center"/>
                      <w:rPr>
                        <w:b/>
                        <w:bCs/>
                        <w:sz w:val="20"/>
                        <w:lang w:eastAsia="lt-LT"/>
                      </w:rPr>
                    </w:pPr>
                    <w:r>
                      <w:rPr>
                        <w:b/>
                        <w:bCs/>
                        <w:sz w:val="20"/>
                        <w:lang w:eastAsia="lt-LT"/>
                      </w:rPr>
                      <w:t xml:space="preserve">Sukauptas perviršis ar deficitas </w:t>
                    </w:r>
                  </w:p>
                  <w:p>
                    <w:pPr>
                      <w:jc w:val="center"/>
                      <w:rPr>
                        <w:b/>
                        <w:bCs/>
                        <w:sz w:val="20"/>
                        <w:lang w:eastAsia="lt-LT"/>
                      </w:rPr>
                    </w:pPr>
                  </w:p>
                </w:tc>
                <w:tc>
                  <w:tcPr>
                    <w:tcW w:w="1417" w:type="dxa"/>
                    <w:tcBorders>
                      <w:top w:val="single" w:sz="4" w:space="0" w:color="auto"/>
                      <w:left w:val="single" w:sz="4" w:space="0" w:color="auto"/>
                      <w:right w:val="single" w:sz="4" w:space="0" w:color="auto"/>
                    </w:tcBorders>
                    <w:vAlign w:val="center"/>
                    <w:hideMark/>
                  </w:tcPr>
                  <w:p>
                    <w:pPr>
                      <w:jc w:val="center"/>
                      <w:rPr>
                        <w:b/>
                        <w:bCs/>
                        <w:sz w:val="20"/>
                        <w:lang w:eastAsia="lt-LT"/>
                      </w:rPr>
                    </w:pPr>
                    <w:r>
                      <w:rPr>
                        <w:b/>
                        <w:bCs/>
                        <w:sz w:val="20"/>
                        <w:lang w:eastAsia="lt-LT"/>
                      </w:rPr>
                      <w:t>Iš viso</w:t>
                    </w:r>
                  </w:p>
                </w:tc>
              </w:tr>
              <w:tr>
                <w:trPr>
                  <w:trHeight w:val="109"/>
                </w:trPr>
                <w:tc>
                  <w:tcPr>
                    <w:tcW w:w="6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w:t>
                    </w:r>
                  </w:p>
                </w:tc>
                <w:tc>
                  <w:tcPr>
                    <w:tcW w:w="4381" w:type="dxa"/>
                    <w:tcBorders>
                      <w:top w:val="single" w:sz="4" w:space="0" w:color="auto"/>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993" w:type="dxa"/>
                    <w:tcBorders>
                      <w:top w:val="single" w:sz="4" w:space="0" w:color="auto"/>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3</w:t>
                    </w:r>
                  </w:p>
                </w:tc>
                <w:tc>
                  <w:tcPr>
                    <w:tcW w:w="1275"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4</w:t>
                    </w:r>
                  </w:p>
                </w:tc>
                <w:tc>
                  <w:tcPr>
                    <w:tcW w:w="1560"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6</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pPr>
                      <w:jc w:val="center"/>
                      <w:rPr>
                        <w:sz w:val="20"/>
                        <w:lang w:eastAsia="lt-LT"/>
                      </w:rPr>
                    </w:pPr>
                    <w:r>
                      <w:rPr>
                        <w:sz w:val="20"/>
                        <w:lang w:eastAsia="lt-LT"/>
                      </w:rPr>
                      <w:t>7</w:t>
                    </w:r>
                  </w:p>
                </w:tc>
              </w:tr>
              <w:tr>
                <w:trPr>
                  <w:trHeight w:val="238"/>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4381" w:type="dxa"/>
                    <w:tcBorders>
                      <w:top w:val="nil"/>
                      <w:left w:val="nil"/>
                      <w:bottom w:val="single" w:sz="4" w:space="0" w:color="auto"/>
                      <w:right w:val="single" w:sz="4" w:space="0" w:color="auto"/>
                    </w:tcBorders>
                    <w:shd w:val="clear" w:color="auto" w:fill="auto"/>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11"/>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Pervedimai į rezervą</w:t>
                    </w:r>
                  </w:p>
                </w:tc>
                <w:tc>
                  <w:tcPr>
                    <w:tcW w:w="993"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52"/>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3.</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Panaudotas rezervas</w:t>
                    </w:r>
                  </w:p>
                </w:tc>
                <w:tc>
                  <w:tcPr>
                    <w:tcW w:w="993"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52"/>
                </w:trPr>
                <w:tc>
                  <w:tcPr>
                    <w:tcW w:w="624"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4381"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Investavimo rezultatas</w:t>
                    </w:r>
                  </w:p>
                </w:tc>
                <w:tc>
                  <w:tcPr>
                    <w:tcW w:w="993" w:type="dxa"/>
                    <w:tcBorders>
                      <w:top w:val="nil"/>
                      <w:left w:val="nil"/>
                      <w:bottom w:val="single" w:sz="4" w:space="0" w:color="auto"/>
                      <w:right w:val="single" w:sz="4" w:space="0" w:color="auto"/>
                    </w:tcBorders>
                    <w:shd w:val="clear" w:color="auto" w:fill="auto"/>
                  </w:tcPr>
                  <w:p>
                    <w:pPr>
                      <w:rPr>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408"/>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5.</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44"/>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6.</w:t>
                    </w:r>
                  </w:p>
                </w:tc>
                <w:tc>
                  <w:tcPr>
                    <w:tcW w:w="4381"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rFonts w:ascii="Verdana" w:hAnsi="Verdana" w:cs="Arial"/>
                        <w:sz w:val="20"/>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15"/>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7.</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Pervedimai į rezervą</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95"/>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8.</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Panaudotas rezervas</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95"/>
                </w:trPr>
                <w:tc>
                  <w:tcPr>
                    <w:tcW w:w="624"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9.</w:t>
                    </w:r>
                  </w:p>
                </w:tc>
                <w:tc>
                  <w:tcPr>
                    <w:tcW w:w="4381"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Investavimo rezultatas</w:t>
                    </w:r>
                  </w:p>
                </w:tc>
                <w:tc>
                  <w:tcPr>
                    <w:tcW w:w="993" w:type="dxa"/>
                    <w:tcBorders>
                      <w:top w:val="nil"/>
                      <w:left w:val="nil"/>
                      <w:bottom w:val="single" w:sz="4" w:space="0" w:color="auto"/>
                      <w:right w:val="single" w:sz="4" w:space="0" w:color="auto"/>
                    </w:tcBorders>
                    <w:shd w:val="clear" w:color="auto" w:fill="auto"/>
                  </w:tcPr>
                  <w:p>
                    <w:pPr>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77"/>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10.</w:t>
                    </w:r>
                  </w:p>
                </w:tc>
                <w:tc>
                  <w:tcPr>
                    <w:tcW w:w="4381"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26"/>
                </w:trPr>
                <w:tc>
                  <w:tcPr>
                    <w:tcW w:w="624"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11.</w:t>
                    </w:r>
                  </w:p>
                </w:tc>
                <w:tc>
                  <w:tcPr>
                    <w:tcW w:w="4381"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993"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275"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560"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bl>
            <w:p>
              <w:pPr>
                <w:spacing w:line="240" w:lineRule="atLeast"/>
                <w:ind w:left="2592" w:hanging="2592"/>
                <w:jc w:val="center"/>
              </w:pPr>
              <w:r>
                <w:t>______________________</w:t>
              </w:r>
            </w:p>
            <w:p>
              <w:pPr>
                <w:sectPr>
                  <w:pgSz w:w="11906" w:h="16838"/>
                  <w:pgMar w:top="1077" w:right="1134" w:bottom="1077" w:left="1440" w:header="567" w:footer="567" w:gutter="0"/>
                  <w:cols w:space="1296"/>
                  <w:docGrid w:linePitch="326"/>
                </w:sectPr>
              </w:pPr>
            </w:p>
          </w:sdtContent>
        </w:sdt>
        <w:sdt>
          <w:sdtPr>
            <w:alias w:val="skirsnis"/>
            <w:tag w:val="part_ef83f3fd2c3c431fb64186db37841ad4"/>
            <w:lock w:val="sdtLocked"/>
            <w:richText/>
          </w:sdtPr>
          <w:sdtContent>
            <w:p>
              <w:pPr>
                <w:suppressAutoHyphens/>
                <w:jc w:val="center"/>
                <w:textAlignment w:val="baseline"/>
                <w:rPr>
                  <w:b/>
                  <w:bCs/>
                  <w:szCs w:val="24"/>
                  <w:lang w:eastAsia="lt-LT"/>
                </w:rPr>
              </w:pPr>
              <w:sdt>
                <w:sdtPr>
                  <w:alias w:val="Pavadinimas"/>
                  <w:tag w:val="title_ef83f3fd2c3c431fb64186db37841ad4"/>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966" w:type="dxa"/>
                <w:tblCellMar>
                  <w:left w:w="10" w:type="dxa"/>
                  <w:right w:w="10" w:type="dxa"/>
                </w:tblCellMar>
                <w:tblLook w:val="04A0" w:firstRow="1" w:lastRow="0" w:firstColumn="1" w:lastColumn="0" w:noHBand="0" w:noVBand="1"/>
              </w:tblPr>
              <w:tblGrid>
                <w:gridCol w:w="883"/>
                <w:gridCol w:w="5327"/>
                <w:gridCol w:w="1071"/>
                <w:gridCol w:w="1367"/>
                <w:gridCol w:w="1318"/>
              </w:tblGrid>
              <w:tr>
                <w:trPr>
                  <w:trHeight w:val="549"/>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1"/>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PINIGŲ SRAUTAI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3"/>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savivaldybių biudžetų</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Europos Sąjungos, užsienio valstybių ir tarptautinių organizacijų</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viešojo sektoriaus subjektų pajamų</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1.1.1.5.</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fizinių ir privačių juridinių asmenų</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Už suteiktas paslaugas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3"/>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4"/>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Į kitus išteklių fondus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10"/>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Socialinės išmokos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9"/>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Kitoms paslaugoms veiklai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5"/>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1.3.4.</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Išmokos įsigijus ilgalaikį finansinį turtą</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Įplaukos perleidus ilgalaikį finansinį turtą</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506"/>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7"/>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6"/>
                </w:trPr>
                <w:tc>
                  <w:tcPr>
                    <w:tcW w:w="88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10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1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rPr>
                  <w:szCs w:val="24"/>
                  <w:lang w:eastAsia="lt-LT"/>
                </w:rPr>
              </w:pPr>
              <w:r>
                <w:rPr>
                  <w:szCs w:val="24"/>
                  <w:lang w:eastAsia="lt-LT"/>
                </w:rPr>
                <w:t>____________________________</w:t>
              </w:r>
            </w:p>
            <w:p>
              <w:pPr>
                <w:rPr>
                  <w:szCs w:val="24"/>
                  <w:lang w:eastAsia="lt-LT"/>
                </w:rPr>
              </w:pPr>
              <w:r>
                <w:rPr>
                  <w:szCs w:val="24"/>
                  <w:lang w:eastAsia="lt-LT"/>
                </w:rPr>
                <w:br w:type="page"/>
              </w:r>
            </w:p>
          </w:sdtContent>
        </w:sdt>
      </w:sdtContent>
    </w:sdt>
    <w:sdt>
      <w:sdtPr>
        <w:alias w:val="2 pr."/>
        <w:tag w:val="part_f35673337a064729b045f02745583a97"/>
        <w:lock w:val="sdtLocked"/>
        <w:richText/>
      </w:sdtPr>
      <w:sdtContent>
        <w:p>
          <w:pPr>
            <w:tabs>
              <w:tab w:val="left" w:pos="5387"/>
            </w:tabs>
            <w:ind w:left="5387" w:hanging="851"/>
            <w:rPr>
              <w:szCs w:val="24"/>
              <w:lang w:eastAsia="lt-LT"/>
            </w:rPr>
          </w:pPr>
          <w:r>
            <w:rPr>
              <w:szCs w:val="24"/>
              <w:lang w:eastAsia="lt-LT"/>
            </w:rPr>
            <w:t xml:space="preserve">26-ojo viešojo sektoriaus apskaitos ir </w:t>
          </w:r>
        </w:p>
        <w:p>
          <w:pPr>
            <w:tabs>
              <w:tab w:val="left" w:pos="913"/>
              <w:tab w:val="left" w:pos="6320"/>
              <w:tab w:val="left" w:pos="9372"/>
            </w:tabs>
            <w:ind w:left="4535"/>
            <w:rPr>
              <w:szCs w:val="24"/>
              <w:lang w:eastAsia="lt-LT"/>
            </w:rPr>
          </w:pPr>
          <w:r>
            <w:rPr>
              <w:szCs w:val="24"/>
              <w:lang w:eastAsia="lt-LT"/>
            </w:rPr>
            <w:t>finansinės atskaitomybės standarto „Fondų apskaita ir finansinių ataskaitų rinkinys“</w:t>
          </w:r>
        </w:p>
        <w:p>
          <w:pPr>
            <w:tabs>
              <w:tab w:val="left" w:pos="913"/>
              <w:tab w:val="left" w:pos="6320"/>
              <w:tab w:val="left" w:pos="9372"/>
            </w:tabs>
            <w:ind w:left="4535"/>
            <w:rPr>
              <w:szCs w:val="24"/>
              <w:lang w:eastAsia="lt-LT"/>
            </w:rPr>
          </w:pPr>
          <w:sdt>
            <w:sdtPr>
              <w:alias w:val="Numeris"/>
              <w:tag w:val="nr_f35673337a064729b045f02745583a97"/>
              <w:lock w:val="sdtLocked"/>
              <w:richText/>
            </w:sdtPr>
            <w:sdtContent>
              <w:r>
                <w:rPr>
                  <w:szCs w:val="24"/>
                  <w:lang w:eastAsia="lt-LT"/>
                </w:rPr>
                <w:t>2</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f35673337a064729b045f02745583a97"/>
              <w:lock w:val="sdtLocked"/>
              <w:richText/>
            </w:sdtPr>
            <w:sdtContent>
              <w:r>
                <w:rPr>
                  <w:b/>
                  <w:szCs w:val="24"/>
                  <w:lang w:eastAsia="lt-LT"/>
                </w:rPr>
                <w:t>(Privalomojo sveikatos draudimo fondo grupės finansinių ataskaitų rinkinio forma)</w:t>
              </w:r>
            </w:sdtContent>
          </w:sdt>
        </w:p>
        <w:p>
          <w:pPr>
            <w:tabs>
              <w:tab w:val="left" w:pos="913"/>
              <w:tab w:val="left" w:pos="6320"/>
              <w:tab w:val="left" w:pos="9372"/>
            </w:tabs>
            <w:spacing w:line="240" w:lineRule="atLeast"/>
            <w:jc w:val="center"/>
            <w:rPr>
              <w:b/>
              <w:szCs w:val="24"/>
              <w:lang w:eastAsia="lt-LT"/>
            </w:rPr>
          </w:pPr>
        </w:p>
        <w:sdt>
          <w:sdtPr>
            <w:alias w:val="skirsnis"/>
            <w:tag w:val="part_8b65fd953d804f928c20a6774e7ef283"/>
            <w:lock w:val="sdtLocked"/>
            <w:richText/>
          </w:sdtPr>
          <w:sdtContent>
            <w:sdt>
              <w:sdtPr>
                <w:alias w:val="Pavadinimas"/>
                <w:tag w:val="title_8b65fd953d804f928c20a6774e7ef283"/>
                <w:lock w:val="sdtLocked"/>
                <w:richText/>
              </w:sdtPr>
              <w:sdtContent>
                <w:p>
                  <w:pPr>
                    <w:tabs>
                      <w:tab w:val="left" w:leader="underscore" w:pos="8901"/>
                    </w:tabs>
                    <w:jc w:val="center"/>
                    <w:rPr>
                      <w:b/>
                      <w:szCs w:val="24"/>
                    </w:rPr>
                  </w:pPr>
                  <w:r>
                    <w:rPr>
                      <w:b/>
                      <w:szCs w:val="24"/>
                    </w:rPr>
                    <w:t>PRIVALOMOJO SVEIKATOS DRAUDIMO FONDAS</w:t>
                  </w:r>
                </w:p>
                <w:p>
                  <w:pPr>
                    <w:tabs>
                      <w:tab w:val="left" w:leader="underscore" w:pos="8901"/>
                    </w:tabs>
                    <w:jc w:val="center"/>
                    <w:rPr>
                      <w:b/>
                      <w:szCs w:val="24"/>
                    </w:rPr>
                  </w:pPr>
                  <w:r>
                    <w:rPr>
                      <w:b/>
                      <w:szCs w:val="24"/>
                    </w:rPr>
                    <w:t>_______________________________________________________________________________</w:t>
                  </w:r>
                </w:p>
              </w:sdtContent>
            </w:sdt>
            <w:p>
              <w:pPr>
                <w:jc w:val="center"/>
                <w:rPr>
                  <w:szCs w:val="24"/>
                  <w:lang w:eastAsia="lt-LT"/>
                </w:rPr>
              </w:pPr>
              <w:r>
                <w:rPr>
                  <w:szCs w:val="24"/>
                  <w:lang w:eastAsia="lt-LT"/>
                </w:rPr>
                <w:t>(viešojo sektoriaus subjekto, parengusio valstybės veiklos rezultatų ataskaitą, kodas, adresas)</w:t>
              </w:r>
            </w:p>
            <w:p>
              <w:pPr>
                <w:rPr>
                  <w:szCs w:val="24"/>
                  <w:lang w:eastAsia="lt-LT"/>
                </w:rPr>
              </w:pPr>
            </w:p>
          </w:sdtContent>
        </w:sdt>
        <w:sdt>
          <w:sdtPr>
            <w:alias w:val="skirsnis"/>
            <w:tag w:val="part_b7c41c42fdb74af89fa8d49a1a3951a9"/>
            <w:lock w:val="sdtLocked"/>
            <w:richText/>
          </w:sdtPr>
          <w:sdtContent>
            <w:p>
              <w:pPr>
                <w:jc w:val="center"/>
                <w:rPr>
                  <w:b/>
                  <w:szCs w:val="24"/>
                  <w:lang w:eastAsia="lt-LT"/>
                </w:rPr>
              </w:pPr>
              <w:sdt>
                <w:sdtPr>
                  <w:alias w:val="Pavadinimas"/>
                  <w:tag w:val="title_b7c41c42fdb74af89fa8d49a1a3951a9"/>
                  <w:lock w:val="sdtLocked"/>
                  <w:richText/>
                </w:sdtPr>
                <w:sdtContent>
                  <w:r>
                    <w:rPr>
                      <w:b/>
                      <w:szCs w:val="24"/>
                      <w:lang w:eastAsia="lt-LT"/>
                    </w:rPr>
                    <w:t>PRIVALOMOJO SVEIKATOS DRAUDIMO FONDO GRUPĖS ______METŲ FINANSINIŲ ATASKAITŲ RINKINYS</w:t>
                  </w:r>
                </w:sdtContent>
              </w:sdt>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spacing w:line="240" w:lineRule="atLeast"/>
                <w:jc w:val="center"/>
                <w:rPr>
                  <w:sz w:val="20"/>
                  <w:lang w:eastAsia="lt-LT"/>
                </w:rPr>
              </w:pPr>
              <w:r>
                <w:rPr>
                  <w:sz w:val="20"/>
                  <w:lang w:eastAsia="lt-LT"/>
                </w:rPr>
                <w:t>_____________________</w:t>
              </w:r>
            </w:p>
            <w:p>
              <w:pPr>
                <w:spacing w:line="240" w:lineRule="atLeast"/>
                <w:jc w:val="center"/>
                <w:rPr>
                  <w:sz w:val="20"/>
                  <w:lang w:eastAsia="lt-LT"/>
                </w:rPr>
              </w:pPr>
              <w:r>
                <w:rPr>
                  <w:sz w:val="20"/>
                  <w:lang w:eastAsia="lt-LT"/>
                </w:rPr>
                <w:t>(sudarymo vieta)</w:t>
              </w:r>
            </w:p>
            <w:p>
              <w:pPr>
                <w:rPr>
                  <w:szCs w:val="24"/>
                </w:rPr>
              </w:pPr>
            </w:p>
          </w:sdtContent>
        </w:sdt>
        <w:sdt>
          <w:sdtPr>
            <w:alias w:val="skirsnis"/>
            <w:tag w:val="part_a3febd56f8dd400d82478cc8116bb793"/>
            <w:lock w:val="sdtLocked"/>
            <w:richText/>
          </w:sdtPr>
          <w:sdtContent>
            <w:p>
              <w:pPr>
                <w:jc w:val="center"/>
                <w:rPr>
                  <w:b/>
                  <w:sz w:val="28"/>
                  <w:szCs w:val="24"/>
                </w:rPr>
              </w:pPr>
              <w:sdt>
                <w:sdtPr>
                  <w:alias w:val="Pavadinimas"/>
                  <w:tag w:val="title_a3febd56f8dd400d82478cc8116bb793"/>
                  <w:lock w:val="sdtLocked"/>
                  <w:richText/>
                </w:sdtPr>
                <w:sdtContent>
                  <w:r>
                    <w:rPr>
                      <w:b/>
                      <w:sz w:val="28"/>
                      <w:szCs w:val="24"/>
                    </w:rPr>
                    <w:t>TURINYS</w:t>
                  </w:r>
                </w:sdtContent>
              </w:sdt>
            </w:p>
            <w:p>
              <w:pPr>
                <w:jc w:val="center"/>
                <w:rPr>
                  <w:b/>
                  <w:sz w:val="28"/>
                  <w:szCs w:val="24"/>
                </w:rPr>
              </w:pPr>
            </w:p>
          </w:sdtContent>
        </w:sdt>
        <w:sdt>
          <w:sdtPr>
            <w:alias w:val="skirsnis"/>
            <w:tag w:val="part_5dc13f87b02f43279637fe4ab30870c3"/>
            <w:lock w:val="sdtLocked"/>
            <w:richText/>
          </w:sdtPr>
          <w:sdtContent>
            <w:p>
              <w:pPr>
                <w:spacing w:line="276" w:lineRule="auto"/>
                <w:rPr>
                  <w:b/>
                  <w:szCs w:val="24"/>
                </w:rPr>
              </w:pPr>
              <w:sdt>
                <w:sdtPr>
                  <w:alias w:val="Pavadinimas"/>
                  <w:tag w:val="title_5dc13f87b02f43279637fe4ab30870c3"/>
                  <w:lock w:val="sdtLocked"/>
                  <w:richText/>
                </w:sdtPr>
                <w:sdtContent>
                  <w:r>
                    <w:rPr>
                      <w:b/>
                      <w:szCs w:val="24"/>
                    </w:rPr>
                    <w:t>METINĖS FINANSINĖS ATASKAITOS:</w:t>
                  </w:r>
                </w:sdtContent>
              </w:sdt>
            </w:p>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t>GRYNOJO TURTO POKYČIŲ ATASKAITA</w:t>
                <w:tab/>
                <w:tab/>
                <w:tab/>
                <w:tab/>
              </w:r>
              <w:r>
                <w:rPr>
                  <w:bCs/>
                  <w:szCs w:val="24"/>
                  <w:lang w:eastAsia="lt-LT"/>
                </w:rPr>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AIŠKINAMASIS RAŠTAS</w:t>
                <w:tab/>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Privalomojo sveikatos draudimo fondo grupės ______ metų finansinių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p>
            <w:p>
              <w:pPr>
                <w:rPr>
                  <w:szCs w:val="24"/>
                  <w:lang w:eastAsia="lt-LT"/>
                </w:rPr>
              </w:pPr>
              <w:r>
                <w:rPr>
                  <w:szCs w:val="24"/>
                  <w:lang w:eastAsia="lt-LT"/>
                </w:rPr>
                <w:t>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p>
          </w:sdtContent>
        </w:sdt>
        <w:sdt>
          <w:sdtPr>
            <w:alias w:val="skirsnis"/>
            <w:tag w:val="part_eeeb9f56dbd24b38b634cbc8493878f2"/>
            <w:lock w:val="sdtLocked"/>
            <w:richText/>
          </w:sdtPr>
          <w:sdtContent>
            <w:p>
              <w:pPr>
                <w:jc w:val="center"/>
                <w:rPr>
                  <w:b/>
                  <w:bCs/>
                  <w:szCs w:val="24"/>
                  <w:lang w:eastAsia="lt-LT"/>
                </w:rPr>
              </w:pPr>
              <w:r>
                <w:rPr>
                  <w:szCs w:val="24"/>
                  <w:lang w:eastAsia="lt-LT"/>
                </w:rPr>
                <w:br w:type="page"/>
              </w:r>
              <w:sdt>
                <w:sdtPr>
                  <w:alias w:val="Pavadinimas"/>
                  <w:tag w:val="title_eeeb9f56dbd24b38b634cbc8493878f2"/>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747" w:type="dxa"/>
                <w:tblLayout w:type="fixed"/>
                <w:tblLook w:val="04A0" w:firstRow="1" w:lastRow="0" w:firstColumn="1" w:lastColumn="0" w:noHBand="0" w:noVBand="1"/>
              </w:tblPr>
              <w:tblGrid>
                <w:gridCol w:w="740"/>
                <w:gridCol w:w="5038"/>
                <w:gridCol w:w="851"/>
                <w:gridCol w:w="1559"/>
                <w:gridCol w:w="1559"/>
              </w:tblGrid>
              <w:tr>
                <w:trPr>
                  <w:trHeight w:val="999"/>
                  <w:tblHeader/>
                </w:trPr>
                <w:tc>
                  <w:tcPr>
                    <w:tcW w:w="740"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38"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108"/>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w:t>
                    </w:r>
                  </w:p>
                </w:tc>
                <w:tc>
                  <w:tcPr>
                    <w:tcW w:w="5038" w:type="dxa"/>
                    <w:tcBorders>
                      <w:top w:val="nil"/>
                      <w:left w:val="nil"/>
                      <w:bottom w:val="single" w:sz="4" w:space="0" w:color="auto"/>
                      <w:right w:val="single" w:sz="4" w:space="0" w:color="auto"/>
                    </w:tcBorders>
                    <w:noWrap/>
                    <w:vAlign w:val="center"/>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tcPr>
                  <w:p>
                    <w:pPr>
                      <w:spacing w:line="240" w:lineRule="atLeast"/>
                      <w:ind w:firstLine="50"/>
                      <w:jc w:val="center"/>
                      <w:rPr>
                        <w:sz w:val="20"/>
                        <w:lang w:eastAsia="lt-LT"/>
                      </w:rPr>
                    </w:pPr>
                    <w:r>
                      <w:rPr>
                        <w:sz w:val="20"/>
                        <w:lang w:eastAsia="lt-LT"/>
                      </w:rPr>
                      <w:t>5</w:t>
                    </w:r>
                  </w:p>
                </w:tc>
              </w:tr>
              <w:tr>
                <w:trPr>
                  <w:trHeight w:val="154"/>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ILGALAIKIS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1.1.</w:t>
                    </w:r>
                  </w:p>
                </w:tc>
                <w:tc>
                  <w:tcPr>
                    <w:tcW w:w="5038" w:type="dxa"/>
                    <w:tcBorders>
                      <w:top w:val="nil"/>
                      <w:left w:val="nil"/>
                      <w:bottom w:val="single" w:sz="4" w:space="0" w:color="auto"/>
                      <w:right w:val="single" w:sz="4" w:space="0" w:color="auto"/>
                    </w:tcBorders>
                    <w:noWrap/>
                    <w:vAlign w:val="center"/>
                  </w:tcPr>
                  <w:p>
                    <w:pPr>
                      <w:rPr>
                        <w:sz w:val="20"/>
                        <w:lang w:eastAsia="lt-LT"/>
                      </w:rPr>
                    </w:pPr>
                    <w:r>
                      <w:rPr>
                        <w:sz w:val="20"/>
                        <w:lang w:eastAsia="lt-LT"/>
                      </w:rPr>
                      <w:t>NEMATERIALUSIS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1.2.</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Ilgalaikis 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42"/>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1.2.1.</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Žemė</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73"/>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1.2.2.</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Pastatai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1.2.3.</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Infrastruktūros statiniai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1.2.4.</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Kiti statiniai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1.2.5.</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Mašinos ir įrenginiai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1.2.6.</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Transporto priemonės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1.2.7.</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Baldai, biuro įranga ir kitas ilgalaikis materialusis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1.2.8.</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Kultūros ir kitos vertybės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1.2.9.</w:t>
                    </w:r>
                  </w:p>
                </w:tc>
                <w:tc>
                  <w:tcPr>
                    <w:tcW w:w="5038" w:type="dxa"/>
                    <w:tcBorders>
                      <w:top w:val="nil"/>
                      <w:left w:val="nil"/>
                      <w:bottom w:val="single" w:sz="4" w:space="0" w:color="auto"/>
                      <w:right w:val="single" w:sz="4" w:space="0" w:color="auto"/>
                    </w:tcBorders>
                    <w:noWrap/>
                    <w:vAlign w:val="center"/>
                  </w:tcPr>
                  <w:p>
                    <w:pPr>
                      <w:ind w:left="187"/>
                      <w:rPr>
                        <w:sz w:val="20"/>
                        <w:lang w:eastAsia="lt-LT"/>
                      </w:rPr>
                    </w:pPr>
                    <w:r>
                      <w:rPr>
                        <w:sz w:val="20"/>
                        <w:lang w:eastAsia="lt-LT"/>
                      </w:rPr>
                      <w:t>Nebaigta statyba ir 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76"/>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1.3.</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1.3.1.</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Investicijos į nuosavybės vertybinius popierius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1.3.2.</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Išvestinių finansinių priemonių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1.3.3.</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Obligacijos, vekseliai, kiti ne nuosavybės vertybiniai popieriai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1.3.4.</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Ilgalaikiai terminuotieji indėliai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1.3.5.</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Suteiktos ilgalaikės paskolos ir kitos ilgalaikės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1.3.6.</w:t>
                    </w:r>
                  </w:p>
                </w:tc>
                <w:tc>
                  <w:tcPr>
                    <w:tcW w:w="5038" w:type="dxa"/>
                    <w:tcBorders>
                      <w:top w:val="nil"/>
                      <w:left w:val="nil"/>
                      <w:bottom w:val="single" w:sz="4" w:space="0" w:color="auto"/>
                      <w:right w:val="single" w:sz="4" w:space="0" w:color="auto"/>
                    </w:tcBorders>
                    <w:noWrap/>
                    <w:vAlign w:val="center"/>
                  </w:tcPr>
                  <w:p>
                    <w:pPr>
                      <w:spacing w:line="240" w:lineRule="atLeast"/>
                      <w:ind w:left="277"/>
                      <w:rPr>
                        <w:caps/>
                        <w:sz w:val="20"/>
                        <w:lang w:eastAsia="lt-LT"/>
                      </w:rPr>
                    </w:pPr>
                    <w:r>
                      <w:rPr>
                        <w:sz w:val="20"/>
                        <w:lang w:eastAsia="lt-LT"/>
                      </w:rPr>
                      <w:t>Kitas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77"/>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1.4.</w:t>
                    </w:r>
                  </w:p>
                </w:tc>
                <w:tc>
                  <w:tcPr>
                    <w:tcW w:w="5038" w:type="dxa"/>
                    <w:tcBorders>
                      <w:top w:val="nil"/>
                      <w:left w:val="nil"/>
                      <w:bottom w:val="single" w:sz="4" w:space="0" w:color="auto"/>
                      <w:right w:val="single" w:sz="4" w:space="0" w:color="auto"/>
                    </w:tcBorders>
                    <w:noWrap/>
                    <w:vAlign w:val="center"/>
                  </w:tcPr>
                  <w:p>
                    <w:pPr>
                      <w:spacing w:line="240" w:lineRule="atLeast"/>
                      <w:rPr>
                        <w:caps/>
                        <w:sz w:val="20"/>
                        <w:lang w:eastAsia="lt-LT"/>
                      </w:rPr>
                    </w:pPr>
                    <w:r>
                      <w:rPr>
                        <w:sz w:val="20"/>
                        <w:lang w:eastAsia="lt-LT"/>
                      </w:rPr>
                      <w:t>Kitas ilgalaikis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16"/>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2.1.</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Atsargos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4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64"/>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2.3.</w:t>
                    </w:r>
                  </w:p>
                </w:tc>
                <w:tc>
                  <w:tcPr>
                    <w:tcW w:w="5038" w:type="dxa"/>
                    <w:tcBorders>
                      <w:top w:val="nil"/>
                      <w:left w:val="nil"/>
                      <w:bottom w:val="nil"/>
                      <w:right w:val="single" w:sz="4" w:space="0" w:color="auto"/>
                    </w:tcBorders>
                    <w:noWrap/>
                    <w:vAlign w:val="center"/>
                    <w:hideMark/>
                  </w:tcPr>
                  <w:p>
                    <w:pPr>
                      <w:spacing w:line="240" w:lineRule="atLeast"/>
                      <w:rPr>
                        <w:caps/>
                        <w:sz w:val="20"/>
                        <w:lang w:eastAsia="lt-LT"/>
                      </w:rPr>
                    </w:pPr>
                    <w:r>
                      <w:rPr>
                        <w:sz w:val="20"/>
                        <w:lang w:eastAsia="lt-LT"/>
                      </w:rPr>
                      <w:t>Per vienus</w:t>
                    </w:r>
                    <w:r>
                      <w:rPr>
                        <w:b/>
                        <w:bCs/>
                        <w:caps/>
                        <w:sz w:val="20"/>
                        <w:lang w:eastAsia="lt-LT"/>
                      </w:rPr>
                      <w:t xml:space="preserve"> </w:t>
                    </w:r>
                    <w:r>
                      <w:rPr>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2.3.</w:t>
                    </w:r>
                    <w:r>
                      <w:rPr>
                        <w:sz w:val="20"/>
                        <w:lang w:val="en-GB" w:eastAsia="lt-LT"/>
                      </w:rPr>
                      <w:t>1.</w:t>
                    </w:r>
                  </w:p>
                </w:tc>
                <w:tc>
                  <w:tcPr>
                    <w:tcW w:w="5038"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2.3.2.</w:t>
                    </w:r>
                  </w:p>
                </w:tc>
                <w:tc>
                  <w:tcPr>
                    <w:tcW w:w="5038" w:type="dxa"/>
                    <w:tcBorders>
                      <w:top w:val="nil"/>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2.3.3.</w:t>
                    </w:r>
                  </w:p>
                </w:tc>
                <w:tc>
                  <w:tcPr>
                    <w:tcW w:w="5038"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2.3.4.</w:t>
                    </w:r>
                  </w:p>
                </w:tc>
                <w:tc>
                  <w:tcPr>
                    <w:tcW w:w="5038"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sumos už turto naudojimą, parduotas prekes, turtą, paslaugas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2.3.5.</w:t>
                    </w:r>
                  </w:p>
                </w:tc>
                <w:tc>
                  <w:tcPr>
                    <w:tcW w:w="5038"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2.4.</w:t>
                    </w:r>
                  </w:p>
                </w:tc>
                <w:tc>
                  <w:tcPr>
                    <w:tcW w:w="5038"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2.5.</w:t>
                    </w:r>
                  </w:p>
                </w:tc>
                <w:tc>
                  <w:tcPr>
                    <w:tcW w:w="5038" w:type="dxa"/>
                    <w:tcBorders>
                      <w:top w:val="single" w:sz="4" w:space="0" w:color="auto"/>
                      <w:left w:val="nil"/>
                      <w:bottom w:val="single" w:sz="4" w:space="0" w:color="auto"/>
                      <w:right w:val="single" w:sz="4" w:space="0" w:color="auto"/>
                    </w:tcBorders>
                    <w:noWrap/>
                    <w:vAlign w:val="center"/>
                  </w:tcPr>
                  <w:p>
                    <w:pPr>
                      <w:spacing w:line="240" w:lineRule="atLeast"/>
                      <w:rPr>
                        <w:caps/>
                        <w:sz w:val="20"/>
                        <w:lang w:val="en-GB" w:eastAsia="lt-LT"/>
                      </w:rPr>
                    </w:pPr>
                    <w:r>
                      <w:rPr>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5038"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4.1.</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savivaldybių biudžetų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4.3.</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Europos Sąjungos, užsienio valstybių ir tarptautinių organizacijų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4.4.</w:t>
                    </w:r>
                  </w:p>
                </w:tc>
                <w:tc>
                  <w:tcPr>
                    <w:tcW w:w="5038"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sz w:val="20"/>
                        <w:lang w:eastAsia="lt-LT"/>
                      </w:rPr>
                      <w:t>Iš viešojo sektoriaus subjektų pajamų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4.5.</w:t>
                    </w:r>
                  </w:p>
                </w:tc>
                <w:tc>
                  <w:tcPr>
                    <w:tcW w:w="5038" w:type="dxa"/>
                    <w:tcBorders>
                      <w:top w:val="nil"/>
                      <w:left w:val="nil"/>
                      <w:bottom w:val="single" w:sz="4" w:space="0" w:color="auto"/>
                      <w:right w:val="single" w:sz="4" w:space="0" w:color="auto"/>
                    </w:tcBorders>
                    <w:noWrap/>
                    <w:vAlign w:val="center"/>
                  </w:tcPr>
                  <w:p>
                    <w:pPr>
                      <w:spacing w:line="240" w:lineRule="atLeast"/>
                      <w:rPr>
                        <w:b/>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5.1.</w:t>
                    </w:r>
                  </w:p>
                </w:tc>
                <w:tc>
                  <w:tcPr>
                    <w:tcW w:w="5038" w:type="dxa"/>
                    <w:tcBorders>
                      <w:top w:val="single" w:sz="4" w:space="0" w:color="auto"/>
                      <w:left w:val="nil"/>
                      <w:bottom w:val="single" w:sz="4" w:space="0" w:color="auto"/>
                      <w:right w:val="single" w:sz="4" w:space="0" w:color="auto"/>
                    </w:tcBorders>
                    <w:noWrap/>
                    <w:vAlign w:val="center"/>
                  </w:tcPr>
                  <w:p>
                    <w:pPr>
                      <w:spacing w:line="240" w:lineRule="atLeast"/>
                      <w:rPr>
                        <w:caps/>
                        <w:sz w:val="20"/>
                        <w:lang w:eastAsia="lt-LT"/>
                      </w:rPr>
                    </w:pPr>
                    <w:r>
                      <w:rPr>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w:t>
                    </w:r>
                  </w:p>
                </w:tc>
                <w:tc>
                  <w:tcPr>
                    <w:tcW w:w="5038"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rPr>
                        <w:sz w:val="20"/>
                        <w:lang w:eastAsia="lt-LT"/>
                      </w:rPr>
                    </w:pPr>
                    <w:r>
                      <w:rPr>
                        <w:sz w:val="20"/>
                        <w:lang w:eastAsia="lt-LT"/>
                      </w:rPr>
                      <w:t>Ilgalaikiai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single" w:sz="4" w:space="0" w:color="auto"/>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5.2.1.</w:t>
                    </w:r>
                  </w:p>
                </w:tc>
                <w:tc>
                  <w:tcPr>
                    <w:tcW w:w="5038"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5038"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5038"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5.3.1.</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5.3.2.</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5.3.3.</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Tiekėjams mokėtinos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5.3.4.</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Su darbo santykiais susiję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5.3.5.</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Mokėtinos sumos už fondo administravimą</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5.3.6.</w:t>
                    </w:r>
                  </w:p>
                </w:tc>
                <w:tc>
                  <w:tcPr>
                    <w:tcW w:w="5038" w:type="dxa"/>
                    <w:tcBorders>
                      <w:top w:val="nil"/>
                      <w:left w:val="single" w:sz="4" w:space="0" w:color="auto"/>
                      <w:bottom w:val="single" w:sz="4" w:space="0" w:color="auto"/>
                      <w:right w:val="single" w:sz="4" w:space="0" w:color="auto"/>
                    </w:tcBorders>
                    <w:vAlign w:val="center"/>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ind w:left="-57" w:right="-57"/>
                      <w:jc w:val="center"/>
                      <w:rPr>
                        <w:sz w:val="20"/>
                        <w:lang w:eastAsia="lt-LT"/>
                      </w:rPr>
                    </w:pPr>
                    <w:r>
                      <w:rPr>
                        <w:sz w:val="20"/>
                        <w:lang w:eastAsia="lt-LT"/>
                      </w:rPr>
                      <w:t>5.3.6.1.</w:t>
                    </w:r>
                  </w:p>
                </w:tc>
                <w:tc>
                  <w:tcPr>
                    <w:tcW w:w="5038" w:type="dxa"/>
                    <w:tcBorders>
                      <w:top w:val="nil"/>
                      <w:left w:val="single" w:sz="4" w:space="0" w:color="auto"/>
                      <w:bottom w:val="single" w:sz="4" w:space="0" w:color="auto"/>
                      <w:right w:val="single" w:sz="4" w:space="0" w:color="auto"/>
                    </w:tcBorders>
                    <w:vAlign w:val="center"/>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ind w:left="-57" w:right="-57"/>
                      <w:jc w:val="center"/>
                      <w:rPr>
                        <w:sz w:val="20"/>
                        <w:lang w:eastAsia="lt-LT"/>
                      </w:rPr>
                    </w:pPr>
                    <w:r>
                      <w:rPr>
                        <w:sz w:val="20"/>
                        <w:lang w:eastAsia="lt-LT"/>
                      </w:rPr>
                      <w:t>5.3.6.2.</w:t>
                    </w:r>
                  </w:p>
                </w:tc>
                <w:tc>
                  <w:tcPr>
                    <w:tcW w:w="5038" w:type="dxa"/>
                    <w:tcBorders>
                      <w:top w:val="nil"/>
                      <w:left w:val="single" w:sz="4" w:space="0" w:color="auto"/>
                      <w:bottom w:val="single" w:sz="4" w:space="0" w:color="auto"/>
                      <w:right w:val="single" w:sz="4" w:space="0" w:color="auto"/>
                    </w:tcBorders>
                    <w:vAlign w:val="center"/>
                  </w:tcPr>
                  <w:p>
                    <w:pPr>
                      <w:ind w:left="427"/>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38"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single" w:sz="4" w:space="0" w:color="auto"/>
                    </w:tcBorders>
                    <w:vAlign w:val="center"/>
                  </w:tcPr>
                  <w:p>
                    <w:pPr>
                      <w:jc w:val="center"/>
                      <w:rPr>
                        <w:sz w:val="20"/>
                        <w:lang w:eastAsia="lt-LT"/>
                      </w:rPr>
                    </w:pPr>
                    <w:r>
                      <w:rPr>
                        <w:sz w:val="20"/>
                        <w:lang w:eastAsia="lt-LT"/>
                      </w:rPr>
                      <w:t>6.1.</w:t>
                    </w:r>
                  </w:p>
                </w:tc>
                <w:tc>
                  <w:tcPr>
                    <w:tcW w:w="5038" w:type="dxa"/>
                    <w:tcBorders>
                      <w:top w:val="nil"/>
                      <w:left w:val="nil"/>
                      <w:bottom w:val="single" w:sz="4" w:space="0" w:color="auto"/>
                      <w:right w:val="single" w:sz="4" w:space="0" w:color="auto"/>
                    </w:tcBorders>
                    <w:noWrap/>
                    <w:vAlign w:val="center"/>
                  </w:tcPr>
                  <w:p>
                    <w:pPr>
                      <w:rPr>
                        <w:sz w:val="20"/>
                        <w:lang w:eastAsia="lt-LT"/>
                      </w:rPr>
                    </w:pPr>
                    <w:r>
                      <w:rPr>
                        <w:sz w:val="20"/>
                        <w:lang w:eastAsia="lt-LT"/>
                      </w:rPr>
                      <w:t>Dalininkų kapitalas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6.2.</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6.2.1.</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Tikrosios vertės rezervas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6.2.2.</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Kiti rezervai</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6.3.1.</w:t>
                    </w:r>
                  </w:p>
                </w:tc>
                <w:tc>
                  <w:tcPr>
                    <w:tcW w:w="5038"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187"/>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740"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6.3.2.</w:t>
                    </w:r>
                  </w:p>
                </w:tc>
                <w:tc>
                  <w:tcPr>
                    <w:tcW w:w="5038" w:type="dxa"/>
                    <w:tcBorders>
                      <w:top w:val="nil"/>
                      <w:left w:val="single" w:sz="4" w:space="0" w:color="auto"/>
                      <w:bottom w:val="single" w:sz="4" w:space="0" w:color="auto"/>
                      <w:right w:val="single" w:sz="4" w:space="0" w:color="auto"/>
                    </w:tcBorders>
                    <w:shd w:val="clear" w:color="auto" w:fill="FFFFFF"/>
                    <w:noWrap/>
                    <w:vAlign w:val="center"/>
                    <w:hideMark/>
                  </w:tcPr>
                  <w:p>
                    <w:pPr>
                      <w:ind w:left="187"/>
                      <w:rPr>
                        <w:sz w:val="20"/>
                        <w:lang w:eastAsia="lt-LT"/>
                      </w:rPr>
                    </w:pPr>
                    <w:r>
                      <w:rPr>
                        <w:sz w:val="20"/>
                        <w:lang w:eastAsia="lt-LT"/>
                      </w:rPr>
                      <w:t>Nuosavybės metodo įtaka</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740"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5038"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IŠ VISO FINANSAVIMO SUMŲ, ĮSIPAREIGOJIMŲ IR GRYNOJO TURTO</w:t>
                    </w:r>
                    <w:r>
                      <w:rPr>
                        <w:b/>
                        <w:sz w:val="20"/>
                      </w:rPr>
                      <w:t>:</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rPr>
                  <w:szCs w:val="24"/>
                  <w:lang w:eastAsia="lt-LT"/>
                </w:rPr>
              </w:pPr>
            </w:p>
            <w:p>
              <w:pPr>
                <w:jc w:val="center"/>
                <w:rPr>
                  <w:b/>
                  <w:bCs/>
                  <w:szCs w:val="24"/>
                  <w:lang w:eastAsia="lt-LT"/>
                </w:rPr>
              </w:pPr>
              <w:r>
                <w:t>_____________________</w:t>
              </w:r>
              <w:r>
                <w:rPr>
                  <w:b/>
                  <w:bCs/>
                  <w:szCs w:val="24"/>
                  <w:lang w:eastAsia="lt-LT"/>
                </w:rPr>
                <w:t xml:space="preserve"> </w:t>
              </w:r>
            </w:p>
            <w:p>
              <w:pPr>
                <w:rPr>
                  <w:b/>
                  <w:bCs/>
                  <w:szCs w:val="24"/>
                  <w:lang w:eastAsia="lt-LT"/>
                </w:rPr>
              </w:pPr>
              <w:r>
                <w:rPr>
                  <w:b/>
                  <w:bCs/>
                  <w:szCs w:val="24"/>
                  <w:lang w:eastAsia="lt-LT"/>
                </w:rPr>
                <w:br w:type="page"/>
              </w:r>
            </w:p>
          </w:sdtContent>
        </w:sdt>
        <w:sdt>
          <w:sdtPr>
            <w:alias w:val="skirsnis"/>
            <w:tag w:val="part_8674c79826d444a38498f3a7661c1c9f"/>
            <w:lock w:val="sdtLocked"/>
            <w:richText/>
          </w:sdtPr>
          <w:sdtContent>
            <w:p>
              <w:pPr>
                <w:jc w:val="center"/>
                <w:rPr>
                  <w:b/>
                  <w:bCs/>
                  <w:szCs w:val="24"/>
                  <w:lang w:eastAsia="lt-LT"/>
                </w:rPr>
              </w:pPr>
              <w:sdt>
                <w:sdtPr>
                  <w:alias w:val="Pavadinimas"/>
                  <w:tag w:val="title_8674c79826d444a38498f3a7661c1c9f"/>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4816"/>
                <w:gridCol w:w="972"/>
                <w:gridCol w:w="1610"/>
                <w:gridCol w:w="1487"/>
              </w:tblGrid>
              <w:tr>
                <w:trPr>
                  <w:trHeight w:val="682"/>
                  <w:tblHeader/>
                </w:trPr>
                <w:tc>
                  <w:tcPr>
                    <w:tcW w:w="114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Eil. Nr.</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Straipsniai</w:t>
                    </w:r>
                  </w:p>
                </w:tc>
                <w:tc>
                  <w:tcPr>
                    <w:tcW w:w="97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Pastabos Nr.</w:t>
                    </w:r>
                  </w:p>
                </w:tc>
                <w:tc>
                  <w:tcPr>
                    <w:tcW w:w="161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487"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258"/>
                  <w:tblHeader/>
                </w:trPr>
                <w:tc>
                  <w:tcPr>
                    <w:tcW w:w="1146"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816"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61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87"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Cs/>
                        <w:sz w:val="20"/>
                        <w:lang w:eastAsia="lt-LT"/>
                      </w:rPr>
                      <w:t>1.1.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Cs/>
                        <w:sz w:val="20"/>
                        <w:lang w:eastAsia="lt-LT"/>
                      </w:rPr>
                      <w:t>FINANSAVIMO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1.1.1.</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Iš valstybės biudžeto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Iš savivaldybių biudžetų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Iš Europos Sąjungos, užsienio valstybių ir tarptautinių organizacijų lėšų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Iš viešojo sektoriaus subjektų pajamų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Iš fizinių ir privačių juridinių asmenų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1.2.</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sz w:val="20"/>
                        <w:lang w:eastAsia="lt-LT"/>
                      </w:rPr>
                      <w:t xml:space="preserve">SOCIALINIŲ ĮMOKŲ PAJAMOS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Valstybinio socialinio draudimo fondo valdybos administruojamos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4816" w:type="dxa"/>
                    <w:tcBorders>
                      <w:top w:val="single" w:sz="4" w:space="0" w:color="auto"/>
                      <w:left w:val="single" w:sz="4" w:space="0" w:color="auto"/>
                      <w:bottom w:val="single" w:sz="4" w:space="0" w:color="auto"/>
                      <w:right w:val="single" w:sz="4" w:space="0" w:color="auto"/>
                    </w:tcBorders>
                  </w:tcPr>
                  <w:p>
                    <w:pPr>
                      <w:ind w:left="159"/>
                      <w:rPr>
                        <w:sz w:val="20"/>
                        <w:lang w:eastAsia="lt-LT"/>
                      </w:rPr>
                    </w:pPr>
                    <w:r>
                      <w:rPr>
                        <w:sz w:val="20"/>
                        <w:lang w:eastAsia="lt-LT"/>
                      </w:rPr>
                      <w:t>Valstybinės mokesčių inspekcijos administruojamos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hanging="1"/>
                      <w:rPr>
                        <w:sz w:val="20"/>
                        <w:lang w:eastAsia="lt-LT"/>
                      </w:rPr>
                    </w:pPr>
                    <w:r>
                      <w:rPr>
                        <w:sz w:val="20"/>
                        <w:lang w:eastAsia="lt-LT"/>
                      </w:rPr>
                      <w:t>Savanoriškos juridinių ir fizinių asmenų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hanging="1"/>
                      <w:rPr>
                        <w:sz w:val="20"/>
                        <w:lang w:eastAsia="lt-LT"/>
                      </w:rPr>
                    </w:pPr>
                    <w:r>
                      <w:rPr>
                        <w:sz w:val="20"/>
                        <w:lang w:eastAsia="lt-LT"/>
                      </w:rPr>
                      <w:t>Kitos socialinės įmokos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1.2.5.</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159"/>
                      <w:rPr>
                        <w:b/>
                        <w:bCs/>
                        <w:sz w:val="20"/>
                        <w:lang w:eastAsia="lt-LT"/>
                      </w:rPr>
                    </w:pPr>
                    <w:r>
                      <w:rPr>
                        <w:sz w:val="20"/>
                        <w:lang w:eastAsia="lt-LT"/>
                      </w:rPr>
                      <w:t>Pervestinų socialinių įmokų suma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sz w:val="20"/>
                        <w:lang w:eastAsia="lt-LT"/>
                      </w:rPr>
                      <w:t>KITOS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315"/>
                </w:trPr>
                <w:tc>
                  <w:tcPr>
                    <w:tcW w:w="1146" w:type="dxa"/>
                    <w:hideMark/>
                  </w:tcPr>
                  <w:p>
                    <w:pPr>
                      <w:spacing w:line="276" w:lineRule="auto"/>
                      <w:jc w:val="center"/>
                      <w:rPr>
                        <w:sz w:val="20"/>
                        <w:lang w:eastAsia="lt-LT"/>
                      </w:rPr>
                    </w:pPr>
                    <w:r>
                      <w:rPr>
                        <w:sz w:val="20"/>
                        <w:lang w:eastAsia="lt-LT"/>
                      </w:rPr>
                      <w:t>1.3.1.</w:t>
                    </w:r>
                  </w:p>
                </w:tc>
                <w:tc>
                  <w:tcPr>
                    <w:tcW w:w="4816" w:type="dxa"/>
                    <w:hideMark/>
                  </w:tcPr>
                  <w:p>
                    <w:pPr>
                      <w:spacing w:line="276" w:lineRule="auto"/>
                      <w:ind w:left="159"/>
                      <w:rPr>
                        <w:sz w:val="20"/>
                        <w:lang w:eastAsia="lt-LT"/>
                      </w:rPr>
                    </w:pPr>
                    <w:r>
                      <w:rPr>
                        <w:sz w:val="20"/>
                        <w:lang w:eastAsia="lt-LT"/>
                      </w:rPr>
                      <w:t>Prekių pardavimo ir paslaugų, apmokamų valstybės ar savivaldybių biudžetų, išteklių fondų lėšomis,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rPr>
                  <w:trHeight w:val="315"/>
                </w:trPr>
                <w:tc>
                  <w:tcPr>
                    <w:tcW w:w="1146" w:type="dxa"/>
                  </w:tcPr>
                  <w:p>
                    <w:pPr>
                      <w:spacing w:line="276" w:lineRule="auto"/>
                      <w:jc w:val="center"/>
                      <w:rPr>
                        <w:sz w:val="20"/>
                        <w:lang w:eastAsia="lt-LT"/>
                      </w:rPr>
                    </w:pPr>
                    <w:r>
                      <w:rPr>
                        <w:sz w:val="20"/>
                        <w:lang w:eastAsia="lt-LT"/>
                      </w:rPr>
                      <w:t>1.3.2</w:t>
                    </w:r>
                  </w:p>
                </w:tc>
                <w:tc>
                  <w:tcPr>
                    <w:tcW w:w="4816" w:type="dxa"/>
                  </w:tcPr>
                  <w:p>
                    <w:pPr>
                      <w:spacing w:line="276" w:lineRule="auto"/>
                      <w:ind w:left="159"/>
                      <w:rPr>
                        <w:sz w:val="20"/>
                        <w:lang w:eastAsia="lt-LT"/>
                      </w:rPr>
                    </w:pPr>
                    <w:r>
                      <w:rPr>
                        <w:sz w:val="20"/>
                        <w:lang w:eastAsia="lt-LT"/>
                      </w:rPr>
                      <w:t>Kitos prekių ir paslaugų pardavimo pajamos</w:t>
                    </w:r>
                  </w:p>
                </w:tc>
                <w:tc>
                  <w:tcPr>
                    <w:tcW w:w="972" w:type="dxa"/>
                    <w:noWrap/>
                  </w:tcPr>
                  <w:p>
                    <w:pPr>
                      <w:spacing w:line="276" w:lineRule="auto"/>
                      <w:ind w:firstLine="113"/>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rPr>
                  <w:trHeight w:val="315"/>
                </w:trPr>
                <w:tc>
                  <w:tcPr>
                    <w:tcW w:w="1146" w:type="dxa"/>
                    <w:hideMark/>
                  </w:tcPr>
                  <w:p>
                    <w:pPr>
                      <w:spacing w:line="276" w:lineRule="auto"/>
                      <w:jc w:val="center"/>
                      <w:rPr>
                        <w:sz w:val="20"/>
                        <w:lang w:eastAsia="lt-LT"/>
                      </w:rPr>
                    </w:pPr>
                    <w:r>
                      <w:rPr>
                        <w:sz w:val="20"/>
                        <w:lang w:eastAsia="lt-LT"/>
                      </w:rPr>
                      <w:t>1.3.3.</w:t>
                    </w:r>
                  </w:p>
                </w:tc>
                <w:tc>
                  <w:tcPr>
                    <w:tcW w:w="4816" w:type="dxa"/>
                    <w:hideMark/>
                  </w:tcPr>
                  <w:p>
                    <w:pPr>
                      <w:spacing w:line="276" w:lineRule="auto"/>
                      <w:ind w:left="159"/>
                      <w:rPr>
                        <w:sz w:val="20"/>
                        <w:lang w:eastAsia="lt-LT"/>
                      </w:rPr>
                    </w:pPr>
                    <w:r>
                      <w:rPr>
                        <w:sz w:val="20"/>
                        <w:lang w:eastAsia="lt-LT"/>
                      </w:rPr>
                      <w:t>Baudų ir kitų netesybų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rPr>
                  <w:trHeight w:val="315"/>
                </w:trPr>
                <w:tc>
                  <w:tcPr>
                    <w:tcW w:w="1146" w:type="dxa"/>
                    <w:hideMark/>
                  </w:tcPr>
                  <w:p>
                    <w:pPr>
                      <w:spacing w:line="276" w:lineRule="auto"/>
                      <w:jc w:val="center"/>
                      <w:rPr>
                        <w:sz w:val="20"/>
                        <w:lang w:eastAsia="lt-LT"/>
                      </w:rPr>
                    </w:pPr>
                    <w:r>
                      <w:rPr>
                        <w:sz w:val="20"/>
                        <w:lang w:eastAsia="lt-LT"/>
                      </w:rPr>
                      <w:t>1.3.4.</w:t>
                    </w:r>
                  </w:p>
                </w:tc>
                <w:tc>
                  <w:tcPr>
                    <w:tcW w:w="4816" w:type="dxa"/>
                    <w:hideMark/>
                  </w:tcPr>
                  <w:p>
                    <w:pPr>
                      <w:spacing w:line="276" w:lineRule="auto"/>
                      <w:ind w:left="159"/>
                      <w:rPr>
                        <w:sz w:val="20"/>
                        <w:lang w:eastAsia="lt-LT"/>
                      </w:rPr>
                    </w:pPr>
                    <w:r>
                      <w:rPr>
                        <w:sz w:val="20"/>
                        <w:lang w:eastAsia="lt-LT"/>
                      </w:rPr>
                      <w:t>Finansinės ir investicinės veiklos pajamos</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1.3.4.1.</w:t>
                    </w:r>
                  </w:p>
                </w:tc>
                <w:tc>
                  <w:tcPr>
                    <w:tcW w:w="4816" w:type="dxa"/>
                    <w:vAlign w:val="center"/>
                  </w:tcPr>
                  <w:p>
                    <w:pPr>
                      <w:tabs>
                        <w:tab w:val="left" w:pos="889"/>
                        <w:tab w:val="left" w:pos="4049"/>
                        <w:tab w:val="left" w:pos="6784"/>
                        <w:tab w:val="left" w:pos="8024"/>
                        <w:tab w:val="left" w:pos="9440"/>
                        <w:tab w:val="left" w:pos="10883"/>
                      </w:tabs>
                      <w:ind w:left="442"/>
                      <w:rPr>
                        <w:sz w:val="20"/>
                        <w:lang w:eastAsia="lt-LT"/>
                      </w:rPr>
                    </w:pPr>
                    <w:r>
                      <w:rPr>
                        <w:bCs/>
                        <w:sz w:val="20"/>
                        <w:lang w:eastAsia="lt-LT"/>
                      </w:rPr>
                      <w:t>Finansinio turto tikrosios vertės padidėjimas ir perleidimo pelnas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1.3.4.2.</w:t>
                    </w:r>
                  </w:p>
                </w:tc>
                <w:tc>
                  <w:tcPr>
                    <w:tcW w:w="4816" w:type="dxa"/>
                    <w:vAlign w:val="center"/>
                  </w:tcPr>
                  <w:p>
                    <w:pPr>
                      <w:tabs>
                        <w:tab w:val="left" w:pos="889"/>
                        <w:tab w:val="left" w:pos="4049"/>
                        <w:tab w:val="left" w:pos="6784"/>
                        <w:tab w:val="left" w:pos="8024"/>
                        <w:tab w:val="left" w:pos="9440"/>
                        <w:tab w:val="left" w:pos="10883"/>
                      </w:tabs>
                      <w:ind w:left="442"/>
                      <w:rPr>
                        <w:sz w:val="20"/>
                        <w:lang w:eastAsia="lt-LT"/>
                      </w:rPr>
                    </w:pPr>
                    <w:r>
                      <w:rPr>
                        <w:bCs/>
                        <w:sz w:val="20"/>
                        <w:lang w:eastAsia="lt-LT"/>
                      </w:rPr>
                      <w:t>Palūkanų pajamos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1.3.4.3.</w:t>
                    </w:r>
                  </w:p>
                </w:tc>
                <w:tc>
                  <w:tcPr>
                    <w:tcW w:w="4816" w:type="dxa"/>
                    <w:vAlign w:val="center"/>
                  </w:tcPr>
                  <w:p>
                    <w:pPr>
                      <w:tabs>
                        <w:tab w:val="left" w:pos="889"/>
                        <w:tab w:val="left" w:pos="4049"/>
                        <w:tab w:val="left" w:pos="6784"/>
                        <w:tab w:val="left" w:pos="8024"/>
                        <w:tab w:val="left" w:pos="9440"/>
                        <w:tab w:val="left" w:pos="10883"/>
                      </w:tabs>
                      <w:ind w:left="442"/>
                      <w:rPr>
                        <w:sz w:val="20"/>
                        <w:lang w:eastAsia="lt-LT"/>
                      </w:rPr>
                    </w:pPr>
                    <w:r>
                      <w:rPr>
                        <w:bCs/>
                        <w:sz w:val="20"/>
                        <w:lang w:eastAsia="lt-LT"/>
                      </w:rPr>
                      <w:t>Kitos finansinės ir investicinės veiklos pajamos</w:t>
                    </w:r>
                  </w:p>
                </w:tc>
                <w:tc>
                  <w:tcPr>
                    <w:tcW w:w="972"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315"/>
                </w:trPr>
                <w:tc>
                  <w:tcPr>
                    <w:tcW w:w="1146" w:type="dxa"/>
                    <w:hideMark/>
                  </w:tcPr>
                  <w:p>
                    <w:pPr>
                      <w:spacing w:line="276" w:lineRule="auto"/>
                      <w:jc w:val="center"/>
                      <w:rPr>
                        <w:sz w:val="20"/>
                        <w:lang w:eastAsia="lt-LT"/>
                      </w:rPr>
                    </w:pPr>
                    <w:r>
                      <w:rPr>
                        <w:sz w:val="20"/>
                        <w:lang w:eastAsia="lt-LT"/>
                      </w:rPr>
                      <w:t>1.3.5.</w:t>
                    </w:r>
                  </w:p>
                </w:tc>
                <w:tc>
                  <w:tcPr>
                    <w:tcW w:w="4816" w:type="dxa"/>
                    <w:hideMark/>
                  </w:tcPr>
                  <w:p>
                    <w:pPr>
                      <w:spacing w:line="276" w:lineRule="auto"/>
                      <w:ind w:left="159"/>
                      <w:rPr>
                        <w:sz w:val="20"/>
                        <w:lang w:eastAsia="lt-LT"/>
                      </w:rPr>
                    </w:pPr>
                    <w:r>
                      <w:rPr>
                        <w:sz w:val="20"/>
                        <w:lang w:eastAsia="lt-LT"/>
                      </w:rPr>
                      <w:t xml:space="preserve">Kitos </w:t>
                    </w:r>
                  </w:p>
                </w:tc>
                <w:tc>
                  <w:tcPr>
                    <w:tcW w:w="972" w:type="dxa"/>
                    <w:noWrap/>
                  </w:tcPr>
                  <w:p>
                    <w:pPr>
                      <w:spacing w:line="276" w:lineRule="auto"/>
                      <w:ind w:firstLine="60"/>
                      <w:rPr>
                        <w:sz w:val="20"/>
                        <w:lang w:eastAsia="lt-LT"/>
                      </w:rPr>
                    </w:pPr>
                  </w:p>
                </w:tc>
                <w:tc>
                  <w:tcPr>
                    <w:tcW w:w="1610" w:type="dxa"/>
                    <w:noWrap/>
                  </w:tcPr>
                  <w:p>
                    <w:pPr>
                      <w:spacing w:line="276" w:lineRule="auto"/>
                      <w:ind w:firstLine="60"/>
                      <w:rPr>
                        <w:b/>
                        <w:bCs/>
                        <w:sz w:val="20"/>
                        <w:lang w:eastAsia="lt-LT"/>
                      </w:rPr>
                    </w:pPr>
                  </w:p>
                </w:tc>
                <w:tc>
                  <w:tcPr>
                    <w:tcW w:w="1487" w:type="dxa"/>
                  </w:tcPr>
                  <w:p>
                    <w:pPr>
                      <w:spacing w:line="276" w:lineRule="auto"/>
                      <w:ind w:firstLine="60"/>
                      <w:rPr>
                        <w:b/>
                        <w:bCs/>
                        <w:sz w:val="20"/>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2.1.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b/>
                        <w:bCs/>
                        <w:sz w:val="20"/>
                        <w:lang w:eastAsia="lt-LT"/>
                      </w:rPr>
                    </w:pPr>
                    <w:r>
                      <w:rPr>
                        <w:sz w:val="20"/>
                        <w:lang w:eastAsia="lt-LT"/>
                      </w:rPr>
                      <w:t>PRIVALOMOJO SVEIKATOS DRAUDIMO FONDO SOCIALINIŲ IŠMOKŲ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2.1.1.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b/>
                        <w:bCs/>
                        <w:sz w:val="20"/>
                        <w:lang w:eastAsia="lt-LT"/>
                      </w:rPr>
                    </w:pPr>
                    <w:r>
                      <w:rPr>
                        <w:sz w:val="20"/>
                        <w:lang w:eastAsia="lt-LT"/>
                      </w:rPr>
                      <w:t>Asmens sveikatos priežiūros paslaugų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2.1.2.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b/>
                        <w:bCs/>
                        <w:sz w:val="20"/>
                        <w:lang w:eastAsia="lt-LT"/>
                      </w:rPr>
                    </w:pPr>
                    <w:r>
                      <w:rPr>
                        <w:sz w:val="20"/>
                        <w:lang w:eastAsia="lt-LT"/>
                      </w:rPr>
                      <w:t>Vaistų, medicinos pagalbos priemonių ir medicinos priemonių nuomos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Medicininės reabilitacijos ir sanatorinio gydymo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Ortopedijos techninių priemonių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Sveikatos programų ir kitų sveikatos draudimo išlaidų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2.1.6.</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Kitų socialinių išmokų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PRIVALOMOJO SVEIKATOS DRAUDIMO FONDO SOCIALINIŲ ĮMOKŲ NUVERTĖJIMO IR NURAŠYTŲ SUMŲ SĄNAUDOS (neatgautinos arba abejotinai atgautinos sumos)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SU DARBO SANTYKIAIS SUSIJUSIŲ IŠMOKŲ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2.3.1.</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Darbo užmokesčio ir socialinio draudimo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2.3.2.</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159"/>
                      <w:rPr>
                        <w:sz w:val="20"/>
                        <w:lang w:eastAsia="lt-LT"/>
                      </w:rPr>
                    </w:pPr>
                    <w:r>
                      <w:rPr>
                        <w:sz w:val="20"/>
                        <w:lang w:eastAsia="lt-LT"/>
                      </w:rPr>
                      <w:t>Socialinių ir kitų išmokų darbuotojams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 xml:space="preserve">PREKIŲ IR PASLAUGŲ SĄNAUDOS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NUSIDĖVĖJIMO IR AMORTIZACIJOS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2.6.</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KITOS NUVERTĖJIMO IR NURAŠYTŲ SUMŲ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2.7.</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ATSARGŲ NURAŠYMO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2.8.</w:t>
                    </w:r>
                  </w:p>
                </w:tc>
                <w:tc>
                  <w:tcPr>
                    <w:tcW w:w="481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sz w:val="20"/>
                        <w:lang w:eastAsia="lt-LT"/>
                      </w:rPr>
                    </w:pPr>
                    <w:r>
                      <w:rPr>
                        <w:sz w:val="20"/>
                        <w:lang w:eastAsia="lt-LT"/>
                      </w:rPr>
                      <w:t>KITŲ SOCIALINIŲ IŠMOKŲ, STIPENDIJŲ, PRIZŲ IR PREMIJŲ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2.9.</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sz w:val="20"/>
                        <w:lang w:eastAsia="lt-LT"/>
                      </w:rPr>
                    </w:pPr>
                    <w:r>
                      <w:rPr>
                        <w:sz w:val="20"/>
                        <w:lang w:eastAsia="lt-LT"/>
                      </w:rPr>
                      <w:t>FINANSAVIMO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2.10.</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right="-57"/>
                      <w:rPr>
                        <w:b/>
                        <w:bCs/>
                        <w:sz w:val="20"/>
                        <w:lang w:eastAsia="lt-LT"/>
                      </w:rPr>
                    </w:pPr>
                    <w:r>
                      <w:rPr>
                        <w:sz w:val="20"/>
                        <w:lang w:eastAsia="lt-LT"/>
                      </w:rPr>
                      <w:t>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2.10.1.</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Finansinio turto vertės sumažėjimas, perleidimo nuostolis, nuvertėjimas ir nurašymas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2.10.2.</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Palūkanų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2.10.3.</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Kitos 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2.11.</w:t>
                    </w:r>
                  </w:p>
                </w:tc>
                <w:tc>
                  <w:tcPr>
                    <w:tcW w:w="4816"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159" w:firstLine="20"/>
                      <w:jc w:val="both"/>
                      <w:rPr>
                        <w:bCs/>
                        <w:sz w:val="20"/>
                        <w:lang w:eastAsia="lt-LT"/>
                      </w:rPr>
                    </w:pPr>
                    <w:r>
                      <w:rPr>
                        <w:bCs/>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816"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c>
                  <w:tcPr>
                    <w:tcW w:w="114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816"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6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87"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pPr>
              <w:r>
                <w:t>________________________</w:t>
              </w:r>
            </w:p>
            <w:p>
              <w:pPr>
                <w:rPr>
                  <w:szCs w:val="24"/>
                  <w:lang w:eastAsia="lt-LT"/>
                </w:rPr>
              </w:pPr>
            </w:p>
            <w:p>
              <w:pPr>
                <w:rPr>
                  <w:szCs w:val="24"/>
                  <w:lang w:eastAsia="lt-LT"/>
                </w:rPr>
              </w:pPr>
              <w:r>
                <w:rPr>
                  <w:szCs w:val="24"/>
                  <w:lang w:eastAsia="lt-LT"/>
                </w:rPr>
                <w:br w:type="page"/>
              </w:r>
            </w:p>
            <w:p>
              <w:pPr>
                <w:rPr>
                  <w:szCs w:val="24"/>
                  <w:lang w:eastAsia="lt-LT"/>
                </w:rPr>
                <w:sectPr>
                  <w:pgSz w:w="11906" w:h="16838"/>
                  <w:pgMar w:top="1134" w:right="567" w:bottom="1134" w:left="1701" w:header="567" w:footer="567" w:gutter="0"/>
                  <w:cols w:space="1296"/>
                </w:sectPr>
              </w:pPr>
            </w:p>
          </w:sdtContent>
        </w:sdt>
        <w:sdt>
          <w:sdtPr>
            <w:alias w:val="skirsnis"/>
            <w:tag w:val="part_05c915672638493c8f5213d91b1bf59b"/>
            <w:lock w:val="sdtLocked"/>
            <w:richText/>
          </w:sdtPr>
          <w:sdtContent>
            <w:p>
              <w:pPr>
                <w:jc w:val="center"/>
                <w:rPr>
                  <w:b/>
                  <w:lang w:val="es-ES"/>
                </w:rPr>
              </w:pPr>
              <w:sdt>
                <w:sdtPr>
                  <w:alias w:val="Pavadinimas"/>
                  <w:tag w:val="title_05c915672638493c8f5213d91b1bf59b"/>
                  <w:lock w:val="sdtLocked"/>
                  <w:richText/>
                </w:sdtPr>
                <w:sdtContent>
                  <w:r>
                    <w:rPr>
                      <w:b/>
                    </w:rPr>
                    <w:t>GRYNOJO TURTO POKYČIŲ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 xml:space="preserve">________________ </w:t>
              </w:r>
              <w:r>
                <w:rPr>
                  <w:b/>
                  <w:bCs/>
                  <w:szCs w:val="24"/>
                  <w:lang w:eastAsia="lt-LT"/>
                </w:rPr>
                <w:t>D. DUOMENIS</w:t>
              </w:r>
            </w:p>
            <w:p>
              <w:pPr>
                <w:tabs>
                  <w:tab w:val="left" w:pos="913"/>
                  <w:tab w:val="left" w:pos="6320"/>
                  <w:tab w:val="left" w:pos="9372"/>
                  <w:tab w:val="left" w:pos="10344"/>
                  <w:tab w:val="left" w:pos="11584"/>
                </w:tabs>
                <w:jc w:val="center"/>
                <w:rPr>
                  <w:szCs w:val="24"/>
                  <w:lang w:eastAsia="lt-LT"/>
                </w:rPr>
              </w:pPr>
            </w:p>
            <w:p>
              <w:pPr>
                <w:ind w:right="118"/>
                <w:jc w:val="right"/>
                <w:rPr>
                  <w:i/>
                  <w:iCs/>
                  <w:sz w:val="20"/>
                  <w:lang w:eastAsia="lt-LT"/>
                </w:rPr>
              </w:pPr>
              <w:r>
                <w:rPr>
                  <w:i/>
                  <w:iCs/>
                  <w:sz w:val="20"/>
                  <w:lang w:eastAsia="lt-LT"/>
                </w:rPr>
                <w:t>Pateikimo valiuta ir tikslumas: eurai</w:t>
              </w:r>
            </w:p>
            <w:tbl>
              <w:tblPr>
                <w:tblW w:w="0" w:type="auto"/>
                <w:tblInd w:w="93" w:type="dxa"/>
                <w:tblLayout w:type="fixed"/>
                <w:tblLook w:val="04A0" w:firstRow="1" w:lastRow="0" w:firstColumn="1" w:lastColumn="0" w:noHBand="0" w:noVBand="1"/>
              </w:tblPr>
              <w:tblGrid>
                <w:gridCol w:w="669"/>
                <w:gridCol w:w="3424"/>
                <w:gridCol w:w="1129"/>
                <w:gridCol w:w="1646"/>
                <w:gridCol w:w="3353"/>
                <w:gridCol w:w="1934"/>
                <w:gridCol w:w="1779"/>
                <w:gridCol w:w="647"/>
              </w:tblGrid>
              <w:tr>
                <w:trPr>
                  <w:trHeight w:val="353"/>
                </w:trPr>
                <w:tc>
                  <w:tcPr>
                    <w:tcW w:w="669"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Eil. Nr.</w:t>
                    </w:r>
                  </w:p>
                </w:tc>
                <w:tc>
                  <w:tcPr>
                    <w:tcW w:w="3424"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Straipsniai</w:t>
                    </w:r>
                  </w:p>
                </w:tc>
                <w:tc>
                  <w:tcPr>
                    <w:tcW w:w="1129" w:type="dxa"/>
                    <w:vMerge w:val="restart"/>
                    <w:tcBorders>
                      <w:top w:val="single" w:sz="4" w:space="0" w:color="auto"/>
                      <w:left w:val="single" w:sz="4" w:space="0" w:color="auto"/>
                      <w:right w:val="single" w:sz="4" w:space="0" w:color="auto"/>
                    </w:tcBorders>
                    <w:vAlign w:val="center"/>
                    <w:hideMark/>
                  </w:tcPr>
                  <w:p>
                    <w:pPr>
                      <w:rPr>
                        <w:b/>
                        <w:bCs/>
                        <w:sz w:val="20"/>
                        <w:lang w:eastAsia="lt-LT"/>
                      </w:rPr>
                    </w:pPr>
                    <w:r>
                      <w:rPr>
                        <w:b/>
                        <w:bCs/>
                        <w:sz w:val="20"/>
                        <w:lang w:eastAsia="lt-LT"/>
                      </w:rPr>
                      <w:t>Pastabos Nr.</w:t>
                    </w:r>
                  </w:p>
                </w:tc>
                <w:tc>
                  <w:tcPr>
                    <w:tcW w:w="1646" w:type="dxa"/>
                    <w:vMerge w:val="restart"/>
                    <w:tcBorders>
                      <w:top w:val="single" w:sz="4" w:space="0" w:color="auto"/>
                      <w:left w:val="nil"/>
                      <w:right w:val="single" w:sz="4" w:space="0" w:color="auto"/>
                    </w:tcBorders>
                    <w:shd w:val="clear" w:color="auto" w:fill="auto"/>
                    <w:vAlign w:val="center"/>
                    <w:hideMark/>
                  </w:tcPr>
                  <w:p>
                    <w:pPr>
                      <w:jc w:val="center"/>
                      <w:rPr>
                        <w:b/>
                        <w:bCs/>
                        <w:sz w:val="20"/>
                        <w:lang w:eastAsia="lt-LT"/>
                      </w:rPr>
                    </w:pPr>
                    <w:r>
                      <w:rPr>
                        <w:b/>
                        <w:bCs/>
                        <w:sz w:val="20"/>
                        <w:lang w:eastAsia="lt-LT"/>
                      </w:rPr>
                      <w:t>Tikrosios vertės rezervas</w:t>
                    </w:r>
                  </w:p>
                </w:tc>
                <w:tc>
                  <w:tcPr>
                    <w:tcW w:w="3353" w:type="dxa"/>
                    <w:vMerge w:val="restart"/>
                    <w:tcBorders>
                      <w:top w:val="single" w:sz="4" w:space="0" w:color="auto"/>
                      <w:left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Privalomojo sveikatos draudimo fondo biudžeto rezervas</w:t>
                    </w:r>
                  </w:p>
                </w:tc>
                <w:tc>
                  <w:tcPr>
                    <w:tcW w:w="3713" w:type="dxa"/>
                    <w:gridSpan w:val="2"/>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 xml:space="preserve">Sukauptas perviršis ar deficitas </w:t>
                    </w:r>
                  </w:p>
                </w:tc>
                <w:tc>
                  <w:tcPr>
                    <w:tcW w:w="647" w:type="dxa"/>
                    <w:vMerge w:val="restart"/>
                    <w:tcBorders>
                      <w:top w:val="single" w:sz="4" w:space="0" w:color="auto"/>
                      <w:left w:val="single" w:sz="4" w:space="0" w:color="auto"/>
                      <w:right w:val="single" w:sz="4" w:space="0" w:color="auto"/>
                    </w:tcBorders>
                    <w:vAlign w:val="center"/>
                    <w:hideMark/>
                  </w:tcPr>
                  <w:p>
                    <w:pPr>
                      <w:jc w:val="center"/>
                      <w:rPr>
                        <w:b/>
                        <w:bCs/>
                        <w:sz w:val="20"/>
                        <w:lang w:eastAsia="lt-LT"/>
                      </w:rPr>
                    </w:pPr>
                    <w:r>
                      <w:rPr>
                        <w:b/>
                        <w:bCs/>
                        <w:sz w:val="20"/>
                        <w:lang w:eastAsia="lt-LT"/>
                      </w:rPr>
                      <w:t>Iš viso</w:t>
                    </w:r>
                  </w:p>
                </w:tc>
              </w:tr>
              <w:tr>
                <w:trPr>
                  <w:trHeight w:val="561"/>
                </w:trPr>
                <w:tc>
                  <w:tcPr>
                    <w:tcW w:w="669" w:type="dxa"/>
                    <w:vMerge/>
                    <w:tcBorders>
                      <w:left w:val="single" w:sz="4" w:space="0" w:color="auto"/>
                      <w:bottom w:val="single" w:sz="4" w:space="0" w:color="000000"/>
                      <w:right w:val="single" w:sz="4" w:space="0" w:color="auto"/>
                    </w:tcBorders>
                    <w:vAlign w:val="center"/>
                  </w:tcPr>
                  <w:p>
                    <w:pPr>
                      <w:rPr>
                        <w:b/>
                        <w:bCs/>
                        <w:sz w:val="20"/>
                        <w:lang w:eastAsia="lt-LT"/>
                      </w:rPr>
                    </w:pPr>
                  </w:p>
                </w:tc>
                <w:tc>
                  <w:tcPr>
                    <w:tcW w:w="3424" w:type="dxa"/>
                    <w:vMerge/>
                    <w:tcBorders>
                      <w:left w:val="single" w:sz="4" w:space="0" w:color="auto"/>
                      <w:bottom w:val="single" w:sz="4" w:space="0" w:color="auto"/>
                      <w:right w:val="single" w:sz="4" w:space="0" w:color="auto"/>
                    </w:tcBorders>
                    <w:vAlign w:val="center"/>
                  </w:tcPr>
                  <w:p>
                    <w:pPr>
                      <w:rPr>
                        <w:b/>
                        <w:bCs/>
                        <w:sz w:val="20"/>
                        <w:lang w:eastAsia="lt-LT"/>
                      </w:rPr>
                    </w:pPr>
                  </w:p>
                </w:tc>
                <w:tc>
                  <w:tcPr>
                    <w:tcW w:w="1129" w:type="dxa"/>
                    <w:vMerge/>
                    <w:tcBorders>
                      <w:left w:val="single" w:sz="4" w:space="0" w:color="auto"/>
                      <w:bottom w:val="single" w:sz="4" w:space="0" w:color="auto"/>
                      <w:right w:val="single" w:sz="4" w:space="0" w:color="auto"/>
                    </w:tcBorders>
                    <w:vAlign w:val="center"/>
                  </w:tcPr>
                  <w:p>
                    <w:pPr>
                      <w:rPr>
                        <w:b/>
                        <w:bCs/>
                        <w:sz w:val="20"/>
                        <w:lang w:eastAsia="lt-LT"/>
                      </w:rPr>
                    </w:pPr>
                  </w:p>
                </w:tc>
                <w:tc>
                  <w:tcPr>
                    <w:tcW w:w="1646" w:type="dxa"/>
                    <w:vMerge/>
                    <w:tcBorders>
                      <w:left w:val="nil"/>
                      <w:bottom w:val="single" w:sz="4" w:space="0" w:color="auto"/>
                      <w:right w:val="single" w:sz="4" w:space="0" w:color="auto"/>
                    </w:tcBorders>
                    <w:shd w:val="clear" w:color="auto" w:fill="auto"/>
                    <w:vAlign w:val="center"/>
                  </w:tcPr>
                  <w:p>
                    <w:pPr>
                      <w:jc w:val="center"/>
                      <w:rPr>
                        <w:b/>
                        <w:bCs/>
                        <w:sz w:val="20"/>
                        <w:lang w:eastAsia="lt-LT"/>
                      </w:rPr>
                    </w:pPr>
                  </w:p>
                </w:tc>
                <w:tc>
                  <w:tcPr>
                    <w:tcW w:w="3353" w:type="dxa"/>
                    <w:vMerge/>
                    <w:tcBorders>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934" w:type="dxa"/>
                    <w:tcBorders>
                      <w:top w:val="single" w:sz="4" w:space="0" w:color="auto"/>
                      <w:left w:val="nil"/>
                      <w:bottom w:val="single" w:sz="4" w:space="0" w:color="auto"/>
                      <w:right w:val="single" w:sz="4" w:space="0" w:color="auto"/>
                    </w:tcBorders>
                    <w:shd w:val="clear" w:color="auto" w:fill="auto"/>
                    <w:vAlign w:val="center"/>
                  </w:tcPr>
                  <w:p>
                    <w:pPr>
                      <w:ind w:left="-57" w:right="-57"/>
                      <w:jc w:val="center"/>
                      <w:rPr>
                        <w:b/>
                        <w:bCs/>
                        <w:sz w:val="20"/>
                        <w:lang w:eastAsia="lt-LT"/>
                      </w:rPr>
                    </w:pPr>
                    <w:r>
                      <w:rPr>
                        <w:b/>
                        <w:bCs/>
                        <w:sz w:val="20"/>
                        <w:lang w:eastAsia="lt-LT"/>
                      </w:rPr>
                      <w:t>Sukauptas perviršis ir deficitas</w:t>
                    </w:r>
                  </w:p>
                </w:tc>
                <w:tc>
                  <w:tcPr>
                    <w:tcW w:w="1779"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Nuosavybės metodo įtaka</w:t>
                    </w:r>
                  </w:p>
                </w:tc>
                <w:tc>
                  <w:tcPr>
                    <w:tcW w:w="647" w:type="dxa"/>
                    <w:vMerge/>
                    <w:tcBorders>
                      <w:left w:val="single" w:sz="4" w:space="0" w:color="auto"/>
                      <w:bottom w:val="single" w:sz="4" w:space="0" w:color="auto"/>
                      <w:right w:val="single" w:sz="4" w:space="0" w:color="auto"/>
                    </w:tcBorders>
                    <w:vAlign w:val="center"/>
                  </w:tcPr>
                  <w:p>
                    <w:pPr>
                      <w:rPr>
                        <w:b/>
                        <w:bCs/>
                        <w:sz w:val="20"/>
                        <w:lang w:eastAsia="lt-LT"/>
                      </w:rPr>
                    </w:pPr>
                  </w:p>
                </w:tc>
              </w:tr>
              <w:tr>
                <w:trPr>
                  <w:trHeight w:val="100"/>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w:t>
                    </w:r>
                  </w:p>
                </w:tc>
                <w:tc>
                  <w:tcPr>
                    <w:tcW w:w="3424"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1129" w:type="dxa"/>
                    <w:tcBorders>
                      <w:top w:val="nil"/>
                      <w:left w:val="nil"/>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3</w:t>
                    </w:r>
                  </w:p>
                </w:tc>
                <w:tc>
                  <w:tcPr>
                    <w:tcW w:w="1646"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4</w:t>
                    </w:r>
                  </w:p>
                </w:tc>
                <w:tc>
                  <w:tcPr>
                    <w:tcW w:w="3353" w:type="dxa"/>
                    <w:tcBorders>
                      <w:top w:val="single" w:sz="4" w:space="0" w:color="auto"/>
                      <w:left w:val="single" w:sz="4" w:space="0" w:color="auto"/>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5</w:t>
                    </w:r>
                  </w:p>
                </w:tc>
                <w:tc>
                  <w:tcPr>
                    <w:tcW w:w="1934" w:type="dxa"/>
                    <w:tcBorders>
                      <w:top w:val="single" w:sz="4" w:space="0" w:color="auto"/>
                      <w:left w:val="nil"/>
                      <w:bottom w:val="single" w:sz="4" w:space="0" w:color="auto"/>
                      <w:right w:val="single" w:sz="4" w:space="0" w:color="auto"/>
                    </w:tcBorders>
                    <w:shd w:val="clear" w:color="auto" w:fill="auto"/>
                    <w:hideMark/>
                  </w:tcPr>
                  <w:p>
                    <w:pPr>
                      <w:jc w:val="center"/>
                      <w:rPr>
                        <w:sz w:val="20"/>
                        <w:lang w:eastAsia="lt-LT"/>
                      </w:rPr>
                    </w:pPr>
                    <w:r>
                      <w:rPr>
                        <w:sz w:val="20"/>
                        <w:lang w:eastAsia="lt-LT"/>
                      </w:rPr>
                      <w:t>6</w:t>
                    </w:r>
                  </w:p>
                </w:tc>
                <w:tc>
                  <w:tcPr>
                    <w:tcW w:w="1779" w:type="dxa"/>
                    <w:tcBorders>
                      <w:top w:val="single" w:sz="4" w:space="0" w:color="auto"/>
                      <w:left w:val="nil"/>
                      <w:bottom w:val="single" w:sz="4" w:space="0" w:color="auto"/>
                      <w:right w:val="single" w:sz="4" w:space="0" w:color="auto"/>
                    </w:tcBorders>
                    <w:shd w:val="clear" w:color="auto" w:fill="auto"/>
                    <w:vAlign w:val="bottom"/>
                    <w:hideMark/>
                  </w:tcPr>
                  <w:p>
                    <w:pPr>
                      <w:jc w:val="center"/>
                      <w:rPr>
                        <w:sz w:val="20"/>
                        <w:lang w:eastAsia="lt-LT"/>
                      </w:rPr>
                    </w:pPr>
                    <w:r>
                      <w:rPr>
                        <w:sz w:val="20"/>
                        <w:lang w:eastAsia="lt-LT"/>
                      </w:rPr>
                      <w:t>7</w:t>
                    </w:r>
                  </w:p>
                </w:tc>
                <w:tc>
                  <w:tcPr>
                    <w:tcW w:w="647" w:type="dxa"/>
                    <w:tcBorders>
                      <w:top w:val="single" w:sz="4" w:space="0" w:color="auto"/>
                      <w:left w:val="nil"/>
                      <w:bottom w:val="single" w:sz="4" w:space="0" w:color="auto"/>
                      <w:right w:val="single" w:sz="4" w:space="0" w:color="auto"/>
                    </w:tcBorders>
                    <w:shd w:val="clear" w:color="auto" w:fill="auto"/>
                    <w:noWrap/>
                    <w:vAlign w:val="bottom"/>
                    <w:hideMark/>
                  </w:tcPr>
                  <w:p>
                    <w:pPr>
                      <w:jc w:val="center"/>
                      <w:rPr>
                        <w:sz w:val="20"/>
                        <w:lang w:eastAsia="lt-LT"/>
                      </w:rPr>
                    </w:pPr>
                    <w:r>
                      <w:rPr>
                        <w:sz w:val="20"/>
                        <w:lang w:eastAsia="lt-LT"/>
                      </w:rPr>
                      <w:t>8</w:t>
                    </w:r>
                  </w:p>
                </w:tc>
              </w:tr>
              <w:tr>
                <w:trPr>
                  <w:trHeight w:val="217"/>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w:t>
                    </w:r>
                  </w:p>
                </w:tc>
                <w:tc>
                  <w:tcPr>
                    <w:tcW w:w="3424" w:type="dxa"/>
                    <w:tcBorders>
                      <w:top w:val="nil"/>
                      <w:left w:val="nil"/>
                      <w:bottom w:val="single" w:sz="4" w:space="0" w:color="auto"/>
                      <w:right w:val="single" w:sz="4" w:space="0" w:color="auto"/>
                    </w:tcBorders>
                    <w:shd w:val="clear" w:color="auto" w:fill="auto"/>
                    <w:hideMark/>
                  </w:tcPr>
                  <w:p>
                    <w:pPr>
                      <w:rPr>
                        <w:b/>
                        <w:bCs/>
                        <w:sz w:val="20"/>
                        <w:lang w:eastAsia="lt-LT"/>
                      </w:rPr>
                    </w:pPr>
                    <w:r>
                      <w:rPr>
                        <w:b/>
                        <w:bCs/>
                        <w:sz w:val="20"/>
                        <w:lang w:eastAsia="lt-LT"/>
                      </w:rPr>
                      <w:t>Likutis 20XX m. gruodžio 31 d.</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b/>
                        <w:bCs/>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13"/>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2.</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Perimto ilgalaikio turto iš kito viešojo sektoriaus subjekto įtaka</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88"/>
                </w:trPr>
                <w:tc>
                  <w:tcPr>
                    <w:tcW w:w="66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w:t>
                    </w:r>
                  </w:p>
                </w:tc>
                <w:tc>
                  <w:tcPr>
                    <w:tcW w:w="3424"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Perduoto arba parduoto ilgalaikio turto kitam subjektui įtaka</w:t>
                    </w:r>
                  </w:p>
                </w:tc>
                <w:tc>
                  <w:tcPr>
                    <w:tcW w:w="1129" w:type="dxa"/>
                    <w:tcBorders>
                      <w:top w:val="nil"/>
                      <w:left w:val="nil"/>
                      <w:bottom w:val="single" w:sz="4" w:space="0" w:color="auto"/>
                      <w:right w:val="single" w:sz="4" w:space="0" w:color="auto"/>
                    </w:tcBorders>
                    <w:shd w:val="clear" w:color="auto" w:fill="auto"/>
                  </w:tcPr>
                  <w:p>
                    <w:pPr>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6"/>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4.</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Kitos rezervų padidėjimo (sumažėjimo) sumos</w:t>
                    </w:r>
                  </w:p>
                </w:tc>
                <w:tc>
                  <w:tcPr>
                    <w:tcW w:w="1129"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93"/>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5.</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Pervedimai į Privalomojo sveikatos draudimo fondo biudžeto rezervą</w:t>
                    </w:r>
                  </w:p>
                </w:tc>
                <w:tc>
                  <w:tcPr>
                    <w:tcW w:w="1129"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21"/>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6.</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Panaudotas Privalomojo sveikatos draudimo fondo biudžeto rezervas</w:t>
                    </w:r>
                  </w:p>
                </w:tc>
                <w:tc>
                  <w:tcPr>
                    <w:tcW w:w="1129" w:type="dxa"/>
                    <w:tcBorders>
                      <w:top w:val="nil"/>
                      <w:left w:val="nil"/>
                      <w:bottom w:val="single" w:sz="4" w:space="0" w:color="auto"/>
                      <w:right w:val="single" w:sz="4" w:space="0" w:color="auto"/>
                    </w:tcBorders>
                    <w:shd w:val="clear" w:color="auto" w:fill="auto"/>
                    <w:hideMark/>
                  </w:tcPr>
                  <w:p>
                    <w:pPr>
                      <w:ind w:firstLine="62"/>
                      <w:rPr>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73"/>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7.</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31"/>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8.</w:t>
                    </w:r>
                  </w:p>
                </w:tc>
                <w:tc>
                  <w:tcPr>
                    <w:tcW w:w="3424"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rFonts w:ascii="Verdana" w:hAnsi="Verdana" w:cs="Arial"/>
                        <w:sz w:val="20"/>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rFonts w:ascii="Verdana" w:hAnsi="Verdana" w:cs="Arial"/>
                        <w:sz w:val="20"/>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52"/>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9.</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Perimto ilgalaikio turto iš kito viešojo sektoriaus subjekto įtaka</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252"/>
                </w:trPr>
                <w:tc>
                  <w:tcPr>
                    <w:tcW w:w="66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10.</w:t>
                    </w:r>
                  </w:p>
                </w:tc>
                <w:tc>
                  <w:tcPr>
                    <w:tcW w:w="3424" w:type="dxa"/>
                    <w:tcBorders>
                      <w:top w:val="nil"/>
                      <w:left w:val="nil"/>
                      <w:bottom w:val="single" w:sz="4" w:space="0" w:color="auto"/>
                      <w:right w:val="single" w:sz="4" w:space="0" w:color="auto"/>
                    </w:tcBorders>
                    <w:shd w:val="clear" w:color="auto" w:fill="auto"/>
                    <w:vAlign w:val="center"/>
                  </w:tcPr>
                  <w:p>
                    <w:pPr>
                      <w:rPr>
                        <w:sz w:val="20"/>
                        <w:lang w:eastAsia="lt-LT"/>
                      </w:rPr>
                    </w:pPr>
                    <w:r>
                      <w:rPr>
                        <w:sz w:val="20"/>
                        <w:lang w:eastAsia="lt-LT"/>
                      </w:rPr>
                      <w:t>Perduoto arba parduoto ilgalaikio turto kitam subjektui įtaka</w:t>
                    </w:r>
                  </w:p>
                </w:tc>
                <w:tc>
                  <w:tcPr>
                    <w:tcW w:w="1129" w:type="dxa"/>
                    <w:tcBorders>
                      <w:top w:val="nil"/>
                      <w:left w:val="nil"/>
                      <w:bottom w:val="single" w:sz="4" w:space="0" w:color="auto"/>
                      <w:right w:val="single" w:sz="4" w:space="0" w:color="auto"/>
                    </w:tcBorders>
                    <w:shd w:val="clear" w:color="auto" w:fill="auto"/>
                  </w:tcPr>
                  <w:p>
                    <w:pPr>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6"/>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11.</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Kitos rezervų padidėjimo (sumažėjimo) sumos</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96"/>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12.</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Pervedimai į Privalomojo sveikatos draudimo fondo biudžeto rezervą</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86"/>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13.</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Panaudotas Privalomojo sveikatos draudimo fondo biudžeto rezervas</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344"/>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lang w:eastAsia="lt-LT"/>
                      </w:rPr>
                    </w:pPr>
                    <w:r>
                      <w:rPr>
                        <w:sz w:val="20"/>
                        <w:lang w:eastAsia="lt-LT"/>
                      </w:rPr>
                      <w:t>14.</w:t>
                    </w:r>
                  </w:p>
                </w:tc>
                <w:tc>
                  <w:tcPr>
                    <w:tcW w:w="3424" w:type="dxa"/>
                    <w:tcBorders>
                      <w:top w:val="nil"/>
                      <w:left w:val="nil"/>
                      <w:bottom w:val="single" w:sz="4" w:space="0" w:color="auto"/>
                      <w:right w:val="single" w:sz="4" w:space="0" w:color="auto"/>
                    </w:tcBorders>
                    <w:shd w:val="clear" w:color="auto" w:fill="auto"/>
                    <w:vAlign w:val="center"/>
                    <w:hideMark/>
                  </w:tcPr>
                  <w:p>
                    <w:pPr>
                      <w:rPr>
                        <w:sz w:val="20"/>
                        <w:lang w:eastAsia="lt-LT"/>
                      </w:rPr>
                    </w:pPr>
                    <w:r>
                      <w:rPr>
                        <w:sz w:val="20"/>
                        <w:lang w:eastAsia="lt-LT"/>
                      </w:rPr>
                      <w:t>Ataskaitinio laikotarpio grynasis perviršis ar deficitas</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szCs w:val="24"/>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r>
                <w:trPr>
                  <w:trHeight w:val="115"/>
                </w:trPr>
                <w:tc>
                  <w:tcPr>
                    <w:tcW w:w="669" w:type="dxa"/>
                    <w:tcBorders>
                      <w:top w:val="nil"/>
                      <w:left w:val="single" w:sz="4" w:space="0" w:color="auto"/>
                      <w:bottom w:val="single" w:sz="4" w:space="0" w:color="auto"/>
                      <w:right w:val="single" w:sz="4" w:space="0" w:color="auto"/>
                    </w:tcBorders>
                    <w:shd w:val="clear" w:color="auto" w:fill="auto"/>
                    <w:vAlign w:val="center"/>
                    <w:hideMark/>
                  </w:tcPr>
                  <w:p>
                    <w:pPr>
                      <w:jc w:val="center"/>
                      <w:rPr>
                        <w:b/>
                        <w:bCs/>
                        <w:sz w:val="20"/>
                        <w:lang w:eastAsia="lt-LT"/>
                      </w:rPr>
                    </w:pPr>
                    <w:r>
                      <w:rPr>
                        <w:b/>
                        <w:bCs/>
                        <w:sz w:val="20"/>
                        <w:lang w:eastAsia="lt-LT"/>
                      </w:rPr>
                      <w:t>15.</w:t>
                    </w:r>
                  </w:p>
                </w:tc>
                <w:tc>
                  <w:tcPr>
                    <w:tcW w:w="3424" w:type="dxa"/>
                    <w:tcBorders>
                      <w:top w:val="nil"/>
                      <w:left w:val="nil"/>
                      <w:bottom w:val="single" w:sz="4" w:space="0" w:color="auto"/>
                      <w:right w:val="single" w:sz="4" w:space="0" w:color="auto"/>
                    </w:tcBorders>
                    <w:shd w:val="clear" w:color="auto" w:fill="auto"/>
                    <w:vAlign w:val="center"/>
                    <w:hideMark/>
                  </w:tcPr>
                  <w:p>
                    <w:pPr>
                      <w:rPr>
                        <w:b/>
                        <w:bCs/>
                        <w:sz w:val="20"/>
                        <w:lang w:eastAsia="lt-LT"/>
                      </w:rPr>
                    </w:pPr>
                    <w:r>
                      <w:rPr>
                        <w:b/>
                        <w:bCs/>
                        <w:sz w:val="20"/>
                        <w:lang w:eastAsia="lt-LT"/>
                      </w:rPr>
                      <w:t>Likutis 20XX m. gruodžio 31 d.</w:t>
                    </w:r>
                  </w:p>
                </w:tc>
                <w:tc>
                  <w:tcPr>
                    <w:tcW w:w="1129" w:type="dxa"/>
                    <w:tcBorders>
                      <w:top w:val="nil"/>
                      <w:left w:val="nil"/>
                      <w:bottom w:val="single" w:sz="4" w:space="0" w:color="auto"/>
                      <w:right w:val="single" w:sz="4" w:space="0" w:color="auto"/>
                    </w:tcBorders>
                    <w:shd w:val="clear" w:color="auto" w:fill="auto"/>
                    <w:hideMark/>
                  </w:tcPr>
                  <w:p>
                    <w:pPr>
                      <w:ind w:firstLine="62"/>
                      <w:rPr>
                        <w:b/>
                        <w:bCs/>
                        <w:szCs w:val="24"/>
                        <w:lang w:eastAsia="lt-LT"/>
                      </w:rPr>
                    </w:pPr>
                  </w:p>
                </w:tc>
                <w:tc>
                  <w:tcPr>
                    <w:tcW w:w="1646" w:type="dxa"/>
                    <w:tcBorders>
                      <w:top w:val="nil"/>
                      <w:left w:val="nil"/>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3353" w:type="dxa"/>
                    <w:tcBorders>
                      <w:top w:val="nil"/>
                      <w:left w:val="single" w:sz="4" w:space="0" w:color="auto"/>
                      <w:bottom w:val="single" w:sz="4" w:space="0" w:color="auto"/>
                      <w:right w:val="single" w:sz="4" w:space="0" w:color="auto"/>
                    </w:tcBorders>
                    <w:shd w:val="clear" w:color="auto" w:fill="auto"/>
                    <w:vAlign w:val="center"/>
                  </w:tcPr>
                  <w:p>
                    <w:pPr>
                      <w:jc w:val="center"/>
                      <w:rPr>
                        <w:rFonts w:ascii="Verdana" w:hAnsi="Verdana" w:cs="Arial"/>
                        <w:b/>
                        <w:bCs/>
                        <w:sz w:val="20"/>
                        <w:lang w:eastAsia="lt-LT"/>
                      </w:rPr>
                    </w:pPr>
                  </w:p>
                </w:tc>
                <w:tc>
                  <w:tcPr>
                    <w:tcW w:w="1934"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1779" w:type="dxa"/>
                    <w:tcBorders>
                      <w:top w:val="nil"/>
                      <w:left w:val="nil"/>
                      <w:bottom w:val="single" w:sz="4" w:space="0" w:color="auto"/>
                      <w:right w:val="single" w:sz="4" w:space="0" w:color="auto"/>
                    </w:tcBorders>
                    <w:shd w:val="clear" w:color="auto" w:fill="auto"/>
                    <w:vAlign w:val="center"/>
                  </w:tcPr>
                  <w:p>
                    <w:pPr>
                      <w:jc w:val="center"/>
                      <w:rPr>
                        <w:b/>
                        <w:bCs/>
                        <w:szCs w:val="24"/>
                        <w:lang w:eastAsia="lt-LT"/>
                      </w:rPr>
                    </w:pPr>
                  </w:p>
                </w:tc>
                <w:tc>
                  <w:tcPr>
                    <w:tcW w:w="647" w:type="dxa"/>
                    <w:tcBorders>
                      <w:top w:val="nil"/>
                      <w:left w:val="nil"/>
                      <w:bottom w:val="single" w:sz="4" w:space="0" w:color="auto"/>
                      <w:right w:val="single" w:sz="4" w:space="0" w:color="auto"/>
                    </w:tcBorders>
                    <w:shd w:val="clear" w:color="auto" w:fill="auto"/>
                    <w:noWrap/>
                    <w:vAlign w:val="bottom"/>
                  </w:tcPr>
                  <w:p>
                    <w:pPr>
                      <w:rPr>
                        <w:rFonts w:ascii="Arial" w:hAnsi="Arial" w:cs="Arial"/>
                        <w:sz w:val="20"/>
                        <w:lang w:eastAsia="lt-LT"/>
                      </w:rPr>
                    </w:pPr>
                  </w:p>
                </w:tc>
              </w:tr>
            </w:tbl>
            <w:p>
              <w:pPr>
                <w:spacing w:line="240" w:lineRule="atLeast"/>
                <w:ind w:left="2592" w:hanging="2592"/>
                <w:jc w:val="center"/>
              </w:pPr>
              <w:r>
                <w:t>______________________</w:t>
              </w:r>
            </w:p>
            <w:p>
              <w:pPr>
                <w:sectPr>
                  <w:pgSz w:w="16838" w:h="11906" w:orient="landscape"/>
                  <w:pgMar w:top="1440" w:right="1077" w:bottom="1134" w:left="1077" w:header="567" w:footer="567" w:gutter="0"/>
                  <w:cols w:space="1296"/>
                  <w:docGrid w:linePitch="326"/>
                </w:sectPr>
              </w:pPr>
            </w:p>
          </w:sdtContent>
        </w:sdt>
        <w:sdt>
          <w:sdtPr>
            <w:alias w:val="skirsnis"/>
            <w:tag w:val="part_95518bd9d5534a4d9c235a8cbe1af753"/>
            <w:lock w:val="sdtLocked"/>
            <w:richText/>
          </w:sdtPr>
          <w:sdtContent>
            <w:p>
              <w:pPr>
                <w:suppressAutoHyphens/>
                <w:jc w:val="center"/>
                <w:textAlignment w:val="baseline"/>
                <w:rPr>
                  <w:b/>
                  <w:bCs/>
                  <w:szCs w:val="24"/>
                  <w:lang w:eastAsia="lt-LT"/>
                </w:rPr>
              </w:pPr>
              <w:sdt>
                <w:sdtPr>
                  <w:alias w:val="Pavadinimas"/>
                  <w:tag w:val="title_95518bd9d5534a4d9c235a8cbe1af753"/>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Pateikimo valiuta ir tikslumas: eurais</w:t>
              </w:r>
            </w:p>
            <w:tbl>
              <w:tblPr>
                <w:tblW w:w="9070" w:type="dxa"/>
                <w:tblCellMar>
                  <w:left w:w="10" w:type="dxa"/>
                  <w:right w:w="10" w:type="dxa"/>
                </w:tblCellMar>
                <w:tblLook w:val="04A0" w:firstRow="1" w:lastRow="0" w:firstColumn="1" w:lastColumn="0" w:noHBand="0" w:noVBand="1"/>
              </w:tblPr>
              <w:tblGrid>
                <w:gridCol w:w="817"/>
                <w:gridCol w:w="4847"/>
                <w:gridCol w:w="972"/>
                <w:gridCol w:w="1239"/>
                <w:gridCol w:w="1195"/>
              </w:tblGrid>
              <w:tr>
                <w:trPr>
                  <w:trHeight w:val="542"/>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0"/>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0"/>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savivaldybių biudžetų</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Europos Sąjungos, užsienio valstybių ir tarptautinių organizacijų</w:t>
                    </w:r>
                  </w:p>
                </w:tc>
                <w:tc>
                  <w:tcPr>
                    <w:tcW w:w="9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Už suteiktas paslaugas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2"/>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2"/>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savivaldybių biudžetus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Europos Sąjungai, užsienio valstybėms ir tarptautinėms organizacijoms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Į kitus išteklių</w:t>
                    </w:r>
                    <w:r>
                      <w:rPr>
                        <w:b/>
                        <w:bCs/>
                        <w:sz w:val="20"/>
                        <w:lang w:eastAsia="lt-LT"/>
                      </w:rPr>
                      <w:t xml:space="preserve"> </w:t>
                    </w:r>
                    <w:r>
                      <w:rPr>
                        <w:sz w:val="20"/>
                        <w:lang w:eastAsia="lt-LT"/>
                      </w:rPr>
                      <w:t xml:space="preserve">fondus, mokesčių fondus ir fondų fondus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1.2.6.</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Darbo užmokesčio ir socialinio draudimo</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Socialinių ir kitų išmokų darbuotojams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 xml:space="preserve">Prekėms ir paslaugoms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Socialinėms išmokoms, stipendijoms, prizams ir premijoms: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27"/>
                      <w:textAlignment w:val="baseline"/>
                      <w:rPr>
                        <w:sz w:val="20"/>
                        <w:lang w:eastAsia="lt-LT"/>
                      </w:rPr>
                    </w:pPr>
                    <w:r>
                      <w:rPr>
                        <w:sz w:val="20"/>
                        <w:lang w:eastAsia="lt-LT"/>
                      </w:rPr>
                      <w:t xml:space="preserve">Privalomojo sveikatos draudimo </w:t>
                    </w:r>
                    <w:r>
                      <w:rPr>
                        <w:sz w:val="20"/>
                      </w:rPr>
                      <w:t xml:space="preserve">fondo socialinėms išmokoms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98"/>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327"/>
                      <w:textAlignment w:val="baseline"/>
                      <w:rPr>
                        <w:sz w:val="20"/>
                        <w:lang w:eastAsia="lt-LT"/>
                      </w:rPr>
                    </w:pPr>
                    <w:r>
                      <w:rPr>
                        <w:sz w:val="20"/>
                        <w:lang w:eastAsia="lt-LT"/>
                      </w:rPr>
                      <w:t>Kitoms socialinėms išmokoms, stipendijoms, prizams ir premijoms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3"/>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7"/>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Išmokos įsigijus ilgalaikį turtą (išskyrus finansinį)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Įplaukos perleidus ilgalaikį turtą (išskyrus finansinį)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 xml:space="preserve">Išmokos įsigijus ilgalaikį finansinį turtą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2.4.</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 xml:space="preserve">Įplaukos perleidus ilgalaikį finansinį turtą </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Finansinės nuomos (lizingo) įsipareigojimų apmokėjimas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Gautos finansavimo sumos ilgalaikiam turtui įsigyti: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3.4.1.</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33"/>
                      <w:textAlignment w:val="baseline"/>
                      <w:rPr>
                        <w:sz w:val="20"/>
                        <w:lang w:eastAsia="lt-LT"/>
                      </w:rPr>
                    </w:pPr>
                    <w:r>
                      <w:rPr>
                        <w:sz w:val="20"/>
                        <w:lang w:eastAsia="lt-LT"/>
                      </w:rPr>
                      <w:t>Iš valstybės biudžeto</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3.4.2.</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33"/>
                      <w:textAlignment w:val="baseline"/>
                      <w:rPr>
                        <w:sz w:val="20"/>
                        <w:lang w:eastAsia="lt-LT"/>
                      </w:rPr>
                    </w:pPr>
                    <w:r>
                      <w:rPr>
                        <w:sz w:val="20"/>
                        <w:lang w:eastAsia="lt-LT"/>
                      </w:rPr>
                      <w:t>Iš savivaldybių biudžetų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3.4.3.</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33"/>
                      <w:textAlignment w:val="baseline"/>
                      <w:rPr>
                        <w:sz w:val="20"/>
                        <w:lang w:eastAsia="lt-LT"/>
                      </w:rPr>
                    </w:pPr>
                    <w:r>
                      <w:rPr>
                        <w:sz w:val="20"/>
                        <w:lang w:eastAsia="lt-LT"/>
                      </w:rPr>
                      <w:t>Iš Europos Sąjungos, užsienio valstybių ir tarptautinių organizacijų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3.4.4.</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33"/>
                      <w:textAlignment w:val="baseline"/>
                      <w:rPr>
                        <w:sz w:val="20"/>
                        <w:lang w:eastAsia="lt-LT"/>
                      </w:rPr>
                    </w:pPr>
                    <w:r>
                      <w:rPr>
                        <w:sz w:val="20"/>
                        <w:lang w:eastAsia="lt-LT"/>
                      </w:rPr>
                      <w:t>Iš viešojo sektoriaus subjektų pajamų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133"/>
                      <w:textAlignment w:val="baseline"/>
                      <w:rPr>
                        <w:sz w:val="20"/>
                        <w:lang w:eastAsia="lt-LT"/>
                      </w:rPr>
                    </w:pPr>
                    <w:r>
                      <w:rPr>
                        <w:sz w:val="20"/>
                        <w:lang w:eastAsia="lt-LT"/>
                      </w:rPr>
                      <w:t>Iš fizinių ir privačių juridinių asmenų</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3.5.</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textAlignment w:val="baseline"/>
                      <w:rPr>
                        <w:sz w:val="20"/>
                        <w:lang w:eastAsia="lt-LT"/>
                      </w:rPr>
                    </w:pPr>
                    <w:r>
                      <w:rPr>
                        <w:sz w:val="20"/>
                        <w:lang w:eastAsia="lt-LT"/>
                      </w:rPr>
                      <w:t>Grąžintos ir perduotos finansavimo sumos ilgalaikiam turtui įsigyti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3.6.</w:t>
                    </w:r>
                  </w:p>
                </w:tc>
                <w:tc>
                  <w:tcPr>
                    <w:tcW w:w="484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99"/>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2"/>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484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3"/>
                </w:trPr>
                <w:tc>
                  <w:tcPr>
                    <w:tcW w:w="81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484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97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2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19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726"/>
                  <w:tab w:val="left" w:pos="4148"/>
                  <w:tab w:val="left" w:pos="7113"/>
                </w:tabs>
                <w:suppressAutoHyphens/>
                <w:jc w:val="right"/>
                <w:textAlignment w:val="baseline"/>
                <w:rPr>
                  <w:i/>
                  <w:iCs/>
                  <w:sz w:val="20"/>
                  <w:lang w:eastAsia="lt-LT"/>
                </w:rPr>
              </w:pPr>
            </w:p>
            <w:p>
              <w:pPr>
                <w:tabs>
                  <w:tab w:val="left" w:pos="913"/>
                  <w:tab w:val="left" w:pos="6320"/>
                  <w:tab w:val="left" w:pos="9690"/>
                </w:tabs>
                <w:spacing w:line="240" w:lineRule="atLeast"/>
                <w:jc w:val="center"/>
                <w:rPr>
                  <w:szCs w:val="24"/>
                  <w:lang w:eastAsia="lt-LT"/>
                </w:rPr>
              </w:pPr>
              <w:r>
                <w:rPr>
                  <w:szCs w:val="24"/>
                  <w:lang w:eastAsia="lt-LT"/>
                </w:rPr>
                <w:t>____________________________</w:t>
              </w:r>
            </w:p>
            <w:p>
              <w:pPr>
                <w:rPr>
                  <w:szCs w:val="24"/>
                  <w:lang w:eastAsia="lt-LT"/>
                </w:rPr>
              </w:pPr>
              <w:r>
                <w:rPr>
                  <w:szCs w:val="24"/>
                  <w:lang w:eastAsia="lt-LT"/>
                </w:rPr>
                <w:br w:type="page"/>
              </w:r>
            </w:p>
          </w:sdtContent>
        </w:sdt>
      </w:sdtContent>
    </w:sdt>
    <w:sdt>
      <w:sdtPr>
        <w:alias w:val="3 pr."/>
        <w:tag w:val="part_d8277158a86d449eb046555f9370d973"/>
        <w:lock w:val="sdtLocked"/>
        <w:richText/>
      </w:sdtPr>
      <w:sdtContent>
        <w:p>
          <w:pPr>
            <w:tabs>
              <w:tab w:val="left" w:pos="5387"/>
            </w:tabs>
            <w:ind w:left="5387" w:hanging="851"/>
            <w:rPr>
              <w:szCs w:val="24"/>
              <w:lang w:eastAsia="lt-LT"/>
            </w:rPr>
          </w:pPr>
          <w:r>
            <w:rPr>
              <w:szCs w:val="24"/>
              <w:lang w:eastAsia="lt-LT"/>
            </w:rPr>
            <w:t xml:space="preserve">26-ojo viešojo sektoriaus apskaitos ir </w:t>
          </w:r>
        </w:p>
        <w:p>
          <w:pPr>
            <w:tabs>
              <w:tab w:val="left" w:pos="913"/>
              <w:tab w:val="left" w:pos="6320"/>
              <w:tab w:val="left" w:pos="9372"/>
            </w:tabs>
            <w:ind w:left="4535"/>
            <w:rPr>
              <w:szCs w:val="24"/>
              <w:lang w:eastAsia="lt-LT"/>
            </w:rPr>
          </w:pPr>
          <w:r>
            <w:rPr>
              <w:szCs w:val="24"/>
              <w:lang w:eastAsia="lt-LT"/>
            </w:rPr>
            <w:t>finansinės atskaitomybės standarto „Fondų apskaita ir finansinių ataskaitų rinkinys“</w:t>
          </w:r>
        </w:p>
        <w:p>
          <w:pPr>
            <w:tabs>
              <w:tab w:val="left" w:pos="913"/>
              <w:tab w:val="left" w:pos="6320"/>
              <w:tab w:val="left" w:pos="9372"/>
            </w:tabs>
            <w:ind w:left="4535"/>
            <w:rPr>
              <w:szCs w:val="24"/>
              <w:lang w:eastAsia="lt-LT"/>
            </w:rPr>
          </w:pPr>
          <w:sdt>
            <w:sdtPr>
              <w:alias w:val="Numeris"/>
              <w:tag w:val="nr_d8277158a86d449eb046555f9370d973"/>
              <w:lock w:val="sdtLocked"/>
              <w:richText/>
            </w:sdtPr>
            <w:sdtContent>
              <w:r>
                <w:rPr>
                  <w:szCs w:val="24"/>
                  <w:lang w:eastAsia="lt-LT"/>
                </w:rPr>
                <w:t>3</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d8277158a86d449eb046555f9370d973"/>
              <w:lock w:val="sdtLocked"/>
              <w:richText/>
            </w:sdtPr>
            <w:sdtContent>
              <w:r>
                <w:rPr>
                  <w:b/>
                  <w:szCs w:val="24"/>
                  <w:lang w:eastAsia="lt-LT"/>
                </w:rPr>
                <w:t>(Mokesčių fondų finansinių ataskaitų rinkinio forma)</w:t>
              </w:r>
            </w:sdtContent>
          </w:sdt>
        </w:p>
        <w:p>
          <w:pPr>
            <w:tabs>
              <w:tab w:val="left" w:pos="913"/>
              <w:tab w:val="left" w:pos="6320"/>
              <w:tab w:val="left" w:pos="9372"/>
            </w:tabs>
            <w:spacing w:line="240" w:lineRule="atLeast"/>
            <w:jc w:val="center"/>
            <w:rPr>
              <w:b/>
              <w:szCs w:val="24"/>
              <w:lang w:eastAsia="lt-LT"/>
            </w:rPr>
          </w:pPr>
        </w:p>
        <w:p>
          <w:pPr>
            <w:tabs>
              <w:tab w:val="left" w:pos="913"/>
              <w:tab w:val="left" w:pos="6320"/>
              <w:tab w:val="left" w:pos="9372"/>
            </w:tabs>
            <w:spacing w:line="240" w:lineRule="atLeast"/>
            <w:jc w:val="center"/>
            <w:rPr>
              <w:szCs w:val="24"/>
              <w:lang w:eastAsia="lt-LT"/>
            </w:rPr>
          </w:pPr>
          <w:r>
            <w:rPr>
              <w:szCs w:val="24"/>
              <w:lang w:eastAsia="lt-LT"/>
            </w:rPr>
            <w:t>____________________________________________</w:t>
          </w:r>
        </w:p>
        <w:p>
          <w:pPr>
            <w:tabs>
              <w:tab w:val="left" w:leader="underscore" w:pos="8901"/>
            </w:tabs>
            <w:jc w:val="center"/>
            <w:rPr>
              <w:bCs/>
              <w:szCs w:val="24"/>
            </w:rPr>
          </w:pPr>
          <w:r>
            <w:rPr>
              <w:bCs/>
              <w:szCs w:val="24"/>
            </w:rPr>
            <w:t>(fondo pavadinimas)</w:t>
          </w:r>
        </w:p>
        <w:p>
          <w:pPr>
            <w:tabs>
              <w:tab w:val="left" w:leader="underscore" w:pos="8901"/>
            </w:tabs>
            <w:jc w:val="center"/>
            <w:rPr>
              <w:bCs/>
              <w:i/>
              <w:iCs/>
              <w:szCs w:val="24"/>
            </w:rPr>
          </w:pPr>
          <w:r>
            <w:rPr>
              <w:bCs/>
              <w:i/>
              <w:iCs/>
              <w:szCs w:val="24"/>
            </w:rPr>
            <w:t>________________________________________________________________________________</w:t>
          </w:r>
        </w:p>
        <w:p>
          <w:pPr>
            <w:jc w:val="center"/>
            <w:rPr>
              <w:b/>
              <w:szCs w:val="24"/>
              <w:lang w:eastAsia="lt-LT"/>
            </w:rPr>
          </w:pPr>
          <w:r>
            <w:rPr>
              <w:szCs w:val="24"/>
              <w:lang w:eastAsia="lt-LT"/>
            </w:rPr>
            <w:t>(viešojo sektoriaus subjekto, parengusio valstybės veiklos rezultatų ataskaitą, kodas, adresas)</w:t>
          </w:r>
        </w:p>
        <w:p>
          <w:pPr>
            <w:rPr>
              <w:szCs w:val="24"/>
              <w:lang w:eastAsia="lt-LT"/>
            </w:rPr>
          </w:pPr>
        </w:p>
        <w:sdt>
          <w:sdtPr>
            <w:alias w:val="skirsnis"/>
            <w:tag w:val="part_6754a4c243ee458cb375c8d577c763ee"/>
            <w:lock w:val="sdtLocked"/>
            <w:richText/>
          </w:sdtPr>
          <w:sdtContent>
            <w:p>
              <w:pPr>
                <w:jc w:val="center"/>
                <w:rPr>
                  <w:b/>
                  <w:szCs w:val="24"/>
                  <w:lang w:eastAsia="lt-LT"/>
                </w:rPr>
              </w:pPr>
              <w:sdt>
                <w:sdtPr>
                  <w:alias w:val="Pavadinimas"/>
                  <w:tag w:val="title_6754a4c243ee458cb375c8d577c763ee"/>
                  <w:lock w:val="sdtLocked"/>
                  <w:richText/>
                </w:sdtPr>
                <w:sdtContent>
                  <w:r>
                    <w:rPr>
                      <w:b/>
                      <w:szCs w:val="24"/>
                      <w:lang w:eastAsia="lt-LT"/>
                    </w:rPr>
                    <w:t>FONDO ______METŲ FINANSINIŲ ATASKAITŲ RINKINYS</w:t>
                  </w:r>
                </w:sdtContent>
              </w:sdt>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spacing w:line="240" w:lineRule="atLeast"/>
                <w:jc w:val="center"/>
                <w:rPr>
                  <w:sz w:val="20"/>
                  <w:lang w:eastAsia="lt-LT"/>
                </w:rPr>
              </w:pPr>
              <w:r>
                <w:rPr>
                  <w:sz w:val="20"/>
                  <w:lang w:eastAsia="lt-LT"/>
                </w:rPr>
                <w:t>_____________________</w:t>
              </w:r>
            </w:p>
            <w:p>
              <w:pPr>
                <w:spacing w:line="240" w:lineRule="atLeast"/>
                <w:jc w:val="center"/>
                <w:rPr>
                  <w:sz w:val="20"/>
                  <w:lang w:eastAsia="lt-LT"/>
                </w:rPr>
              </w:pPr>
              <w:r>
                <w:rPr>
                  <w:sz w:val="20"/>
                  <w:lang w:eastAsia="lt-LT"/>
                </w:rPr>
                <w:t>(sudarymo vieta)</w:t>
              </w:r>
            </w:p>
            <w:p>
              <w:pPr>
                <w:rPr>
                  <w:szCs w:val="24"/>
                </w:rPr>
              </w:pPr>
            </w:p>
          </w:sdtContent>
        </w:sdt>
        <w:sdt>
          <w:sdtPr>
            <w:alias w:val="skirsnis"/>
            <w:tag w:val="part_558b134a8a6a456abaa476d84ee72c5c"/>
            <w:lock w:val="sdtLocked"/>
            <w:richText/>
          </w:sdtPr>
          <w:sdtContent>
            <w:p>
              <w:pPr>
                <w:jc w:val="center"/>
                <w:rPr>
                  <w:b/>
                  <w:sz w:val="28"/>
                  <w:szCs w:val="24"/>
                </w:rPr>
              </w:pPr>
              <w:sdt>
                <w:sdtPr>
                  <w:alias w:val="Pavadinimas"/>
                  <w:tag w:val="title_558b134a8a6a456abaa476d84ee72c5c"/>
                  <w:lock w:val="sdtLocked"/>
                  <w:richText/>
                </w:sdtPr>
                <w:sdtContent>
                  <w:r>
                    <w:rPr>
                      <w:b/>
                      <w:sz w:val="28"/>
                      <w:szCs w:val="24"/>
                    </w:rPr>
                    <w:t>TURINYS</w:t>
                  </w:r>
                </w:sdtContent>
              </w:sdt>
            </w:p>
            <w:p>
              <w:pPr>
                <w:jc w:val="center"/>
                <w:rPr>
                  <w:b/>
                  <w:sz w:val="28"/>
                  <w:szCs w:val="24"/>
                </w:rPr>
              </w:pPr>
            </w:p>
          </w:sdtContent>
        </w:sdt>
        <w:sdt>
          <w:sdtPr>
            <w:alias w:val="skirsnis"/>
            <w:tag w:val="part_ec070502578f443881e07b735fac3c38"/>
            <w:lock w:val="sdtLocked"/>
            <w:richText/>
          </w:sdtPr>
          <w:sdtContent>
            <w:p>
              <w:pPr>
                <w:spacing w:line="276" w:lineRule="auto"/>
                <w:rPr>
                  <w:b/>
                  <w:szCs w:val="24"/>
                </w:rPr>
              </w:pPr>
              <w:sdt>
                <w:sdtPr>
                  <w:alias w:val="Pavadinimas"/>
                  <w:tag w:val="title_ec070502578f443881e07b735fac3c38"/>
                  <w:lock w:val="sdtLocked"/>
                  <w:richText/>
                </w:sdtPr>
                <w:sdtContent>
                  <w:r>
                    <w:rPr>
                      <w:b/>
                      <w:szCs w:val="24"/>
                    </w:rPr>
                    <w:t>METINĖS FINANSINĖS ATASKAITOS:</w:t>
                  </w:r>
                </w:sdtContent>
              </w:sdt>
            </w:p>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AIŠKINAMASIS RAŠTAS</w:t>
                <w:tab/>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fondo ______ metų finansinių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082601900ff7442793ae377222786e97"/>
            <w:lock w:val="sdtLocked"/>
            <w:richText/>
          </w:sdtPr>
          <w:sdtContent>
            <w:p>
              <w:pPr>
                <w:jc w:val="center"/>
                <w:rPr>
                  <w:b/>
                  <w:bCs/>
                  <w:szCs w:val="24"/>
                  <w:lang w:eastAsia="lt-LT"/>
                </w:rPr>
              </w:pPr>
              <w:sdt>
                <w:sdtPr>
                  <w:alias w:val="Pavadinimas"/>
                  <w:tag w:val="title_082601900ff7442793ae377222786e97"/>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855" w:type="dxa"/>
                <w:tblLayout w:type="fixed"/>
                <w:tblLook w:val="04A0" w:firstRow="1" w:lastRow="0" w:firstColumn="1" w:lastColumn="0" w:noHBand="0" w:noVBand="1"/>
              </w:tblPr>
              <w:tblGrid>
                <w:gridCol w:w="846"/>
                <w:gridCol w:w="5040"/>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40"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hideMark/>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rPr>
                        <w:b/>
                        <w:bCs/>
                        <w:caps/>
                        <w:sz w:val="20"/>
                        <w:lang w:eastAsia="lt-LT"/>
                      </w:rPr>
                    </w:pPr>
                    <w:r>
                      <w:rPr>
                        <w:b/>
                        <w:bCs/>
                        <w:cap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2.1.</w:t>
                    </w:r>
                  </w:p>
                </w:tc>
                <w:tc>
                  <w:tcPr>
                    <w:tcW w:w="5040" w:type="dxa"/>
                    <w:tcBorders>
                      <w:top w:val="nil"/>
                      <w:left w:val="nil"/>
                      <w:bottom w:val="single" w:sz="4" w:space="0" w:color="auto"/>
                      <w:right w:val="single" w:sz="4" w:space="0" w:color="auto"/>
                    </w:tcBorders>
                    <w:noWrap/>
                    <w:vAlign w:val="center"/>
                  </w:tcPr>
                  <w:p>
                    <w:pPr>
                      <w:spacing w:line="240" w:lineRule="atLeast"/>
                      <w:rPr>
                        <w:sz w:val="20"/>
                        <w:lang w:eastAsia="lt-LT"/>
                      </w:rPr>
                    </w:pPr>
                    <w:r>
                      <w:rPr>
                        <w:sz w:val="20"/>
                        <w:lang w:eastAsia="lt-LT"/>
                      </w:rPr>
                      <w:t>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5040"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Per vienus</w:t>
                    </w:r>
                    <w:r>
                      <w:rPr>
                        <w:b/>
                        <w:bCs/>
                        <w:caps/>
                        <w:sz w:val="20"/>
                        <w:lang w:eastAsia="lt-LT"/>
                      </w:rPr>
                      <w:t xml:space="preserve"> </w:t>
                    </w:r>
                    <w:r>
                      <w:rPr>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tcPr>
                  <w:p>
                    <w:pPr>
                      <w:jc w:val="center"/>
                      <w:rPr>
                        <w:sz w:val="20"/>
                        <w:szCs w:val="16"/>
                      </w:rPr>
                    </w:pPr>
                    <w:r>
                      <w:rPr>
                        <w:sz w:val="20"/>
                        <w:szCs w:val="16"/>
                      </w:rPr>
                      <w:t>2.2.1.</w:t>
                    </w:r>
                  </w:p>
                </w:tc>
                <w:tc>
                  <w:tcPr>
                    <w:tcW w:w="5040" w:type="dxa"/>
                    <w:tcBorders>
                      <w:top w:val="single" w:sz="4" w:space="0" w:color="auto"/>
                      <w:left w:val="nil"/>
                      <w:bottom w:val="single" w:sz="4" w:space="0" w:color="auto"/>
                      <w:right w:val="single" w:sz="4" w:space="0" w:color="auto"/>
                    </w:tcBorders>
                    <w:noWrap/>
                    <w:vAlign w:val="center"/>
                  </w:tcPr>
                  <w:p>
                    <w:pPr>
                      <w:tabs>
                        <w:tab w:val="left" w:pos="277"/>
                      </w:tabs>
                      <w:ind w:firstLine="277"/>
                      <w:rPr>
                        <w:sz w:val="20"/>
                        <w:szCs w:val="16"/>
                      </w:rPr>
                    </w:pPr>
                    <w:r>
                      <w:rPr>
                        <w:sz w:val="20"/>
                        <w:szCs w:val="16"/>
                      </w:rPr>
                      <w:t>Suteiktos paskolos</w:t>
                    </w:r>
                  </w:p>
                </w:tc>
                <w:tc>
                  <w:tcPr>
                    <w:tcW w:w="851" w:type="dxa"/>
                    <w:tcBorders>
                      <w:top w:val="single" w:sz="4" w:space="0" w:color="auto"/>
                      <w:left w:val="single" w:sz="4" w:space="0" w:color="auto"/>
                      <w:bottom w:val="single" w:sz="4" w:space="0" w:color="auto"/>
                      <w:right w:val="nil"/>
                    </w:tcBorders>
                    <w:vAlign w:val="center"/>
                  </w:tcPr>
                  <w:p>
                    <w:pPr>
                      <w:rPr>
                        <w:sz w:val="20"/>
                        <w:szCs w:val="16"/>
                      </w:rPr>
                    </w:pPr>
                  </w:p>
                </w:tc>
                <w:tc>
                  <w:tcPr>
                    <w:tcW w:w="1559" w:type="dxa"/>
                    <w:tcBorders>
                      <w:top w:val="single" w:sz="4" w:space="0" w:color="auto"/>
                      <w:left w:val="single" w:sz="4" w:space="0" w:color="auto"/>
                      <w:bottom w:val="single" w:sz="4" w:space="0" w:color="auto"/>
                      <w:right w:val="single" w:sz="4" w:space="0" w:color="auto"/>
                    </w:tcBorders>
                    <w:vAlign w:val="center"/>
                  </w:tcPr>
                  <w:p>
                    <w:pPr>
                      <w:rPr>
                        <w:sz w:val="20"/>
                        <w:szCs w:val="16"/>
                      </w:rPr>
                    </w:pPr>
                  </w:p>
                </w:tc>
                <w:tc>
                  <w:tcPr>
                    <w:tcW w:w="1559" w:type="dxa"/>
                    <w:tcBorders>
                      <w:top w:val="single" w:sz="4" w:space="0" w:color="auto"/>
                      <w:left w:val="nil"/>
                      <w:bottom w:val="single" w:sz="4" w:space="0" w:color="auto"/>
                      <w:right w:val="single" w:sz="4" w:space="0" w:color="auto"/>
                    </w:tcBorders>
                    <w:vAlign w:val="center"/>
                  </w:tcPr>
                  <w:p>
                    <w:pPr>
                      <w:rPr>
                        <w:sz w:val="20"/>
                        <w:szCs w:val="16"/>
                      </w:rPr>
                    </w:pPr>
                  </w:p>
                </w:tc>
              </w:tr>
              <w:tr>
                <w:trPr>
                  <w:trHeight w:val="255"/>
                </w:trPr>
                <w:tc>
                  <w:tcPr>
                    <w:tcW w:w="846" w:type="dxa"/>
                    <w:tcBorders>
                      <w:top w:val="single" w:sz="4" w:space="0" w:color="auto"/>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2.2.2.</w:t>
                    </w:r>
                  </w:p>
                </w:tc>
                <w:tc>
                  <w:tcPr>
                    <w:tcW w:w="5040" w:type="dxa"/>
                    <w:tcBorders>
                      <w:top w:val="single" w:sz="4" w:space="0" w:color="auto"/>
                      <w:left w:val="single" w:sz="4" w:space="0" w:color="auto"/>
                      <w:bottom w:val="single" w:sz="4" w:space="0" w:color="auto"/>
                      <w:right w:val="single" w:sz="4" w:space="0" w:color="auto"/>
                    </w:tcBorders>
                    <w:noWrap/>
                    <w:vAlign w:val="center"/>
                  </w:tcPr>
                  <w:p>
                    <w:pPr>
                      <w:tabs>
                        <w:tab w:val="left" w:pos="277"/>
                      </w:tabs>
                      <w:spacing w:line="240" w:lineRule="atLeast"/>
                      <w:ind w:left="220" w:firstLine="57"/>
                      <w:rPr>
                        <w:sz w:val="20"/>
                        <w:lang w:eastAsia="lt-LT"/>
                      </w:rPr>
                    </w:pPr>
                    <w:r>
                      <w:rPr>
                        <w:sz w:val="20"/>
                        <w:lang w:eastAsia="lt-LT"/>
                      </w:rPr>
                      <w:t>Gautini mokesčiai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2.2.3.</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tabs>
                        <w:tab w:val="left" w:pos="277"/>
                      </w:tabs>
                      <w:spacing w:line="240" w:lineRule="atLeast"/>
                      <w:ind w:left="220" w:firstLine="57"/>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2.2.4.</w:t>
                    </w:r>
                  </w:p>
                </w:tc>
                <w:tc>
                  <w:tcPr>
                    <w:tcW w:w="5040" w:type="dxa"/>
                    <w:tcBorders>
                      <w:top w:val="single" w:sz="4" w:space="0" w:color="auto"/>
                      <w:left w:val="single" w:sz="4" w:space="0" w:color="auto"/>
                      <w:bottom w:val="nil"/>
                      <w:right w:val="single" w:sz="4" w:space="0" w:color="auto"/>
                    </w:tcBorders>
                    <w:noWrap/>
                    <w:vAlign w:val="center"/>
                  </w:tcPr>
                  <w:p>
                    <w:pPr>
                      <w:tabs>
                        <w:tab w:val="left" w:pos="277"/>
                      </w:tabs>
                      <w:spacing w:line="240" w:lineRule="atLeast"/>
                      <w:ind w:left="220" w:firstLine="57"/>
                      <w:rPr>
                        <w:sz w:val="20"/>
                        <w:lang w:eastAsia="lt-LT"/>
                      </w:rPr>
                    </w:pPr>
                    <w:r>
                      <w:rPr>
                        <w:sz w:val="20"/>
                        <w:lang w:eastAsia="lt-LT"/>
                      </w:rPr>
                      <w:t>Gautinos įmokų į fondus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2.2.5.</w:t>
                    </w:r>
                  </w:p>
                </w:tc>
                <w:tc>
                  <w:tcPr>
                    <w:tcW w:w="5040" w:type="dxa"/>
                    <w:tcBorders>
                      <w:top w:val="single" w:sz="4" w:space="0" w:color="auto"/>
                      <w:left w:val="single" w:sz="4" w:space="0" w:color="auto"/>
                      <w:bottom w:val="single" w:sz="4" w:space="0" w:color="auto"/>
                      <w:right w:val="single" w:sz="4" w:space="0" w:color="auto"/>
                    </w:tcBorders>
                    <w:noWrap/>
                    <w:vAlign w:val="center"/>
                  </w:tcPr>
                  <w:p>
                    <w:pPr>
                      <w:tabs>
                        <w:tab w:val="left" w:pos="277"/>
                      </w:tabs>
                      <w:spacing w:line="240" w:lineRule="atLeast"/>
                      <w:ind w:left="220" w:firstLine="57"/>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val="en-GB" w:eastAsia="lt-LT"/>
                      </w:rPr>
                    </w:pPr>
                    <w:r>
                      <w:rPr>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6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5.1.</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5.2.</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5040"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5040"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5.3.1</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w:t>
                    </w:r>
                  </w:p>
                </w:tc>
                <w:tc>
                  <w:tcPr>
                    <w:tcW w:w="5040"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5.3.2.1</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jc w:val="center"/>
                      <w:rPr>
                        <w:sz w:val="20"/>
                        <w:lang w:eastAsia="lt-LT"/>
                      </w:rPr>
                    </w:pPr>
                    <w:r>
                      <w:rPr>
                        <w:sz w:val="20"/>
                        <w:lang w:eastAsia="lt-LT"/>
                      </w:rPr>
                      <w:t>5.3.2.2</w:t>
                    </w:r>
                  </w:p>
                </w:tc>
                <w:tc>
                  <w:tcPr>
                    <w:tcW w:w="5040" w:type="dxa"/>
                    <w:tcBorders>
                      <w:top w:val="nil"/>
                      <w:left w:val="single" w:sz="4" w:space="0" w:color="auto"/>
                      <w:bottom w:val="single" w:sz="4" w:space="0" w:color="auto"/>
                      <w:right w:val="single" w:sz="4" w:space="0" w:color="auto"/>
                    </w:tcBorders>
                    <w:noWrap/>
                    <w:vAlign w:val="center"/>
                  </w:tcPr>
                  <w:p>
                    <w:pPr>
                      <w:ind w:left="419"/>
                      <w:rPr>
                        <w:sz w:val="20"/>
                        <w:lang w:eastAsia="lt-LT"/>
                      </w:rPr>
                    </w:pPr>
                    <w:r>
                      <w:rPr>
                        <w:sz w:val="20"/>
                        <w:lang w:eastAsia="lt-LT"/>
                      </w:rPr>
                      <w:t>Grąžintini mokesčiai, įmokos ir jų permokos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5.3.2.3</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5040"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pPr>
              <w:r>
                <w:t>_____________________</w:t>
              </w:r>
            </w:p>
            <w:p>
              <w:pPr>
                <w:sectPr>
                  <w:pgSz w:w="11906" w:h="16838"/>
                  <w:pgMar w:top="1134" w:right="567" w:bottom="1134" w:left="1701" w:header="567" w:footer="567" w:gutter="0"/>
                  <w:cols w:space="1296"/>
                </w:sectPr>
              </w:pPr>
            </w:p>
          </w:sdtContent>
        </w:sdt>
        <w:sdt>
          <w:sdtPr>
            <w:alias w:val="skirsnis"/>
            <w:tag w:val="part_8db169e15f954a98b00bdab74d9cee99"/>
            <w:lock w:val="sdtLocked"/>
            <w:richText/>
          </w:sdtPr>
          <w:sdtContent>
            <w:p>
              <w:pPr>
                <w:jc w:val="center"/>
                <w:rPr>
                  <w:b/>
                  <w:bCs/>
                  <w:szCs w:val="24"/>
                  <w:lang w:eastAsia="lt-LT"/>
                </w:rPr>
              </w:pPr>
              <w:sdt>
                <w:sdtPr>
                  <w:alias w:val="Pavadinimas"/>
                  <w:tag w:val="title_8db169e15f954a98b00bdab74d9cee99"/>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9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4540"/>
                <w:gridCol w:w="972"/>
                <w:gridCol w:w="1530"/>
                <w:gridCol w:w="1410"/>
              </w:tblGrid>
              <w:tr>
                <w:trPr>
                  <w:trHeight w:val="691"/>
                  <w:tblHeader/>
                </w:trPr>
                <w:tc>
                  <w:tcPr>
                    <w:tcW w:w="108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Eil. Nr.</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Straipsniai</w:t>
                    </w:r>
                  </w:p>
                </w:tc>
                <w:tc>
                  <w:tcPr>
                    <w:tcW w:w="97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Pastabos Nr.</w:t>
                    </w:r>
                  </w:p>
                </w:tc>
                <w:tc>
                  <w:tcPr>
                    <w:tcW w:w="153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41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103"/>
                  <w:tblHeader/>
                </w:trPr>
                <w:tc>
                  <w:tcPr>
                    <w:tcW w:w="108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53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1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Cs/>
                        <w:sz w:val="20"/>
                        <w:lang w:eastAsia="lt-LT"/>
                      </w:rPr>
                      <w:t>1.1.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bCs/>
                        <w:sz w:val="20"/>
                        <w:lang w:eastAsia="lt-LT"/>
                      </w:rPr>
                      <w:t>FINANSAVIMO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159" w:firstLine="19"/>
                      <w:rPr>
                        <w:sz w:val="20"/>
                        <w:lang w:eastAsia="lt-LT"/>
                      </w:rPr>
                    </w:pPr>
                    <w:r>
                      <w:rPr>
                        <w:sz w:val="20"/>
                        <w:lang w:eastAsia="lt-LT"/>
                      </w:rPr>
                      <w:t>MOKESČIŲ PAJAMOS GRYNĄJA VERTE</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Mokesčių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301" w:firstLine="19"/>
                      <w:rPr>
                        <w:sz w:val="20"/>
                        <w:lang w:eastAsia="lt-LT"/>
                      </w:rPr>
                    </w:pPr>
                    <w:r>
                      <w:rPr>
                        <w:sz w:val="20"/>
                        <w:lang w:eastAsia="lt-LT"/>
                      </w:rPr>
                      <w:t>Pervestinų mokesčių suma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firstLine="179"/>
                      <w:rPr>
                        <w:sz w:val="20"/>
                        <w:lang w:eastAsia="lt-LT"/>
                      </w:rPr>
                    </w:pPr>
                    <w:r>
                      <w:rPr>
                        <w:sz w:val="20"/>
                        <w:lang w:eastAsia="lt-LT"/>
                      </w:rPr>
                      <w:t>SOCIALINIŲ ĮMOKŲ PAJAMOS GRYNĄJA VERTE</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1.3.1.</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442" w:hanging="141"/>
                      <w:rPr>
                        <w:sz w:val="20"/>
                        <w:lang w:eastAsia="lt-LT"/>
                      </w:rPr>
                    </w:pPr>
                    <w:r>
                      <w:rPr>
                        <w:sz w:val="20"/>
                        <w:lang w:eastAsia="lt-LT"/>
                      </w:rPr>
                      <w:t>Socialinių įmokų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1.3.2.</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320"/>
                      <w:rPr>
                        <w:b/>
                        <w:bCs/>
                        <w:sz w:val="20"/>
                        <w:lang w:eastAsia="lt-LT"/>
                      </w:rPr>
                    </w:pPr>
                    <w:r>
                      <w:rPr>
                        <w:sz w:val="20"/>
                        <w:lang w:eastAsia="lt-LT"/>
                      </w:rPr>
                      <w:t>Pervestinų socialinių įmokų suma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35"/>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1.4.</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179"/>
                      <w:rPr>
                        <w:b/>
                        <w:bCs/>
                        <w:sz w:val="20"/>
                        <w:lang w:eastAsia="lt-LT"/>
                      </w:rPr>
                    </w:pPr>
                    <w:r>
                      <w:rPr>
                        <w:sz w:val="20"/>
                        <w:lang w:eastAsia="lt-LT"/>
                      </w:rPr>
                      <w:t>KITOS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11"/>
                </w:trPr>
                <w:tc>
                  <w:tcPr>
                    <w:tcW w:w="1082" w:type="dxa"/>
                    <w:hideMark/>
                  </w:tcPr>
                  <w:p>
                    <w:pPr>
                      <w:spacing w:line="276" w:lineRule="auto"/>
                      <w:jc w:val="center"/>
                      <w:rPr>
                        <w:sz w:val="20"/>
                        <w:lang w:eastAsia="lt-LT"/>
                      </w:rPr>
                    </w:pPr>
                    <w:r>
                      <w:rPr>
                        <w:sz w:val="20"/>
                        <w:lang w:eastAsia="lt-LT"/>
                      </w:rPr>
                      <w:t>1.4.1.</w:t>
                    </w:r>
                  </w:p>
                </w:tc>
                <w:tc>
                  <w:tcPr>
                    <w:tcW w:w="4540" w:type="dxa"/>
                    <w:hideMark/>
                  </w:tcPr>
                  <w:p>
                    <w:pPr>
                      <w:spacing w:line="276" w:lineRule="auto"/>
                      <w:ind w:left="301"/>
                      <w:rPr>
                        <w:sz w:val="20"/>
                        <w:lang w:eastAsia="lt-LT"/>
                      </w:rPr>
                    </w:pPr>
                    <w:r>
                      <w:rPr>
                        <w:sz w:val="20"/>
                        <w:lang w:eastAsia="lt-LT"/>
                      </w:rPr>
                      <w:t>Baudų ir kitų netesybų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172"/>
                </w:trPr>
                <w:tc>
                  <w:tcPr>
                    <w:tcW w:w="1082" w:type="dxa"/>
                    <w:hideMark/>
                  </w:tcPr>
                  <w:p>
                    <w:pPr>
                      <w:spacing w:line="276" w:lineRule="auto"/>
                      <w:jc w:val="center"/>
                      <w:rPr>
                        <w:sz w:val="20"/>
                        <w:lang w:eastAsia="lt-LT"/>
                      </w:rPr>
                    </w:pPr>
                    <w:r>
                      <w:rPr>
                        <w:sz w:val="20"/>
                        <w:lang w:eastAsia="lt-LT"/>
                      </w:rPr>
                      <w:t>1.4.2.</w:t>
                    </w:r>
                  </w:p>
                </w:tc>
                <w:tc>
                  <w:tcPr>
                    <w:tcW w:w="4540" w:type="dxa"/>
                    <w:hideMark/>
                  </w:tcPr>
                  <w:p>
                    <w:pPr>
                      <w:spacing w:line="276" w:lineRule="auto"/>
                      <w:ind w:left="301"/>
                      <w:rPr>
                        <w:sz w:val="20"/>
                        <w:lang w:eastAsia="lt-LT"/>
                      </w:rPr>
                    </w:pPr>
                    <w:r>
                      <w:rPr>
                        <w:sz w:val="20"/>
                        <w:lang w:eastAsia="lt-LT"/>
                      </w:rPr>
                      <w:t>Finansinės ir investicinės veiklos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263"/>
                </w:trPr>
                <w:tc>
                  <w:tcPr>
                    <w:tcW w:w="1082" w:type="dxa"/>
                    <w:hideMark/>
                  </w:tcPr>
                  <w:p>
                    <w:pPr>
                      <w:spacing w:line="276" w:lineRule="auto"/>
                      <w:jc w:val="center"/>
                      <w:rPr>
                        <w:sz w:val="20"/>
                        <w:lang w:eastAsia="lt-LT"/>
                      </w:rPr>
                    </w:pPr>
                    <w:r>
                      <w:rPr>
                        <w:sz w:val="20"/>
                        <w:lang w:eastAsia="lt-LT"/>
                      </w:rPr>
                      <w:t>1.4.3.</w:t>
                    </w:r>
                  </w:p>
                </w:tc>
                <w:tc>
                  <w:tcPr>
                    <w:tcW w:w="4540" w:type="dxa"/>
                    <w:hideMark/>
                  </w:tcPr>
                  <w:p>
                    <w:pPr>
                      <w:spacing w:line="276" w:lineRule="auto"/>
                      <w:ind w:left="301"/>
                      <w:rPr>
                        <w:sz w:val="20"/>
                        <w:lang w:eastAsia="lt-LT"/>
                      </w:rPr>
                    </w:pPr>
                    <w:r>
                      <w:rPr>
                        <w:sz w:val="20"/>
                        <w:lang w:eastAsia="lt-LT"/>
                      </w:rPr>
                      <w:t xml:space="preserve">Kitos </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hideMark/>
                  </w:tcPr>
                  <w:p>
                    <w:pPr>
                      <w:spacing w:line="276" w:lineRule="auto"/>
                      <w:jc w:val="center"/>
                      <w:rPr>
                        <w:sz w:val="20"/>
                        <w:lang w:eastAsia="lt-LT"/>
                      </w:rPr>
                    </w:pPr>
                    <w:r>
                      <w:rPr>
                        <w:sz w:val="20"/>
                        <w:lang w:eastAsia="lt-LT"/>
                      </w:rPr>
                      <w:t>1.4.4.</w:t>
                    </w:r>
                  </w:p>
                </w:tc>
                <w:tc>
                  <w:tcPr>
                    <w:tcW w:w="4540" w:type="dxa"/>
                    <w:hideMark/>
                  </w:tcPr>
                  <w:p>
                    <w:pPr>
                      <w:spacing w:line="276" w:lineRule="auto"/>
                      <w:ind w:left="301"/>
                      <w:rPr>
                        <w:sz w:val="20"/>
                        <w:lang w:eastAsia="lt-LT"/>
                      </w:rPr>
                    </w:pPr>
                    <w:r>
                      <w:rPr>
                        <w:sz w:val="20"/>
                        <w:lang w:eastAsia="lt-LT"/>
                      </w:rPr>
                      <w:t>Negrąžintinai pervestinos į valstybės ar savivaldybių biudžetus, išteklių fondus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159" w:firstLine="20"/>
                      <w:rPr>
                        <w:b/>
                        <w:bCs/>
                        <w:sz w:val="20"/>
                        <w:lang w:eastAsia="lt-LT"/>
                      </w:rPr>
                    </w:pPr>
                    <w:r>
                      <w:rPr>
                        <w:sz w:val="20"/>
                        <w:lang w:eastAsia="lt-LT"/>
                      </w:rPr>
                      <w:t xml:space="preserve">NUVERTĖJIMO IR NURAŠYTŲ SUMŲ SĄNAUDOS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159" w:right="-57" w:firstLine="20"/>
                      <w:rPr>
                        <w:b/>
                        <w:bCs/>
                        <w:sz w:val="20"/>
                        <w:lang w:eastAsia="lt-LT"/>
                      </w:rPr>
                    </w:pPr>
                    <w:r>
                      <w:rPr>
                        <w:sz w:val="20"/>
                        <w:lang w:eastAsia="lt-LT"/>
                      </w:rPr>
                      <w:t>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2.2.1.</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Finansinio turto vertės sumažėjimas, perleidimo nuostolis, nuvertėjimas ir nurašymas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2.2.2.</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Palūkanų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2.2.3.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301" w:firstLine="20"/>
                      <w:jc w:val="both"/>
                      <w:rPr>
                        <w:b/>
                        <w:bCs/>
                        <w:sz w:val="20"/>
                        <w:lang w:eastAsia="lt-LT"/>
                      </w:rPr>
                    </w:pPr>
                    <w:r>
                      <w:rPr>
                        <w:bCs/>
                        <w:sz w:val="20"/>
                        <w:lang w:eastAsia="lt-LT"/>
                      </w:rPr>
                      <w:t>Kitos 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159" w:firstLine="20"/>
                      <w:jc w:val="both"/>
                      <w:rPr>
                        <w:bCs/>
                        <w:sz w:val="20"/>
                        <w:lang w:eastAsia="lt-LT"/>
                      </w:rPr>
                    </w:pPr>
                    <w:r>
                      <w:rPr>
                        <w:bCs/>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pPr>
              <w:r>
                <w:t>________________________</w:t>
              </w:r>
            </w:p>
            <w:p>
              <w:pPr>
                <w:sectPr>
                  <w:pgSz w:w="11906" w:h="16838"/>
                  <w:pgMar w:top="1077" w:right="1134" w:bottom="1077" w:left="1440" w:header="567" w:footer="567" w:gutter="0"/>
                  <w:cols w:space="1296"/>
                </w:sectPr>
              </w:pPr>
            </w:p>
          </w:sdtContent>
        </w:sdt>
        <w:sdt>
          <w:sdtPr>
            <w:alias w:val="skirsnis"/>
            <w:tag w:val="part_2303e859e0fd45d28c0575e629faaf64"/>
            <w:lock w:val="sdtLocked"/>
            <w:richText/>
          </w:sdtPr>
          <w:sdtContent>
            <w:p>
              <w:pPr>
                <w:suppressAutoHyphens/>
                <w:jc w:val="center"/>
                <w:textAlignment w:val="baseline"/>
                <w:rPr>
                  <w:b/>
                  <w:bCs/>
                  <w:szCs w:val="24"/>
                  <w:lang w:eastAsia="lt-LT"/>
                </w:rPr>
              </w:pPr>
              <w:sdt>
                <w:sdtPr>
                  <w:alias w:val="Pavadinimas"/>
                  <w:tag w:val="title_2303e859e0fd45d28c0575e629faaf64"/>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966" w:type="dxa"/>
                <w:tblCellMar>
                  <w:left w:w="10" w:type="dxa"/>
                  <w:right w:w="10" w:type="dxa"/>
                </w:tblCellMar>
                <w:tblLook w:val="04A0" w:firstRow="1" w:lastRow="0" w:firstColumn="1" w:lastColumn="0" w:noHBand="0" w:noVBand="1"/>
              </w:tblPr>
              <w:tblGrid>
                <w:gridCol w:w="766"/>
                <w:gridCol w:w="5327"/>
                <w:gridCol w:w="1105"/>
                <w:gridCol w:w="1409"/>
                <w:gridCol w:w="1359"/>
              </w:tblGrid>
              <w:tr>
                <w:trPr>
                  <w:trHeight w:val="549"/>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1"/>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 xml:space="preserve">Iš mokesčių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Iš socialinių įmokų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Už suteiktas paslaugas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3"/>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4"/>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savivaldybių biudžetus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Europos Sąjungai, užsienio valstybėms ir tarptautinėms organizacijoms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Į kitus išteklių</w:t>
                    </w:r>
                    <w:r>
                      <w:rPr>
                        <w:b/>
                        <w:bCs/>
                        <w:sz w:val="20"/>
                        <w:lang w:eastAsia="lt-LT"/>
                      </w:rPr>
                      <w:t xml:space="preserve"> </w:t>
                    </w:r>
                    <w:r>
                      <w:rPr>
                        <w:sz w:val="20"/>
                        <w:lang w:eastAsia="lt-LT"/>
                      </w:rPr>
                      <w:t>fondus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1.2.5.</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1.2.6.</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53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5327"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506"/>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53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6"/>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53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rPr>
                  <w:szCs w:val="24"/>
                  <w:lang w:eastAsia="lt-LT"/>
                </w:rPr>
              </w:pPr>
              <w:r>
                <w:rPr>
                  <w:szCs w:val="24"/>
                  <w:lang w:eastAsia="lt-LT"/>
                </w:rPr>
                <w:t>__________________________</w:t>
              </w:r>
            </w:p>
            <w:p>
              <w:pPr>
                <w:rPr>
                  <w:szCs w:val="24"/>
                  <w:lang w:eastAsia="lt-LT"/>
                </w:rPr>
              </w:pPr>
              <w:r>
                <w:rPr>
                  <w:szCs w:val="24"/>
                  <w:lang w:eastAsia="lt-LT"/>
                </w:rPr>
                <w:br w:type="page"/>
              </w:r>
            </w:p>
          </w:sdtContent>
        </w:sdt>
      </w:sdtContent>
    </w:sdt>
    <w:sdt>
      <w:sdtPr>
        <w:alias w:val="4 pr."/>
        <w:tag w:val="part_1658ce96340c4ecc85174fb3ed668051"/>
        <w:lock w:val="sdtLocked"/>
        <w:richText/>
      </w:sdtPr>
      <w:sdtContent>
        <w:p>
          <w:pPr>
            <w:tabs>
              <w:tab w:val="left" w:pos="5387"/>
            </w:tabs>
            <w:ind w:left="5387" w:hanging="851"/>
            <w:rPr>
              <w:szCs w:val="24"/>
              <w:lang w:eastAsia="lt-LT"/>
            </w:rPr>
          </w:pPr>
          <w:r>
            <w:rPr>
              <w:szCs w:val="24"/>
              <w:lang w:eastAsia="lt-LT"/>
            </w:rPr>
            <w:t xml:space="preserve">26-ojo viešojo sektoriaus apskaitos ir </w:t>
          </w:r>
        </w:p>
        <w:p>
          <w:pPr>
            <w:tabs>
              <w:tab w:val="left" w:pos="913"/>
              <w:tab w:val="left" w:pos="6320"/>
              <w:tab w:val="left" w:pos="9372"/>
            </w:tabs>
            <w:ind w:left="4535"/>
            <w:rPr>
              <w:szCs w:val="24"/>
              <w:lang w:eastAsia="lt-LT"/>
            </w:rPr>
          </w:pPr>
          <w:r>
            <w:rPr>
              <w:szCs w:val="24"/>
              <w:lang w:eastAsia="lt-LT"/>
            </w:rPr>
            <w:t>finansinės atskaitomybės standarto „Fondų apskaita ir finansinių ataskaitų rinkinys“</w:t>
          </w:r>
        </w:p>
        <w:p>
          <w:pPr>
            <w:tabs>
              <w:tab w:val="left" w:pos="913"/>
              <w:tab w:val="left" w:pos="6320"/>
              <w:tab w:val="left" w:pos="9372"/>
            </w:tabs>
            <w:ind w:left="4535"/>
            <w:rPr>
              <w:szCs w:val="24"/>
              <w:lang w:eastAsia="lt-LT"/>
            </w:rPr>
          </w:pPr>
          <w:sdt>
            <w:sdtPr>
              <w:alias w:val="Numeris"/>
              <w:tag w:val="nr_1658ce96340c4ecc85174fb3ed668051"/>
              <w:lock w:val="sdtLocked"/>
              <w:richText/>
            </w:sdtPr>
            <w:sdtContent>
              <w:r>
                <w:rPr>
                  <w:szCs w:val="24"/>
                  <w:lang w:eastAsia="lt-LT"/>
                </w:rPr>
                <w:t>4</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1658ce96340c4ecc85174fb3ed668051"/>
              <w:lock w:val="sdtLocked"/>
              <w:richText/>
            </w:sdtPr>
            <w:sdtContent>
              <w:r>
                <w:rPr>
                  <w:b/>
                  <w:szCs w:val="24"/>
                  <w:lang w:eastAsia="lt-LT"/>
                </w:rPr>
                <w:t>(Iždo finansinių ataskaitų rinkinio forma)</w:t>
              </w:r>
            </w:sdtContent>
          </w:sdt>
        </w:p>
        <w:p>
          <w:pPr>
            <w:tabs>
              <w:tab w:val="left" w:pos="913"/>
              <w:tab w:val="left" w:pos="6320"/>
              <w:tab w:val="left" w:pos="9372"/>
            </w:tabs>
            <w:spacing w:line="240" w:lineRule="atLeast"/>
            <w:jc w:val="center"/>
            <w:rPr>
              <w:b/>
              <w:szCs w:val="24"/>
              <w:lang w:eastAsia="lt-LT"/>
            </w:rPr>
          </w:pPr>
        </w:p>
        <w:p>
          <w:pPr>
            <w:tabs>
              <w:tab w:val="left" w:pos="913"/>
              <w:tab w:val="left" w:pos="6320"/>
              <w:tab w:val="left" w:pos="9372"/>
            </w:tabs>
            <w:spacing w:line="240" w:lineRule="atLeast"/>
            <w:jc w:val="center"/>
            <w:rPr>
              <w:szCs w:val="24"/>
              <w:lang w:eastAsia="lt-LT"/>
            </w:rPr>
          </w:pPr>
          <w:r>
            <w:rPr>
              <w:szCs w:val="24"/>
              <w:lang w:eastAsia="lt-LT"/>
            </w:rPr>
            <w:t>____________________________________________</w:t>
          </w:r>
        </w:p>
        <w:p>
          <w:pPr>
            <w:tabs>
              <w:tab w:val="left" w:leader="underscore" w:pos="8901"/>
            </w:tabs>
            <w:jc w:val="center"/>
            <w:rPr>
              <w:bCs/>
              <w:szCs w:val="24"/>
            </w:rPr>
          </w:pPr>
          <w:r>
            <w:rPr>
              <w:bCs/>
              <w:szCs w:val="24"/>
            </w:rPr>
            <w:t>(iždo pavadinimas)</w:t>
          </w:r>
        </w:p>
        <w:p>
          <w:pPr>
            <w:tabs>
              <w:tab w:val="left" w:leader="underscore" w:pos="8901"/>
            </w:tabs>
            <w:jc w:val="center"/>
            <w:rPr>
              <w:bCs/>
              <w:szCs w:val="24"/>
            </w:rPr>
          </w:pPr>
          <w:r>
            <w:rPr>
              <w:bCs/>
              <w:szCs w:val="24"/>
            </w:rPr>
            <w:t>_______________________________________________________________________________</w:t>
          </w:r>
        </w:p>
        <w:p>
          <w:pPr>
            <w:jc w:val="center"/>
            <w:rPr>
              <w:b/>
              <w:szCs w:val="24"/>
              <w:lang w:eastAsia="lt-LT"/>
            </w:rPr>
          </w:pPr>
          <w:r>
            <w:rPr>
              <w:szCs w:val="24"/>
              <w:lang w:eastAsia="lt-LT"/>
            </w:rPr>
            <w:t>(viešojo sektoriaus subjekto, parengusio valstybės veiklos rezultatų ataskaitą, kodas, adresas)</w:t>
          </w:r>
        </w:p>
        <w:p>
          <w:pPr>
            <w:rPr>
              <w:szCs w:val="24"/>
              <w:lang w:eastAsia="lt-LT"/>
            </w:rPr>
          </w:pPr>
        </w:p>
        <w:sdt>
          <w:sdtPr>
            <w:alias w:val="skirsnis"/>
            <w:tag w:val="part_ade0d169e22b48a08ee2ed04a390ec66"/>
            <w:lock w:val="sdtLocked"/>
            <w:richText/>
          </w:sdtPr>
          <w:sdtContent>
            <w:p>
              <w:pPr>
                <w:jc w:val="center"/>
                <w:rPr>
                  <w:b/>
                  <w:szCs w:val="24"/>
                  <w:lang w:eastAsia="lt-LT"/>
                </w:rPr>
              </w:pPr>
              <w:sdt>
                <w:sdtPr>
                  <w:alias w:val="Pavadinimas"/>
                  <w:tag w:val="title_ade0d169e22b48a08ee2ed04a390ec66"/>
                  <w:lock w:val="sdtLocked"/>
                  <w:richText/>
                </w:sdtPr>
                <w:sdtContent>
                  <w:r>
                    <w:rPr>
                      <w:b/>
                      <w:szCs w:val="24"/>
                      <w:lang w:eastAsia="lt-LT"/>
                    </w:rPr>
                    <w:t>____________ IŽDO ______METŲ FINANSINIŲ ATASKAITŲ RINKINYS</w:t>
                  </w:r>
                </w:sdtContent>
              </w:sdt>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spacing w:line="240" w:lineRule="atLeast"/>
                <w:jc w:val="center"/>
                <w:rPr>
                  <w:sz w:val="20"/>
                  <w:lang w:eastAsia="lt-LT"/>
                </w:rPr>
              </w:pPr>
              <w:r>
                <w:rPr>
                  <w:sz w:val="20"/>
                  <w:lang w:eastAsia="lt-LT"/>
                </w:rPr>
                <w:t>_____________________</w:t>
              </w:r>
            </w:p>
            <w:p>
              <w:pPr>
                <w:spacing w:line="240" w:lineRule="atLeast"/>
                <w:jc w:val="center"/>
                <w:rPr>
                  <w:sz w:val="20"/>
                  <w:lang w:eastAsia="lt-LT"/>
                </w:rPr>
              </w:pPr>
              <w:r>
                <w:rPr>
                  <w:sz w:val="20"/>
                  <w:lang w:eastAsia="lt-LT"/>
                </w:rPr>
                <w:t>(sudarymo vieta)</w:t>
              </w:r>
            </w:p>
            <w:p>
              <w:pPr>
                <w:rPr>
                  <w:szCs w:val="24"/>
                </w:rPr>
              </w:pPr>
            </w:p>
          </w:sdtContent>
        </w:sdt>
        <w:sdt>
          <w:sdtPr>
            <w:alias w:val="skirsnis"/>
            <w:tag w:val="part_e998f6d66bcc40d088ad4872ae880b9e"/>
            <w:lock w:val="sdtLocked"/>
            <w:richText/>
          </w:sdtPr>
          <w:sdtContent>
            <w:p>
              <w:pPr>
                <w:jc w:val="center"/>
                <w:rPr>
                  <w:b/>
                  <w:sz w:val="28"/>
                  <w:szCs w:val="24"/>
                </w:rPr>
              </w:pPr>
              <w:sdt>
                <w:sdtPr>
                  <w:alias w:val="Pavadinimas"/>
                  <w:tag w:val="title_e998f6d66bcc40d088ad4872ae880b9e"/>
                  <w:lock w:val="sdtLocked"/>
                  <w:richText/>
                </w:sdtPr>
                <w:sdtContent>
                  <w:r>
                    <w:rPr>
                      <w:b/>
                      <w:sz w:val="28"/>
                      <w:szCs w:val="24"/>
                    </w:rPr>
                    <w:t>TURINYS</w:t>
                  </w:r>
                </w:sdtContent>
              </w:sdt>
            </w:p>
            <w:p>
              <w:pPr>
                <w:jc w:val="center"/>
                <w:rPr>
                  <w:b/>
                  <w:sz w:val="28"/>
                  <w:szCs w:val="24"/>
                </w:rPr>
              </w:pPr>
            </w:p>
          </w:sdtContent>
        </w:sdt>
        <w:sdt>
          <w:sdtPr>
            <w:alias w:val="skirsnis"/>
            <w:tag w:val="part_f03f220a5d864a0ba46b2669924eda62"/>
            <w:lock w:val="sdtLocked"/>
            <w:richText/>
          </w:sdtPr>
          <w:sdtContent>
            <w:p>
              <w:pPr>
                <w:spacing w:line="276" w:lineRule="auto"/>
                <w:rPr>
                  <w:b/>
                  <w:szCs w:val="24"/>
                </w:rPr>
              </w:pPr>
              <w:sdt>
                <w:sdtPr>
                  <w:alias w:val="Pavadinimas"/>
                  <w:tag w:val="title_f03f220a5d864a0ba46b2669924eda62"/>
                  <w:lock w:val="sdtLocked"/>
                  <w:richText/>
                </w:sdtPr>
                <w:sdtContent>
                  <w:r>
                    <w:rPr>
                      <w:b/>
                      <w:szCs w:val="24"/>
                    </w:rPr>
                    <w:t>METINĖS FINANSINĖS ATASKAITOS:</w:t>
                  </w:r>
                </w:sdtContent>
              </w:sdt>
            </w:p>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AIŠKINAMASIS RAŠTAS</w:t>
                <w:tab/>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iždo ______ metų finansinių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014aa180606347049f08dd2cf8872cd8"/>
            <w:lock w:val="sdtLocked"/>
            <w:richText/>
          </w:sdtPr>
          <w:sdtContent>
            <w:p>
              <w:pPr>
                <w:jc w:val="center"/>
                <w:rPr>
                  <w:b/>
                  <w:bCs/>
                  <w:szCs w:val="24"/>
                  <w:lang w:eastAsia="lt-LT"/>
                </w:rPr>
              </w:pPr>
              <w:sdt>
                <w:sdtPr>
                  <w:alias w:val="Pavadinimas"/>
                  <w:tag w:val="title_014aa180606347049f08dd2cf8872cd8"/>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855" w:type="dxa"/>
                <w:tblLayout w:type="fixed"/>
                <w:tblLook w:val="04A0" w:firstRow="1" w:lastRow="0" w:firstColumn="1" w:lastColumn="0" w:noHBand="0" w:noVBand="1"/>
              </w:tblPr>
              <w:tblGrid>
                <w:gridCol w:w="846"/>
                <w:gridCol w:w="5040"/>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40"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hideMark/>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rPr>
                        <w:b/>
                        <w:bCs/>
                        <w:caps/>
                        <w:sz w:val="20"/>
                        <w:lang w:eastAsia="lt-LT"/>
                      </w:rPr>
                    </w:pPr>
                    <w:r>
                      <w:rPr>
                        <w:b/>
                        <w:bCs/>
                        <w:cap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shd w:val="clear" w:color="auto" w:fill="auto"/>
                    <w:vAlign w:val="center"/>
                  </w:tcPr>
                  <w:p>
                    <w:pPr>
                      <w:spacing w:line="240" w:lineRule="atLeast"/>
                      <w:jc w:val="center"/>
                      <w:rPr>
                        <w:sz w:val="20"/>
                        <w:lang w:eastAsia="lt-LT"/>
                      </w:rPr>
                    </w:pPr>
                    <w:r>
                      <w:rPr>
                        <w:sz w:val="20"/>
                        <w:lang w:eastAsia="lt-LT"/>
                      </w:rPr>
                      <w:t>2.1.</w:t>
                    </w:r>
                  </w:p>
                </w:tc>
                <w:tc>
                  <w:tcPr>
                    <w:tcW w:w="5040" w:type="dxa"/>
                    <w:tcBorders>
                      <w:top w:val="nil"/>
                      <w:left w:val="nil"/>
                      <w:bottom w:val="single" w:sz="4" w:space="0" w:color="auto"/>
                      <w:right w:val="single" w:sz="4" w:space="0" w:color="auto"/>
                    </w:tcBorders>
                    <w:shd w:val="clear" w:color="auto" w:fill="auto"/>
                    <w:noWrap/>
                    <w:vAlign w:val="center"/>
                  </w:tcPr>
                  <w:p>
                    <w:pPr>
                      <w:spacing w:line="240" w:lineRule="atLeast"/>
                      <w:rPr>
                        <w:sz w:val="20"/>
                        <w:lang w:eastAsia="lt-LT"/>
                      </w:rPr>
                    </w:pPr>
                    <w:r>
                      <w:rPr>
                        <w:sz w:val="20"/>
                        <w:lang w:eastAsia="lt-LT"/>
                      </w:rPr>
                      <w:t>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shd w:val="clear" w:color="auto" w:fill="auto"/>
                    <w:vAlign w:val="center"/>
                    <w:hideMark/>
                  </w:tcPr>
                  <w:p>
                    <w:pPr>
                      <w:spacing w:line="240" w:lineRule="atLeast"/>
                      <w:jc w:val="center"/>
                      <w:rPr>
                        <w:sz w:val="20"/>
                        <w:lang w:eastAsia="lt-LT"/>
                      </w:rPr>
                    </w:pPr>
                    <w:r>
                      <w:rPr>
                        <w:sz w:val="20"/>
                        <w:lang w:eastAsia="lt-LT"/>
                      </w:rPr>
                      <w:t>2.2.</w:t>
                    </w:r>
                  </w:p>
                </w:tc>
                <w:tc>
                  <w:tcPr>
                    <w:tcW w:w="5040" w:type="dxa"/>
                    <w:tcBorders>
                      <w:top w:val="nil"/>
                      <w:left w:val="nil"/>
                      <w:bottom w:val="nil"/>
                      <w:right w:val="single" w:sz="4" w:space="0" w:color="auto"/>
                    </w:tcBorders>
                    <w:shd w:val="clear" w:color="auto" w:fill="auto"/>
                    <w:noWrap/>
                    <w:vAlign w:val="center"/>
                    <w:hideMark/>
                  </w:tcPr>
                  <w:p>
                    <w:pPr>
                      <w:spacing w:line="240" w:lineRule="atLeast"/>
                      <w:rPr>
                        <w:caps/>
                        <w:sz w:val="20"/>
                        <w:lang w:eastAsia="lt-LT"/>
                      </w:rPr>
                    </w:pPr>
                    <w:r>
                      <w:rPr>
                        <w:sz w:val="20"/>
                        <w:lang w:eastAsia="lt-LT"/>
                      </w:rPr>
                      <w:t>Per vienus</w:t>
                    </w:r>
                    <w:r>
                      <w:rPr>
                        <w:b/>
                        <w:bCs/>
                        <w:caps/>
                        <w:sz w:val="20"/>
                        <w:lang w:eastAsia="lt-LT"/>
                      </w:rPr>
                      <w:t xml:space="preserve"> </w:t>
                    </w:r>
                    <w:r>
                      <w:rPr>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hideMark/>
                  </w:tcPr>
                  <w:p>
                    <w:pPr>
                      <w:spacing w:line="240" w:lineRule="atLeast"/>
                      <w:jc w:val="center"/>
                      <w:rPr>
                        <w:sz w:val="20"/>
                        <w:lang w:val="en-GB" w:eastAsia="lt-LT"/>
                      </w:rPr>
                    </w:pPr>
                    <w:r>
                      <w:rPr>
                        <w:sz w:val="20"/>
                        <w:lang w:eastAsia="lt-LT"/>
                      </w:rPr>
                      <w:t>2.2.</w:t>
                    </w:r>
                    <w:r>
                      <w:rPr>
                        <w:sz w:val="20"/>
                        <w:lang w:val="en-GB" w:eastAsia="lt-LT"/>
                      </w:rPr>
                      <w:t>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tcPr>
                  <w:p>
                    <w:pPr>
                      <w:spacing w:line="240" w:lineRule="atLeast"/>
                      <w:jc w:val="center"/>
                      <w:rPr>
                        <w:sz w:val="20"/>
                        <w:lang w:eastAsia="lt-LT"/>
                      </w:rPr>
                    </w:pPr>
                    <w:r>
                      <w:rPr>
                        <w:sz w:val="20"/>
                        <w:lang w:eastAsia="lt-LT"/>
                      </w:rPr>
                      <w:t>2.2.2.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240" w:lineRule="atLeast"/>
                      <w:ind w:left="220"/>
                      <w:rPr>
                        <w:sz w:val="20"/>
                        <w:lang w:eastAsia="lt-LT"/>
                      </w:rPr>
                    </w:pPr>
                    <w:r>
                      <w:rPr>
                        <w:sz w:val="20"/>
                        <w:lang w:eastAsia="lt-LT"/>
                      </w:rPr>
                      <w:t>Gautini mokesčiai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hideMark/>
                  </w:tcPr>
                  <w:p>
                    <w:pPr>
                      <w:spacing w:line="240" w:lineRule="atLeast"/>
                      <w:jc w:val="center"/>
                      <w:rPr>
                        <w:sz w:val="20"/>
                        <w:lang w:eastAsia="lt-LT"/>
                      </w:rPr>
                    </w:pPr>
                    <w:r>
                      <w:rPr>
                        <w:sz w:val="20"/>
                        <w:lang w:eastAsia="lt-LT"/>
                      </w:rPr>
                      <w:t>2.2.3.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tcPr>
                  <w:p>
                    <w:pPr>
                      <w:spacing w:line="240" w:lineRule="atLeast"/>
                      <w:jc w:val="center"/>
                      <w:rPr>
                        <w:sz w:val="20"/>
                        <w:lang w:eastAsia="lt-LT"/>
                      </w:rPr>
                    </w:pPr>
                    <w:r>
                      <w:rPr>
                        <w:sz w:val="20"/>
                        <w:lang w:eastAsia="lt-LT"/>
                      </w:rPr>
                      <w:t>2.2.4.</w:t>
                    </w:r>
                  </w:p>
                </w:tc>
                <w:tc>
                  <w:tcPr>
                    <w:tcW w:w="5040" w:type="dxa"/>
                    <w:tcBorders>
                      <w:top w:val="single" w:sz="4" w:space="0" w:color="auto"/>
                      <w:left w:val="single" w:sz="4" w:space="0" w:color="auto"/>
                      <w:bottom w:val="nil"/>
                      <w:right w:val="single" w:sz="4" w:space="0" w:color="auto"/>
                    </w:tcBorders>
                    <w:shd w:val="clear" w:color="auto" w:fill="auto"/>
                    <w:noWrap/>
                    <w:vAlign w:val="center"/>
                  </w:tcPr>
                  <w:p>
                    <w:pPr>
                      <w:spacing w:line="240" w:lineRule="atLeast"/>
                      <w:ind w:left="220"/>
                      <w:rPr>
                        <w:sz w:val="20"/>
                        <w:lang w:eastAsia="lt-LT"/>
                      </w:rPr>
                    </w:pPr>
                    <w:r>
                      <w:rPr>
                        <w:sz w:val="20"/>
                        <w:lang w:eastAsia="lt-LT"/>
                      </w:rPr>
                      <w:t>Gautinos įmokų į fondus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hideMark/>
                  </w:tcPr>
                  <w:p>
                    <w:pPr>
                      <w:spacing w:line="240" w:lineRule="atLeast"/>
                      <w:jc w:val="center"/>
                      <w:rPr>
                        <w:sz w:val="20"/>
                        <w:lang w:eastAsia="lt-LT"/>
                      </w:rPr>
                    </w:pPr>
                    <w:r>
                      <w:rPr>
                        <w:sz w:val="20"/>
                        <w:lang w:eastAsia="lt-LT"/>
                      </w:rPr>
                      <w:t>2.2.5.</w:t>
                    </w:r>
                  </w:p>
                </w:tc>
                <w:tc>
                  <w:tcPr>
                    <w:tcW w:w="5040" w:type="dxa"/>
                    <w:tcBorders>
                      <w:top w:val="single" w:sz="4" w:space="0" w:color="auto"/>
                      <w:left w:val="single" w:sz="4" w:space="0" w:color="auto"/>
                      <w:bottom w:val="nil"/>
                      <w:right w:val="single" w:sz="4" w:space="0" w:color="auto"/>
                    </w:tcBorders>
                    <w:shd w:val="clear" w:color="auto" w:fill="auto"/>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hideMark/>
                  </w:tcPr>
                  <w:p>
                    <w:pPr>
                      <w:spacing w:line="240" w:lineRule="atLeast"/>
                      <w:jc w:val="center"/>
                      <w:rPr>
                        <w:sz w:val="20"/>
                        <w:lang w:eastAsia="lt-LT"/>
                      </w:rPr>
                    </w:pPr>
                    <w:r>
                      <w:rPr>
                        <w:sz w:val="20"/>
                        <w:lang w:eastAsia="lt-LT"/>
                      </w:rPr>
                      <w:t>2.2.6.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spacing w:line="240" w:lineRule="atLeast"/>
                      <w:ind w:left="220"/>
                      <w:rPr>
                        <w:sz w:val="20"/>
                        <w:lang w:eastAsia="lt-LT"/>
                      </w:rPr>
                    </w:pPr>
                    <w:r>
                      <w:rPr>
                        <w:sz w:val="20"/>
                        <w:lang w:eastAsia="lt-LT"/>
                      </w:rPr>
                      <w:t>Gautinos sumos už turto naudojimą, parduotas prekes, turtą, paslaugas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shd w:val="clear" w:color="auto" w:fill="auto"/>
                    <w:vAlign w:val="center"/>
                  </w:tcPr>
                  <w:p>
                    <w:pPr>
                      <w:spacing w:line="240" w:lineRule="atLeast"/>
                      <w:jc w:val="center"/>
                      <w:rPr>
                        <w:sz w:val="20"/>
                        <w:lang w:eastAsia="lt-LT"/>
                      </w:rPr>
                    </w:pPr>
                    <w:r>
                      <w:rPr>
                        <w:sz w:val="20"/>
                        <w:lang w:eastAsia="lt-LT"/>
                      </w:rPr>
                      <w:t>2.2.7.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shd w:val="clear" w:color="auto" w:fill="auto"/>
                    <w:vAlign w:val="center"/>
                    <w:hideMark/>
                  </w:tcPr>
                  <w:p>
                    <w:pPr>
                      <w:spacing w:line="240" w:lineRule="atLeast"/>
                      <w:jc w:val="center"/>
                      <w:rPr>
                        <w:sz w:val="20"/>
                        <w:lang w:eastAsia="lt-LT"/>
                      </w:rPr>
                    </w:pPr>
                    <w:r>
                      <w:rPr>
                        <w:sz w:val="20"/>
                        <w:lang w:eastAsia="lt-LT"/>
                      </w:rPr>
                      <w:t>2.3.</w:t>
                    </w:r>
                  </w:p>
                </w:tc>
                <w:tc>
                  <w:tcPr>
                    <w:tcW w:w="5040" w:type="dxa"/>
                    <w:tcBorders>
                      <w:top w:val="nil"/>
                      <w:left w:val="nil"/>
                      <w:bottom w:val="single" w:sz="4" w:space="0" w:color="auto"/>
                      <w:right w:val="single" w:sz="4" w:space="0" w:color="auto"/>
                    </w:tcBorders>
                    <w:shd w:val="clear" w:color="auto" w:fill="auto"/>
                    <w:noWrap/>
                    <w:vAlign w:val="center"/>
                    <w:hideMark/>
                  </w:tcPr>
                  <w:p>
                    <w:pPr>
                      <w:spacing w:line="240" w:lineRule="atLeast"/>
                      <w:rPr>
                        <w:caps/>
                        <w:sz w:val="20"/>
                        <w:lang w:eastAsia="lt-LT"/>
                      </w:rPr>
                    </w:pPr>
                    <w:r>
                      <w:rPr>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shd w:val="clear" w:color="auto" w:fill="auto"/>
                    <w:vAlign w:val="center"/>
                    <w:hideMark/>
                  </w:tcPr>
                  <w:p>
                    <w:pPr>
                      <w:spacing w:line="240" w:lineRule="atLeast"/>
                      <w:jc w:val="center"/>
                      <w:rPr>
                        <w:sz w:val="20"/>
                        <w:lang w:eastAsia="lt-LT"/>
                      </w:rPr>
                    </w:pPr>
                    <w:r>
                      <w:rPr>
                        <w:sz w:val="20"/>
                        <w:lang w:eastAsia="lt-LT"/>
                      </w:rPr>
                      <w:t>2.4.</w:t>
                    </w:r>
                  </w:p>
                </w:tc>
                <w:tc>
                  <w:tcPr>
                    <w:tcW w:w="5040" w:type="dxa"/>
                    <w:tcBorders>
                      <w:top w:val="single" w:sz="4" w:space="0" w:color="auto"/>
                      <w:left w:val="nil"/>
                      <w:bottom w:val="single" w:sz="4" w:space="0" w:color="auto"/>
                      <w:right w:val="single" w:sz="4" w:space="0" w:color="auto"/>
                    </w:tcBorders>
                    <w:shd w:val="clear" w:color="auto" w:fill="auto"/>
                    <w:noWrap/>
                    <w:vAlign w:val="center"/>
                    <w:hideMark/>
                  </w:tcPr>
                  <w:p>
                    <w:pPr>
                      <w:spacing w:line="240" w:lineRule="atLeast"/>
                      <w:rPr>
                        <w:caps/>
                        <w:sz w:val="20"/>
                        <w:lang w:val="en-GB" w:eastAsia="lt-LT"/>
                      </w:rPr>
                    </w:pPr>
                    <w:r>
                      <w:rPr>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4.1.</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5040"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savivaldybių biudžetų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4.3.</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Europos Sąjungos, užsienio valstybių ir tarptautinių organizacijų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4.4.</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sz w:val="20"/>
                        <w:lang w:eastAsia="lt-LT"/>
                      </w:rPr>
                      <w:t xml:space="preserve">Iš viešojo sektoriaus subjektų pajamų </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4.5.</w:t>
                    </w:r>
                  </w:p>
                </w:tc>
                <w:tc>
                  <w:tcPr>
                    <w:tcW w:w="5040" w:type="dxa"/>
                    <w:tcBorders>
                      <w:top w:val="nil"/>
                      <w:left w:val="nil"/>
                      <w:bottom w:val="single" w:sz="4" w:space="0" w:color="auto"/>
                      <w:right w:val="single" w:sz="4" w:space="0" w:color="auto"/>
                    </w:tcBorders>
                    <w:noWrap/>
                    <w:vAlign w:val="center"/>
                  </w:tcPr>
                  <w:p>
                    <w:pPr>
                      <w:spacing w:line="240" w:lineRule="atLeast"/>
                      <w:rPr>
                        <w:b/>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5.1.</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5.2.</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5040"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5040"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5.3.1</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w:t>
                    </w:r>
                  </w:p>
                </w:tc>
                <w:tc>
                  <w:tcPr>
                    <w:tcW w:w="5040"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5.3.3.1</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5.3.3.2</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6.1.</w:t>
                    </w:r>
                  </w:p>
                </w:tc>
                <w:tc>
                  <w:tcPr>
                    <w:tcW w:w="5040" w:type="dxa"/>
                    <w:tcBorders>
                      <w:top w:val="nil"/>
                      <w:left w:val="nil"/>
                      <w:bottom w:val="single" w:sz="4" w:space="0" w:color="auto"/>
                      <w:right w:val="single" w:sz="4" w:space="0" w:color="auto"/>
                    </w:tcBorders>
                    <w:noWrap/>
                    <w:vAlign w:val="center"/>
                  </w:tcPr>
                  <w:p>
                    <w:pPr>
                      <w:spacing w:line="240" w:lineRule="atLeast"/>
                      <w:rPr>
                        <w:sz w:val="20"/>
                        <w:lang w:eastAsia="lt-LT"/>
                      </w:rPr>
                    </w:pPr>
                    <w:r>
                      <w:rPr>
                        <w:sz w:val="20"/>
                        <w:lang w:eastAsia="lt-LT"/>
                      </w:rPr>
                      <w:t>Rezervai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6.2.</w:t>
                    </w:r>
                  </w:p>
                </w:tc>
                <w:tc>
                  <w:tcPr>
                    <w:tcW w:w="50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5040"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pPr>
              <w:r>
                <w:t>_____________________</w:t>
              </w:r>
            </w:p>
            <w:p>
              <w:pPr>
                <w:sectPr>
                  <w:pgSz w:w="11906" w:h="16838"/>
                  <w:pgMar w:top="1134" w:right="567" w:bottom="1134" w:left="1701" w:header="567" w:footer="567" w:gutter="0"/>
                  <w:cols w:space="1296"/>
                </w:sectPr>
              </w:pPr>
            </w:p>
          </w:sdtContent>
        </w:sdt>
        <w:sdt>
          <w:sdtPr>
            <w:alias w:val="skirsnis"/>
            <w:tag w:val="part_9c8819ef0ce246e2a10bf806c981822a"/>
            <w:lock w:val="sdtLocked"/>
            <w:richText/>
          </w:sdtPr>
          <w:sdtContent>
            <w:p>
              <w:pPr>
                <w:jc w:val="center"/>
                <w:rPr>
                  <w:b/>
                  <w:bCs/>
                  <w:szCs w:val="24"/>
                  <w:lang w:eastAsia="lt-LT"/>
                </w:rPr>
              </w:pPr>
              <w:sdt>
                <w:sdtPr>
                  <w:alias w:val="Pavadinimas"/>
                  <w:tag w:val="title_9c8819ef0ce246e2a10bf806c981822a"/>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822"/>
                <w:jc w:val="right"/>
                <w:rPr>
                  <w:b/>
                  <w:bCs/>
                  <w:szCs w:val="24"/>
                  <w:lang w:eastAsia="lt-LT"/>
                </w:rPr>
              </w:pPr>
              <w:r>
                <w:rPr>
                  <w:i/>
                  <w:iCs/>
                  <w:sz w:val="20"/>
                  <w:lang w:eastAsia="lt-LT"/>
                </w:rPr>
                <w:t xml:space="preserve">Pateikimo valiuta ir tikslumas: eurais </w:t>
              </w:r>
            </w:p>
            <w:tbl>
              <w:tblPr>
                <w:tblW w:w="9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4540"/>
                <w:gridCol w:w="972"/>
                <w:gridCol w:w="1530"/>
                <w:gridCol w:w="1410"/>
              </w:tblGrid>
              <w:tr>
                <w:trPr>
                  <w:trHeight w:val="674"/>
                  <w:tblHeader/>
                </w:trPr>
                <w:tc>
                  <w:tcPr>
                    <w:tcW w:w="108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Eil. Nr.</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Straipsniai</w:t>
                    </w:r>
                  </w:p>
                </w:tc>
                <w:tc>
                  <w:tcPr>
                    <w:tcW w:w="97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Pastabos Nr.</w:t>
                    </w:r>
                  </w:p>
                </w:tc>
                <w:tc>
                  <w:tcPr>
                    <w:tcW w:w="153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41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245"/>
                  <w:tblHeader/>
                </w:trPr>
                <w:tc>
                  <w:tcPr>
                    <w:tcW w:w="108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53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1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Cs/>
                        <w:sz w:val="20"/>
                        <w:lang w:eastAsia="lt-LT"/>
                      </w:rPr>
                      <w:t>1.1.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Cs/>
                        <w:sz w:val="20"/>
                        <w:lang w:eastAsia="lt-LT"/>
                      </w:rPr>
                      <w:t>FINANSAVIMO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valstybės biudžeto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1.1.2.</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savivaldybių biudžetų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1.1.3.</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Europos Sąjungos, užsienio valstybių ir tarptautinių organizacijų lėšų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128"/>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1.1.4.</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viešojo sektoriaus subjektų pajamų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1.1.5.</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fizinių ir privačių juridinių asmenų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122"/>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firstLine="19"/>
                      <w:rPr>
                        <w:sz w:val="20"/>
                        <w:lang w:eastAsia="lt-LT"/>
                      </w:rPr>
                    </w:pPr>
                    <w:r>
                      <w:rPr>
                        <w:sz w:val="20"/>
                        <w:lang w:eastAsia="lt-LT"/>
                      </w:rPr>
                      <w:t>MOKESČIŲ PAJAMOS GRYNĄJA VERTE</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1.2.1</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Mokesčių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1.2.2.</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Pervestinų mokesčių suma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1.3.</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sz w:val="20"/>
                        <w:lang w:eastAsia="lt-LT"/>
                      </w:rPr>
                      <w:t xml:space="preserve">SOCIALINIŲ ĮMOKŲ IR KITŲ ĮMOKŲ Į FONDUS PAJAMOS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10"/>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1.4.</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sz w:val="20"/>
                        <w:lang w:eastAsia="lt-LT"/>
                      </w:rPr>
                      <w:t>KITOS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01"/>
                </w:trPr>
                <w:tc>
                  <w:tcPr>
                    <w:tcW w:w="1082" w:type="dxa"/>
                  </w:tcPr>
                  <w:p>
                    <w:pPr>
                      <w:spacing w:line="276" w:lineRule="auto"/>
                      <w:jc w:val="center"/>
                      <w:rPr>
                        <w:sz w:val="20"/>
                        <w:lang w:eastAsia="lt-LT"/>
                      </w:rPr>
                    </w:pPr>
                    <w:r>
                      <w:rPr>
                        <w:sz w:val="20"/>
                        <w:lang w:eastAsia="lt-LT"/>
                      </w:rPr>
                      <w:t>1.4.1.</w:t>
                    </w:r>
                  </w:p>
                </w:tc>
                <w:tc>
                  <w:tcPr>
                    <w:tcW w:w="4540" w:type="dxa"/>
                  </w:tcPr>
                  <w:p>
                    <w:pPr>
                      <w:spacing w:line="276" w:lineRule="auto"/>
                      <w:ind w:left="219"/>
                      <w:rPr>
                        <w:sz w:val="20"/>
                        <w:lang w:eastAsia="lt-LT"/>
                      </w:rPr>
                    </w:pPr>
                    <w:r>
                      <w:rPr>
                        <w:sz w:val="20"/>
                        <w:lang w:eastAsia="lt-LT"/>
                      </w:rPr>
                      <w:t>Rinkliavų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428"/>
                </w:trPr>
                <w:tc>
                  <w:tcPr>
                    <w:tcW w:w="1082" w:type="dxa"/>
                    <w:hideMark/>
                  </w:tcPr>
                  <w:p>
                    <w:pPr>
                      <w:spacing w:line="276" w:lineRule="auto"/>
                      <w:jc w:val="center"/>
                      <w:rPr>
                        <w:sz w:val="20"/>
                        <w:lang w:eastAsia="lt-LT"/>
                      </w:rPr>
                    </w:pPr>
                    <w:r>
                      <w:rPr>
                        <w:sz w:val="20"/>
                        <w:lang w:eastAsia="lt-LT"/>
                      </w:rPr>
                      <w:t>1.4.2.</w:t>
                    </w:r>
                  </w:p>
                </w:tc>
                <w:tc>
                  <w:tcPr>
                    <w:tcW w:w="4540" w:type="dxa"/>
                    <w:hideMark/>
                  </w:tcPr>
                  <w:p>
                    <w:pPr>
                      <w:spacing w:line="276" w:lineRule="auto"/>
                      <w:ind w:left="219"/>
                      <w:rPr>
                        <w:sz w:val="20"/>
                        <w:lang w:eastAsia="lt-LT"/>
                      </w:rPr>
                    </w:pPr>
                    <w:r>
                      <w:rPr>
                        <w:sz w:val="20"/>
                        <w:lang w:eastAsia="lt-LT"/>
                      </w:rPr>
                      <w:t>Prekių pardavimo ir paslaugų, apmokamų valstybės ar savivaldybių biudžetų, išteklių fondų lėšomis,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131"/>
                </w:trPr>
                <w:tc>
                  <w:tcPr>
                    <w:tcW w:w="1082" w:type="dxa"/>
                    <w:hideMark/>
                  </w:tcPr>
                  <w:p>
                    <w:pPr>
                      <w:spacing w:line="276" w:lineRule="auto"/>
                      <w:jc w:val="center"/>
                      <w:rPr>
                        <w:sz w:val="20"/>
                        <w:lang w:eastAsia="lt-LT"/>
                      </w:rPr>
                    </w:pPr>
                    <w:r>
                      <w:rPr>
                        <w:sz w:val="20"/>
                        <w:lang w:eastAsia="lt-LT"/>
                      </w:rPr>
                      <w:t>1.4.3.</w:t>
                    </w:r>
                  </w:p>
                </w:tc>
                <w:tc>
                  <w:tcPr>
                    <w:tcW w:w="4540" w:type="dxa"/>
                    <w:hideMark/>
                  </w:tcPr>
                  <w:p>
                    <w:pPr>
                      <w:spacing w:line="276" w:lineRule="auto"/>
                      <w:ind w:left="219"/>
                      <w:rPr>
                        <w:sz w:val="20"/>
                        <w:lang w:eastAsia="lt-LT"/>
                      </w:rPr>
                    </w:pPr>
                    <w:r>
                      <w:rPr>
                        <w:sz w:val="20"/>
                        <w:lang w:eastAsia="lt-LT"/>
                      </w:rPr>
                      <w:t>Kitos prekių pardavimo ir paslaugų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179"/>
                </w:trPr>
                <w:tc>
                  <w:tcPr>
                    <w:tcW w:w="1082" w:type="dxa"/>
                    <w:hideMark/>
                  </w:tcPr>
                  <w:p>
                    <w:pPr>
                      <w:spacing w:line="276" w:lineRule="auto"/>
                      <w:jc w:val="center"/>
                      <w:rPr>
                        <w:sz w:val="20"/>
                        <w:lang w:eastAsia="lt-LT"/>
                      </w:rPr>
                    </w:pPr>
                    <w:r>
                      <w:rPr>
                        <w:sz w:val="20"/>
                        <w:lang w:eastAsia="lt-LT"/>
                      </w:rPr>
                      <w:t>1.4.4.</w:t>
                    </w:r>
                  </w:p>
                </w:tc>
                <w:tc>
                  <w:tcPr>
                    <w:tcW w:w="4540" w:type="dxa"/>
                    <w:hideMark/>
                  </w:tcPr>
                  <w:p>
                    <w:pPr>
                      <w:spacing w:line="276" w:lineRule="auto"/>
                      <w:ind w:left="219"/>
                      <w:rPr>
                        <w:sz w:val="20"/>
                        <w:lang w:eastAsia="lt-LT"/>
                      </w:rPr>
                    </w:pPr>
                    <w:r>
                      <w:rPr>
                        <w:sz w:val="20"/>
                        <w:lang w:eastAsia="lt-LT"/>
                      </w:rPr>
                      <w:t>Baudų ir kitų netesybų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95"/>
                </w:trPr>
                <w:tc>
                  <w:tcPr>
                    <w:tcW w:w="1082" w:type="dxa"/>
                    <w:hideMark/>
                  </w:tcPr>
                  <w:p>
                    <w:pPr>
                      <w:spacing w:line="276" w:lineRule="auto"/>
                      <w:jc w:val="center"/>
                      <w:rPr>
                        <w:sz w:val="20"/>
                        <w:lang w:eastAsia="lt-LT"/>
                      </w:rPr>
                    </w:pPr>
                    <w:r>
                      <w:rPr>
                        <w:sz w:val="20"/>
                        <w:lang w:eastAsia="lt-LT"/>
                      </w:rPr>
                      <w:t>1.4.5.</w:t>
                    </w:r>
                  </w:p>
                </w:tc>
                <w:tc>
                  <w:tcPr>
                    <w:tcW w:w="4540" w:type="dxa"/>
                    <w:hideMark/>
                  </w:tcPr>
                  <w:p>
                    <w:pPr>
                      <w:spacing w:line="276" w:lineRule="auto"/>
                      <w:ind w:left="219"/>
                      <w:rPr>
                        <w:sz w:val="20"/>
                        <w:lang w:eastAsia="lt-LT"/>
                      </w:rPr>
                    </w:pPr>
                    <w:r>
                      <w:rPr>
                        <w:sz w:val="20"/>
                        <w:lang w:eastAsia="lt-LT"/>
                      </w:rPr>
                      <w:t>Finansinės ir investicinės veiklos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vAlign w:val="center"/>
                  </w:tcPr>
                  <w:p>
                    <w:pPr>
                      <w:spacing w:line="276" w:lineRule="auto"/>
                      <w:jc w:val="center"/>
                      <w:rPr>
                        <w:sz w:val="20"/>
                        <w:lang w:eastAsia="lt-LT"/>
                      </w:rPr>
                    </w:pPr>
                    <w:r>
                      <w:rPr>
                        <w:sz w:val="20"/>
                        <w:lang w:eastAsia="lt-LT"/>
                      </w:rPr>
                      <w:t>1.4.5.1.</w:t>
                    </w:r>
                  </w:p>
                </w:tc>
                <w:tc>
                  <w:tcPr>
                    <w:tcW w:w="4540" w:type="dxa"/>
                    <w:vAlign w:val="center"/>
                  </w:tcPr>
                  <w:p>
                    <w:pPr>
                      <w:spacing w:line="276" w:lineRule="auto"/>
                      <w:ind w:left="502"/>
                      <w:rPr>
                        <w:sz w:val="20"/>
                        <w:lang w:eastAsia="lt-LT"/>
                      </w:rPr>
                    </w:pPr>
                    <w:r>
                      <w:rPr>
                        <w:bCs/>
                        <w:sz w:val="20"/>
                        <w:lang w:eastAsia="lt-LT"/>
                      </w:rPr>
                      <w:t>Finansinio turto tikrosios vertės padidėjimas ir perleidimo pelnas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93"/>
                </w:trPr>
                <w:tc>
                  <w:tcPr>
                    <w:tcW w:w="1082" w:type="dxa"/>
                    <w:vAlign w:val="center"/>
                  </w:tcPr>
                  <w:p>
                    <w:pPr>
                      <w:spacing w:line="276" w:lineRule="auto"/>
                      <w:jc w:val="center"/>
                      <w:rPr>
                        <w:sz w:val="20"/>
                        <w:lang w:eastAsia="lt-LT"/>
                      </w:rPr>
                    </w:pPr>
                    <w:r>
                      <w:rPr>
                        <w:sz w:val="20"/>
                        <w:lang w:eastAsia="lt-LT"/>
                      </w:rPr>
                      <w:t>1.4.5.2.</w:t>
                    </w:r>
                  </w:p>
                </w:tc>
                <w:tc>
                  <w:tcPr>
                    <w:tcW w:w="4540" w:type="dxa"/>
                    <w:vAlign w:val="center"/>
                  </w:tcPr>
                  <w:p>
                    <w:pPr>
                      <w:spacing w:line="276" w:lineRule="auto"/>
                      <w:ind w:left="502"/>
                      <w:rPr>
                        <w:sz w:val="20"/>
                        <w:lang w:eastAsia="lt-LT"/>
                      </w:rPr>
                    </w:pPr>
                    <w:r>
                      <w:rPr>
                        <w:bCs/>
                        <w:sz w:val="20"/>
                        <w:lang w:eastAsia="lt-LT"/>
                      </w:rPr>
                      <w:t>Palūkanų pajamos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97"/>
                </w:trPr>
                <w:tc>
                  <w:tcPr>
                    <w:tcW w:w="1082" w:type="dxa"/>
                    <w:vAlign w:val="center"/>
                  </w:tcPr>
                  <w:p>
                    <w:pPr>
                      <w:spacing w:line="276" w:lineRule="auto"/>
                      <w:jc w:val="center"/>
                      <w:rPr>
                        <w:sz w:val="20"/>
                        <w:lang w:eastAsia="lt-LT"/>
                      </w:rPr>
                    </w:pPr>
                    <w:r>
                      <w:rPr>
                        <w:sz w:val="20"/>
                        <w:lang w:eastAsia="lt-LT"/>
                      </w:rPr>
                      <w:t>1.4.5.3.</w:t>
                    </w:r>
                  </w:p>
                </w:tc>
                <w:tc>
                  <w:tcPr>
                    <w:tcW w:w="4540" w:type="dxa"/>
                    <w:vAlign w:val="center"/>
                  </w:tcPr>
                  <w:p>
                    <w:pPr>
                      <w:spacing w:line="276" w:lineRule="auto"/>
                      <w:ind w:left="502"/>
                      <w:rPr>
                        <w:sz w:val="20"/>
                        <w:lang w:eastAsia="lt-LT"/>
                      </w:rPr>
                    </w:pPr>
                    <w:r>
                      <w:rPr>
                        <w:bCs/>
                        <w:sz w:val="20"/>
                        <w:lang w:eastAsia="lt-LT"/>
                      </w:rPr>
                      <w:t>Kitos finansinės ir investicinės veiklos pajamos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144"/>
                </w:trPr>
                <w:tc>
                  <w:tcPr>
                    <w:tcW w:w="1082" w:type="dxa"/>
                    <w:hideMark/>
                  </w:tcPr>
                  <w:p>
                    <w:pPr>
                      <w:spacing w:line="276" w:lineRule="auto"/>
                      <w:jc w:val="center"/>
                      <w:rPr>
                        <w:sz w:val="20"/>
                        <w:lang w:eastAsia="lt-LT"/>
                      </w:rPr>
                    </w:pPr>
                    <w:r>
                      <w:rPr>
                        <w:sz w:val="20"/>
                        <w:lang w:eastAsia="lt-LT"/>
                      </w:rPr>
                      <w:t>1.4.6.</w:t>
                    </w:r>
                  </w:p>
                </w:tc>
                <w:tc>
                  <w:tcPr>
                    <w:tcW w:w="4540" w:type="dxa"/>
                    <w:hideMark/>
                  </w:tcPr>
                  <w:p>
                    <w:pPr>
                      <w:spacing w:line="276" w:lineRule="auto"/>
                      <w:ind w:left="219"/>
                      <w:rPr>
                        <w:sz w:val="20"/>
                        <w:lang w:eastAsia="lt-LT"/>
                      </w:rPr>
                    </w:pPr>
                    <w:r>
                      <w:rPr>
                        <w:sz w:val="20"/>
                        <w:lang w:eastAsia="lt-LT"/>
                      </w:rPr>
                      <w:t xml:space="preserve">Kitos </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hideMark/>
                  </w:tcPr>
                  <w:p>
                    <w:pPr>
                      <w:spacing w:line="276" w:lineRule="auto"/>
                      <w:jc w:val="center"/>
                      <w:rPr>
                        <w:sz w:val="20"/>
                        <w:lang w:eastAsia="lt-LT"/>
                      </w:rPr>
                    </w:pPr>
                    <w:r>
                      <w:rPr>
                        <w:sz w:val="20"/>
                        <w:lang w:eastAsia="lt-LT"/>
                      </w:rPr>
                      <w:t>1.4.7.</w:t>
                    </w:r>
                  </w:p>
                </w:tc>
                <w:tc>
                  <w:tcPr>
                    <w:tcW w:w="4540" w:type="dxa"/>
                    <w:hideMark/>
                  </w:tcPr>
                  <w:p>
                    <w:pPr>
                      <w:spacing w:line="276" w:lineRule="auto"/>
                      <w:ind w:left="219"/>
                      <w:rPr>
                        <w:sz w:val="20"/>
                        <w:lang w:eastAsia="lt-LT"/>
                      </w:rPr>
                    </w:pPr>
                    <w:r>
                      <w:rPr>
                        <w:sz w:val="20"/>
                        <w:lang w:eastAsia="lt-LT"/>
                      </w:rPr>
                      <w:t>Negrąžintinai pervestinos į valstybės ar savivaldybių biudžetus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87"/>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20"/>
                      <w:rPr>
                        <w:b/>
                        <w:bCs/>
                        <w:sz w:val="20"/>
                        <w:lang w:eastAsia="lt-LT"/>
                      </w:rPr>
                    </w:pPr>
                    <w:r>
                      <w:rPr>
                        <w:sz w:val="20"/>
                        <w:lang w:eastAsia="lt-LT"/>
                      </w:rPr>
                      <w:t xml:space="preserve">NUVERTĖJIMO IR NURAŠYTŲ SUMŲ SĄNAUDOS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firstLine="20"/>
                      <w:rPr>
                        <w:sz w:val="20"/>
                        <w:lang w:eastAsia="lt-LT"/>
                      </w:rPr>
                    </w:pPr>
                    <w:r>
                      <w:rPr>
                        <w:sz w:val="20"/>
                        <w:lang w:eastAsia="lt-LT"/>
                      </w:rPr>
                      <w:t>SOCIALINIŲ IŠMOKŲ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20"/>
                      <w:rPr>
                        <w:sz w:val="20"/>
                        <w:lang w:eastAsia="lt-LT"/>
                      </w:rPr>
                    </w:pPr>
                    <w:r>
                      <w:rPr>
                        <w:sz w:val="20"/>
                        <w:lang w:eastAsia="lt-LT"/>
                      </w:rPr>
                      <w:t>FINANSAVIMO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right="-57" w:firstLine="20"/>
                      <w:rPr>
                        <w:b/>
                        <w:bCs/>
                        <w:sz w:val="20"/>
                        <w:lang w:eastAsia="lt-LT"/>
                      </w:rPr>
                    </w:pPr>
                    <w:r>
                      <w:rPr>
                        <w:sz w:val="20"/>
                        <w:lang w:eastAsia="lt-LT"/>
                      </w:rPr>
                      <w:t>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bCs/>
                        <w:sz w:val="20"/>
                        <w:lang w:eastAsia="lt-LT"/>
                      </w:rPr>
                      <w:t>Finansinio turto vertės sumažėjimas, perleidimo nuostolis, nuvertėjimas ir nurašymas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bCs/>
                        <w:sz w:val="20"/>
                        <w:lang w:eastAsia="lt-LT"/>
                      </w:rPr>
                      <w:t>Palūkanų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bCs/>
                        <w:sz w:val="20"/>
                        <w:lang w:eastAsia="lt-LT"/>
                      </w:rPr>
                      <w:t>Kitos 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firstLine="20"/>
                      <w:jc w:val="both"/>
                      <w:rPr>
                        <w:bCs/>
                        <w:sz w:val="20"/>
                        <w:lang w:eastAsia="lt-LT"/>
                      </w:rPr>
                    </w:pPr>
                    <w:r>
                      <w:rPr>
                        <w:bCs/>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pPr>
              <w:r>
                <w:t>________________________</w:t>
              </w:r>
            </w:p>
            <w:p>
              <w:pPr>
                <w:sectPr>
                  <w:pgSz w:w="11906" w:h="16838"/>
                  <w:pgMar w:top="1077" w:right="1134" w:bottom="1077" w:left="1440" w:header="567" w:footer="567" w:gutter="0"/>
                  <w:cols w:space="1296"/>
                </w:sectPr>
              </w:pPr>
            </w:p>
          </w:sdtContent>
        </w:sdt>
        <w:sdt>
          <w:sdtPr>
            <w:alias w:val="skirsnis"/>
            <w:tag w:val="part_95e37c49c86149e49a535e93ebff1550"/>
            <w:lock w:val="sdtLocked"/>
            <w:richText/>
          </w:sdtPr>
          <w:sdtContent>
            <w:p>
              <w:pPr>
                <w:suppressAutoHyphens/>
                <w:jc w:val="center"/>
                <w:textAlignment w:val="baseline"/>
                <w:rPr>
                  <w:b/>
                  <w:bCs/>
                  <w:szCs w:val="24"/>
                  <w:lang w:eastAsia="lt-LT"/>
                </w:rPr>
              </w:pPr>
              <w:sdt>
                <w:sdtPr>
                  <w:alias w:val="Pavadinimas"/>
                  <w:tag w:val="title_95e37c49c86149e49a535e93ebff1550"/>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966" w:type="dxa"/>
                <w:tblCellMar>
                  <w:left w:w="10" w:type="dxa"/>
                  <w:right w:w="10" w:type="dxa"/>
                </w:tblCellMar>
                <w:tblLook w:val="04A0" w:firstRow="1" w:lastRow="0" w:firstColumn="1" w:lastColumn="0" w:noHBand="0" w:noVBand="1"/>
              </w:tblPr>
              <w:tblGrid>
                <w:gridCol w:w="816"/>
                <w:gridCol w:w="5389"/>
                <w:gridCol w:w="1073"/>
                <w:gridCol w:w="1368"/>
                <w:gridCol w:w="1320"/>
              </w:tblGrid>
              <w:tr>
                <w:trPr>
                  <w:trHeight w:val="549"/>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538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53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1"/>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3"/>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53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53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1.1.1.2.</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savivaldybių biudžetų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Europos Sąjungos, užsienio valstybių ir tarptautinių organizacijų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viešojo sektoriaus subjektų pajamų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1.1.1.5.</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fizinių ir privačių juridinių asmenų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ind w:left="179"/>
                      <w:textAlignment w:val="baseline"/>
                      <w:rPr>
                        <w:sz w:val="20"/>
                        <w:lang w:eastAsia="lt-LT"/>
                      </w:rPr>
                    </w:pPr>
                    <w:r>
                      <w:rPr>
                        <w:sz w:val="20"/>
                        <w:lang w:eastAsia="lt-LT"/>
                      </w:rPr>
                      <w:t>Iš mokesčių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3"/>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4"/>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1.1.5.</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kitus išteklių fondus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10"/>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Socialinių išmokų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5"/>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Išlaidos įsigijus ilgalaikį finansinį turtą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Įplaukos perleidus ilgalaikį finansinį turtą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5389"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506"/>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53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538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7"/>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538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6"/>
                </w:trPr>
                <w:tc>
                  <w:tcPr>
                    <w:tcW w:w="70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53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rPr>
                  <w:szCs w:val="24"/>
                  <w:lang w:eastAsia="lt-LT"/>
                </w:rPr>
                <w:sectPr>
                  <w:pgSz w:w="11906" w:h="16838"/>
                  <w:pgMar w:top="1134" w:right="567" w:bottom="1134" w:left="1701" w:header="567" w:footer="567" w:gutter="0"/>
                  <w:cols w:space="1296"/>
                </w:sectPr>
              </w:pPr>
              <w:r>
                <w:rPr>
                  <w:szCs w:val="24"/>
                  <w:lang w:eastAsia="lt-LT"/>
                </w:rPr>
                <w:t>______________</w:t>
              </w:r>
            </w:p>
          </w:sdtContent>
        </w:sdt>
      </w:sdtContent>
    </w:sdt>
    <w:sdt>
      <w:sdtPr>
        <w:alias w:val="5 pr."/>
        <w:tag w:val="part_f62b24af964543e1b182a8a7eaec1bd9"/>
        <w:lock w:val="sdtLocked"/>
        <w:richText/>
      </w:sdtPr>
      <w:sdtContent>
        <w:p>
          <w:pPr>
            <w:tabs>
              <w:tab w:val="left" w:pos="5387"/>
            </w:tabs>
            <w:ind w:left="5387" w:hanging="851"/>
            <w:rPr>
              <w:szCs w:val="24"/>
              <w:lang w:eastAsia="lt-LT"/>
            </w:rPr>
          </w:pPr>
          <w:r>
            <w:rPr>
              <w:szCs w:val="24"/>
              <w:lang w:eastAsia="lt-LT"/>
            </w:rPr>
            <w:t xml:space="preserve">26-ojo viešojo sektoriaus apskaitos ir </w:t>
          </w:r>
        </w:p>
        <w:p>
          <w:pPr>
            <w:tabs>
              <w:tab w:val="left" w:pos="913"/>
              <w:tab w:val="left" w:pos="6320"/>
              <w:tab w:val="left" w:pos="9372"/>
            </w:tabs>
            <w:ind w:left="4535"/>
            <w:rPr>
              <w:szCs w:val="24"/>
              <w:lang w:eastAsia="lt-LT"/>
            </w:rPr>
          </w:pPr>
          <w:r>
            <w:rPr>
              <w:szCs w:val="24"/>
              <w:lang w:eastAsia="lt-LT"/>
            </w:rPr>
            <w:t>finansinės atskaitomybės standarto „Fondų apskaita ir finansinių ataskaitų rinkinys“</w:t>
          </w:r>
        </w:p>
        <w:p>
          <w:pPr>
            <w:tabs>
              <w:tab w:val="left" w:pos="913"/>
              <w:tab w:val="left" w:pos="6320"/>
              <w:tab w:val="left" w:pos="9372"/>
            </w:tabs>
            <w:ind w:left="4535"/>
            <w:rPr>
              <w:szCs w:val="24"/>
              <w:lang w:eastAsia="lt-LT"/>
            </w:rPr>
          </w:pPr>
          <w:sdt>
            <w:sdtPr>
              <w:alias w:val="Numeris"/>
              <w:tag w:val="nr_f62b24af964543e1b182a8a7eaec1bd9"/>
              <w:lock w:val="sdtLocked"/>
              <w:richText/>
            </w:sdtPr>
            <w:sdtContent>
              <w:r>
                <w:rPr>
                  <w:szCs w:val="24"/>
                  <w:lang w:eastAsia="lt-LT"/>
                </w:rPr>
                <w:t>5</w:t>
              </w:r>
            </w:sdtContent>
          </w:sdt>
          <w:r>
            <w:rPr>
              <w:szCs w:val="24"/>
              <w:lang w:eastAsia="lt-LT"/>
            </w:rPr>
            <w:t xml:space="preserve"> priedas</w:t>
          </w:r>
        </w:p>
        <w:p>
          <w:pPr>
            <w:tabs>
              <w:tab w:val="left" w:pos="913"/>
              <w:tab w:val="left" w:pos="6320"/>
              <w:tab w:val="left" w:pos="9372"/>
            </w:tabs>
            <w:spacing w:line="240" w:lineRule="atLeast"/>
            <w:ind w:left="4535"/>
            <w:rPr>
              <w:szCs w:val="24"/>
              <w:lang w:eastAsia="lt-LT"/>
            </w:rPr>
          </w:pPr>
        </w:p>
        <w:p>
          <w:pPr>
            <w:tabs>
              <w:tab w:val="left" w:pos="913"/>
              <w:tab w:val="left" w:pos="6320"/>
              <w:tab w:val="left" w:pos="9372"/>
            </w:tabs>
            <w:spacing w:line="240" w:lineRule="atLeast"/>
            <w:jc w:val="center"/>
            <w:rPr>
              <w:b/>
              <w:szCs w:val="24"/>
              <w:lang w:eastAsia="lt-LT"/>
            </w:rPr>
          </w:pPr>
          <w:sdt>
            <w:sdtPr>
              <w:alias w:val="Pavadinimas"/>
              <w:tag w:val="title_f62b24af964543e1b182a8a7eaec1bd9"/>
              <w:lock w:val="sdtLocked"/>
              <w:richText/>
            </w:sdtPr>
            <w:sdtContent>
              <w:r>
                <w:rPr>
                  <w:b/>
                  <w:szCs w:val="24"/>
                  <w:lang w:eastAsia="lt-LT"/>
                </w:rPr>
                <w:t>(Fondų fondo ar kito išteklių fondo finansinių ataskaitų rinkinio forma)</w:t>
              </w:r>
            </w:sdtContent>
          </w:sdt>
        </w:p>
        <w:p>
          <w:pPr>
            <w:tabs>
              <w:tab w:val="left" w:pos="913"/>
              <w:tab w:val="left" w:pos="6320"/>
              <w:tab w:val="left" w:pos="9372"/>
            </w:tabs>
            <w:spacing w:line="240" w:lineRule="atLeast"/>
            <w:jc w:val="center"/>
            <w:rPr>
              <w:b/>
              <w:szCs w:val="24"/>
              <w:lang w:eastAsia="lt-LT"/>
            </w:rPr>
          </w:pPr>
        </w:p>
        <w:p>
          <w:pPr>
            <w:tabs>
              <w:tab w:val="left" w:pos="913"/>
              <w:tab w:val="left" w:pos="6320"/>
              <w:tab w:val="left" w:pos="9372"/>
            </w:tabs>
            <w:spacing w:line="240" w:lineRule="atLeast"/>
            <w:jc w:val="center"/>
            <w:rPr>
              <w:szCs w:val="24"/>
              <w:lang w:eastAsia="lt-LT"/>
            </w:rPr>
          </w:pPr>
          <w:r>
            <w:rPr>
              <w:szCs w:val="24"/>
              <w:lang w:eastAsia="lt-LT"/>
            </w:rPr>
            <w:t>____________________________________________</w:t>
          </w:r>
        </w:p>
        <w:p>
          <w:pPr>
            <w:tabs>
              <w:tab w:val="left" w:leader="underscore" w:pos="8901"/>
            </w:tabs>
            <w:jc w:val="center"/>
            <w:rPr>
              <w:bCs/>
              <w:szCs w:val="24"/>
            </w:rPr>
          </w:pPr>
          <w:r>
            <w:rPr>
              <w:bCs/>
              <w:szCs w:val="24"/>
            </w:rPr>
            <w:t>(fondo pavadinimas)</w:t>
          </w:r>
        </w:p>
        <w:p>
          <w:pPr>
            <w:tabs>
              <w:tab w:val="left" w:leader="underscore" w:pos="8901"/>
            </w:tabs>
            <w:jc w:val="center"/>
            <w:rPr>
              <w:bCs/>
              <w:i/>
              <w:iCs/>
              <w:szCs w:val="24"/>
            </w:rPr>
          </w:pPr>
          <w:r>
            <w:rPr>
              <w:bCs/>
              <w:i/>
              <w:iCs/>
              <w:szCs w:val="24"/>
            </w:rPr>
            <w:t>_______________________________________________________________________________</w:t>
          </w:r>
        </w:p>
        <w:p>
          <w:pPr>
            <w:jc w:val="center"/>
            <w:rPr>
              <w:b/>
              <w:szCs w:val="24"/>
              <w:lang w:eastAsia="lt-LT"/>
            </w:rPr>
          </w:pPr>
          <w:r>
            <w:rPr>
              <w:szCs w:val="24"/>
              <w:lang w:eastAsia="lt-LT"/>
            </w:rPr>
            <w:t>(viešojo sektoriaus subjekto, parengusio valstybės veiklos rezultatų ataskaitą, kodas, adresas)</w:t>
          </w:r>
        </w:p>
        <w:p>
          <w:pPr>
            <w:rPr>
              <w:szCs w:val="24"/>
              <w:lang w:eastAsia="lt-LT"/>
            </w:rPr>
          </w:pPr>
        </w:p>
        <w:sdt>
          <w:sdtPr>
            <w:alias w:val="skirsnis"/>
            <w:tag w:val="part_207cf73d35c24afcbbed3c1701523b2e"/>
            <w:lock w:val="sdtLocked"/>
            <w:richText/>
          </w:sdtPr>
          <w:sdtContent>
            <w:p>
              <w:pPr>
                <w:jc w:val="center"/>
                <w:rPr>
                  <w:b/>
                  <w:szCs w:val="24"/>
                  <w:lang w:eastAsia="lt-LT"/>
                </w:rPr>
              </w:pPr>
              <w:sdt>
                <w:sdtPr>
                  <w:alias w:val="Pavadinimas"/>
                  <w:tag w:val="title_207cf73d35c24afcbbed3c1701523b2e"/>
                  <w:lock w:val="sdtLocked"/>
                  <w:richText/>
                </w:sdtPr>
                <w:sdtContent>
                  <w:r>
                    <w:rPr>
                      <w:b/>
                      <w:szCs w:val="24"/>
                      <w:lang w:eastAsia="lt-LT"/>
                    </w:rPr>
                    <w:t>FONDO ______METŲ FINANSINIŲ ATASKAITŲ RINKINYS</w:t>
                  </w:r>
                </w:sdtContent>
              </w:sdt>
            </w:p>
            <w:p>
              <w:pPr>
                <w:jc w:val="center"/>
                <w:rPr>
                  <w:szCs w:val="24"/>
                  <w:lang w:eastAsia="lt-LT"/>
                </w:rPr>
              </w:pPr>
            </w:p>
            <w:p>
              <w:pPr>
                <w:spacing w:line="240" w:lineRule="atLeast"/>
                <w:jc w:val="center"/>
                <w:rPr>
                  <w:sz w:val="20"/>
                  <w:lang w:eastAsia="lt-LT"/>
                </w:rPr>
              </w:pPr>
              <w:r>
                <w:rPr>
                  <w:sz w:val="20"/>
                  <w:lang w:eastAsia="lt-LT"/>
                </w:rPr>
                <w:t>_____________________</w:t>
              </w:r>
              <w:r>
                <w:rPr>
                  <w:szCs w:val="24"/>
                  <w:lang w:eastAsia="lt-LT"/>
                </w:rPr>
                <w:t>Nr.</w:t>
              </w:r>
              <w:r>
                <w:rPr>
                  <w:sz w:val="20"/>
                  <w:lang w:eastAsia="lt-LT"/>
                </w:rPr>
                <w:t xml:space="preserve"> _____</w:t>
              </w:r>
            </w:p>
            <w:p>
              <w:pPr>
                <w:spacing w:line="240" w:lineRule="atLeast"/>
                <w:jc w:val="center"/>
                <w:rPr>
                  <w:sz w:val="20"/>
                  <w:lang w:eastAsia="lt-LT"/>
                </w:rPr>
              </w:pPr>
              <w:r>
                <w:rPr>
                  <w:sz w:val="20"/>
                  <w:lang w:eastAsia="lt-LT"/>
                </w:rPr>
                <w:t>(data)</w:t>
              </w:r>
            </w:p>
            <w:p>
              <w:pPr>
                <w:spacing w:line="240" w:lineRule="atLeast"/>
                <w:jc w:val="center"/>
                <w:rPr>
                  <w:sz w:val="20"/>
                  <w:lang w:eastAsia="lt-LT"/>
                </w:rPr>
              </w:pPr>
              <w:r>
                <w:rPr>
                  <w:sz w:val="20"/>
                  <w:lang w:eastAsia="lt-LT"/>
                </w:rPr>
                <w:t>_____________________</w:t>
              </w:r>
            </w:p>
            <w:p>
              <w:pPr>
                <w:spacing w:line="240" w:lineRule="atLeast"/>
                <w:jc w:val="center"/>
                <w:rPr>
                  <w:sz w:val="20"/>
                  <w:lang w:eastAsia="lt-LT"/>
                </w:rPr>
              </w:pPr>
              <w:r>
                <w:rPr>
                  <w:sz w:val="20"/>
                  <w:lang w:eastAsia="lt-LT"/>
                </w:rPr>
                <w:t>(sudarymo vieta)</w:t>
              </w:r>
            </w:p>
            <w:p>
              <w:pPr>
                <w:rPr>
                  <w:szCs w:val="24"/>
                </w:rPr>
              </w:pPr>
            </w:p>
          </w:sdtContent>
        </w:sdt>
        <w:sdt>
          <w:sdtPr>
            <w:alias w:val="skirsnis"/>
            <w:tag w:val="part_54b47da494b54e21a464c52c7c2ff309"/>
            <w:lock w:val="sdtLocked"/>
            <w:richText/>
          </w:sdtPr>
          <w:sdtContent>
            <w:p>
              <w:pPr>
                <w:jc w:val="center"/>
                <w:rPr>
                  <w:b/>
                  <w:sz w:val="28"/>
                  <w:szCs w:val="24"/>
                </w:rPr>
              </w:pPr>
              <w:sdt>
                <w:sdtPr>
                  <w:alias w:val="Pavadinimas"/>
                  <w:tag w:val="title_54b47da494b54e21a464c52c7c2ff309"/>
                  <w:lock w:val="sdtLocked"/>
                  <w:richText/>
                </w:sdtPr>
                <w:sdtContent>
                  <w:r>
                    <w:rPr>
                      <w:b/>
                      <w:sz w:val="28"/>
                      <w:szCs w:val="24"/>
                    </w:rPr>
                    <w:t>TURINYS</w:t>
                  </w:r>
                </w:sdtContent>
              </w:sdt>
            </w:p>
            <w:p>
              <w:pPr>
                <w:jc w:val="center"/>
                <w:rPr>
                  <w:b/>
                  <w:sz w:val="28"/>
                  <w:szCs w:val="24"/>
                </w:rPr>
              </w:pPr>
            </w:p>
          </w:sdtContent>
        </w:sdt>
        <w:sdt>
          <w:sdtPr>
            <w:alias w:val="skirsnis"/>
            <w:tag w:val="part_3a0ad30a96b74e8584ae840ccc586e4a"/>
            <w:lock w:val="sdtLocked"/>
            <w:richText/>
          </w:sdtPr>
          <w:sdtContent>
            <w:p>
              <w:pPr>
                <w:spacing w:line="276" w:lineRule="auto"/>
                <w:rPr>
                  <w:b/>
                  <w:szCs w:val="24"/>
                </w:rPr>
              </w:pPr>
              <w:sdt>
                <w:sdtPr>
                  <w:alias w:val="Pavadinimas"/>
                  <w:tag w:val="title_3a0ad30a96b74e8584ae840ccc586e4a"/>
                  <w:lock w:val="sdtLocked"/>
                  <w:richText/>
                </w:sdtPr>
                <w:sdtContent>
                  <w:r>
                    <w:rPr>
                      <w:b/>
                      <w:szCs w:val="24"/>
                    </w:rPr>
                    <w:t>METINĖS FINANSINĖS ATASKAITOS:</w:t>
                  </w:r>
                </w:sdtContent>
              </w:sdt>
            </w:p>
            <w:p>
              <w:pPr>
                <w:rPr>
                  <w:sz w:val="18"/>
                  <w:szCs w:val="18"/>
                </w:rPr>
              </w:pPr>
            </w:p>
            <w:p>
              <w:pPr>
                <w:spacing w:line="240" w:lineRule="atLeast"/>
                <w:rPr>
                  <w:bCs/>
                  <w:szCs w:val="24"/>
                  <w:lang w:eastAsia="lt-LT"/>
                </w:rPr>
              </w:pPr>
              <w:r>
                <w:rPr>
                  <w:bCs/>
                  <w:szCs w:val="24"/>
                  <w:lang w:eastAsia="lt-LT"/>
                </w:rPr>
                <w:t>FINANSINĖS BŪKLĖS ATASKAITA</w:t>
                <w:tab/>
                <w:tab/>
                <w:tab/>
                <w:tab/>
                <w:tab/>
                <w:t>_ psl.</w:t>
              </w:r>
            </w:p>
            <w:p>
              <w:pPr>
                <w:spacing w:line="240" w:lineRule="atLeast"/>
                <w:rPr>
                  <w:bCs/>
                  <w:szCs w:val="24"/>
                  <w:lang w:eastAsia="lt-LT"/>
                </w:rPr>
              </w:pPr>
              <w:r>
                <w:rPr>
                  <w:bCs/>
                  <w:szCs w:val="24"/>
                  <w:lang w:eastAsia="lt-LT"/>
                </w:rPr>
                <w:t>VEIKLOS REZULTATŲ ATASKAITA</w:t>
                <w:tab/>
                <w:tab/>
                <w:tab/>
                <w:tab/>
                <w:t>_ psl.</w:t>
              </w:r>
            </w:p>
            <w:p>
              <w:pPr>
                <w:spacing w:line="240" w:lineRule="atLeast"/>
                <w:rPr>
                  <w:bCs/>
                  <w:szCs w:val="24"/>
                  <w:lang w:eastAsia="lt-LT"/>
                </w:rPr>
              </w:pPr>
              <w:r>
                <w:rPr>
                  <w:bCs/>
                  <w:szCs w:val="24"/>
                  <w:lang w:eastAsia="lt-LT"/>
                </w:rPr>
                <w:t>PINIGŲ SRAUTŲ ATASKAITA</w:t>
                <w:tab/>
                <w:tab/>
                <w:tab/>
                <w:tab/>
                <w:tab/>
                <w:t>_ psl.</w:t>
              </w:r>
            </w:p>
            <w:p>
              <w:pPr>
                <w:spacing w:line="240" w:lineRule="atLeast"/>
                <w:rPr>
                  <w:bCs/>
                  <w:szCs w:val="24"/>
                  <w:lang w:eastAsia="lt-LT"/>
                </w:rPr>
              </w:pPr>
              <w:r>
                <w:rPr>
                  <w:szCs w:val="24"/>
                  <w:lang w:eastAsia="lt-LT"/>
                </w:rPr>
                <w:t>AIŠKINAMASIS RAŠTAS</w:t>
                <w:tab/>
                <w:tab/>
                <w:tab/>
                <w:tab/>
                <w:tab/>
              </w:r>
              <w:r>
                <w:rPr>
                  <w:bCs/>
                  <w:szCs w:val="24"/>
                  <w:lang w:eastAsia="lt-LT"/>
                </w:rPr>
                <w:t>_ psl.</w:t>
              </w:r>
            </w:p>
            <w:p>
              <w:pPr>
                <w:spacing w:line="276" w:lineRule="auto"/>
                <w:ind w:left="567"/>
                <w:rPr>
                  <w:szCs w:val="24"/>
                  <w:lang w:eastAsia="lt-LT"/>
                </w:rPr>
              </w:pPr>
              <w:r>
                <w:rPr>
                  <w:szCs w:val="24"/>
                  <w:lang w:eastAsia="lt-LT"/>
                </w:rPr>
                <w:t>Bendroji informacija</w:t>
                <w:tab/>
                <w:tab/>
                <w:tab/>
                <w:tab/>
                <w:tab/>
                <w:tab/>
              </w:r>
              <w:r>
                <w:rPr>
                  <w:bCs/>
                  <w:szCs w:val="24"/>
                  <w:lang w:eastAsia="lt-LT"/>
                </w:rPr>
                <w:t>_ psl.</w:t>
              </w:r>
            </w:p>
            <w:p>
              <w:pPr>
                <w:spacing w:line="276" w:lineRule="auto"/>
                <w:ind w:left="567"/>
                <w:rPr>
                  <w:szCs w:val="24"/>
                  <w:lang w:eastAsia="lt-LT"/>
                </w:rPr>
              </w:pPr>
              <w:r>
                <w:rPr>
                  <w:szCs w:val="24"/>
                </w:rPr>
                <w:t>Pagrindinės taikomos apskaitos politikos nuostatos</w:t>
              </w:r>
              <w:r>
                <w:rPr>
                  <w:szCs w:val="24"/>
                  <w:lang w:eastAsia="lt-LT"/>
                </w:rPr>
                <w:tab/>
                <w:tab/>
                <w:tab/>
              </w:r>
              <w:r>
                <w:rPr>
                  <w:bCs/>
                  <w:szCs w:val="24"/>
                  <w:lang w:eastAsia="lt-LT"/>
                </w:rPr>
                <w:t>_ psl.</w:t>
              </w:r>
            </w:p>
            <w:p>
              <w:pPr>
                <w:spacing w:line="276" w:lineRule="auto"/>
                <w:ind w:left="567"/>
                <w:rPr>
                  <w:b/>
                  <w:szCs w:val="24"/>
                  <w:lang w:eastAsia="lt-LT"/>
                </w:rPr>
              </w:pPr>
              <w:r>
                <w:rPr>
                  <w:szCs w:val="24"/>
                  <w:lang w:eastAsia="lt-LT"/>
                </w:rPr>
                <w:t>Ataskaitose pateiktos informacijos paaiškinimai</w:t>
                <w:tab/>
                <w:tab/>
                <w:tab/>
                <w:tab/>
              </w:r>
              <w:r>
                <w:rPr>
                  <w:bCs/>
                  <w:szCs w:val="24"/>
                  <w:lang w:eastAsia="lt-LT"/>
                </w:rPr>
                <w:t xml:space="preserve">_ psl. </w:t>
              </w:r>
            </w:p>
            <w:p>
              <w:pPr>
                <w:rPr>
                  <w:sz w:val="18"/>
                  <w:szCs w:val="18"/>
                </w:rPr>
              </w:pPr>
            </w:p>
            <w:p>
              <w:pPr>
                <w:spacing w:line="276" w:lineRule="auto"/>
                <w:ind w:firstLine="426"/>
                <w:jc w:val="both"/>
                <w:rPr>
                  <w:szCs w:val="24"/>
                  <w:lang w:eastAsia="lt-LT"/>
                </w:rPr>
              </w:pPr>
              <w:r>
                <w:rPr>
                  <w:szCs w:val="24"/>
                  <w:lang w:eastAsia="lt-LT"/>
                </w:rPr>
                <w:t>Patvirtiname fondo ______ metų finansinių ataskaitų rinkinyje pateiktą finansinę ir nefinansinę informaciją:</w:t>
              </w:r>
            </w:p>
            <w:p>
              <w:pPr>
                <w:rPr>
                  <w:sz w:val="18"/>
                  <w:szCs w:val="18"/>
                </w:rPr>
              </w:pPr>
            </w:p>
            <w:p>
              <w:pPr>
                <w:spacing w:line="276" w:lineRule="auto"/>
                <w:rPr>
                  <w:b/>
                  <w:szCs w:val="24"/>
                  <w:lang w:eastAsia="lt-LT"/>
                </w:rPr>
              </w:pPr>
            </w:p>
            <w:p>
              <w:pPr>
                <w:rPr>
                  <w:sz w:val="18"/>
                  <w:szCs w:val="18"/>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rPr>
                  <w:sz w:val="18"/>
                  <w:szCs w:val="18"/>
                </w:rPr>
              </w:pPr>
            </w:p>
            <w:p>
              <w:pPr>
                <w:rPr>
                  <w:szCs w:val="24"/>
                  <w:lang w:eastAsia="lt-LT"/>
                </w:rPr>
              </w:pPr>
            </w:p>
            <w:p>
              <w:pPr>
                <w:rPr>
                  <w:szCs w:val="24"/>
                  <w:lang w:eastAsia="lt-LT"/>
                </w:rPr>
              </w:pPr>
              <w:r>
                <w:rPr>
                  <w:szCs w:val="24"/>
                  <w:lang w:eastAsia="lt-LT"/>
                </w:rPr>
                <w:t>_______________</w:t>
                <w:tab/>
                <w:tab/>
                <w:t>_________________</w:t>
                <w:tab/>
                <w:tab/>
                <w:t>_____________</w:t>
              </w:r>
            </w:p>
            <w:p>
              <w:pPr>
                <w:spacing w:line="276" w:lineRule="auto"/>
                <w:rPr>
                  <w:sz w:val="20"/>
                  <w:lang w:eastAsia="lt-LT"/>
                </w:rPr>
              </w:pPr>
              <w:r>
                <w:rPr>
                  <w:sz w:val="20"/>
                  <w:lang w:eastAsia="lt-LT"/>
                </w:rPr>
                <w:t>(pareigų pavadinimas)</w:t>
                <w:tab/>
                <w:tab/>
                <w:t xml:space="preserve">            (parašas)</w:t>
                <w:tab/>
                <w:tab/>
                <w:t>(vardas ir pavardė)</w:t>
              </w:r>
            </w:p>
            <w:p>
              <w:pPr>
                <w:spacing w:line="276" w:lineRule="auto"/>
                <w:jc w:val="center"/>
                <w:rPr>
                  <w:szCs w:val="24"/>
                  <w:lang w:eastAsia="lt-LT"/>
                </w:rPr>
              </w:pPr>
              <w:r>
                <w:rPr>
                  <w:szCs w:val="24"/>
                  <w:lang w:eastAsia="lt-LT"/>
                </w:rPr>
                <w:br w:type="page"/>
              </w:r>
            </w:p>
            <w:p>
              <w:pPr>
                <w:rPr>
                  <w:sz w:val="18"/>
                  <w:szCs w:val="18"/>
                </w:rPr>
              </w:pPr>
            </w:p>
          </w:sdtContent>
        </w:sdt>
        <w:sdt>
          <w:sdtPr>
            <w:alias w:val="skirsnis"/>
            <w:tag w:val="part_ae7008ed5da34bcdaa31b3f231de0f9f"/>
            <w:lock w:val="sdtLocked"/>
            <w:richText/>
          </w:sdtPr>
          <w:sdtContent>
            <w:p>
              <w:pPr>
                <w:jc w:val="center"/>
                <w:rPr>
                  <w:b/>
                  <w:bCs/>
                  <w:szCs w:val="24"/>
                  <w:lang w:eastAsia="lt-LT"/>
                </w:rPr>
              </w:pPr>
              <w:sdt>
                <w:sdtPr>
                  <w:alias w:val="Pavadinimas"/>
                  <w:tag w:val="title_ae7008ed5da34bcdaa31b3f231de0f9f"/>
                  <w:lock w:val="sdtLocked"/>
                  <w:richText/>
                </w:sdtPr>
                <w:sdtContent>
                  <w:r>
                    <w:rPr>
                      <w:b/>
                      <w:bCs/>
                      <w:szCs w:val="24"/>
                      <w:lang w:eastAsia="lt-LT"/>
                    </w:rPr>
                    <w:t>FINANSINĖS BŪKLĖS ATASKAITA</w:t>
                  </w:r>
                </w:sdtContent>
              </w:sdt>
            </w:p>
            <w:p>
              <w:pPr>
                <w:jc w:val="center"/>
                <w:rPr>
                  <w:b/>
                  <w:bCs/>
                  <w:szCs w:val="24"/>
                  <w:lang w:eastAsia="lt-LT"/>
                </w:rPr>
              </w:pPr>
              <w:r>
                <w:rPr>
                  <w:b/>
                  <w:bCs/>
                  <w:szCs w:val="24"/>
                  <w:lang w:eastAsia="lt-LT"/>
                </w:rPr>
                <w:t>PAGAL 20</w:t>
              </w:r>
              <w:r>
                <w:rPr>
                  <w:bCs/>
                  <w:szCs w:val="24"/>
                  <w:lang w:eastAsia="lt-LT"/>
                </w:rPr>
                <w:t xml:space="preserve">_____ </w:t>
              </w:r>
              <w:r>
                <w:rPr>
                  <w:b/>
                  <w:bCs/>
                  <w:szCs w:val="24"/>
                  <w:lang w:eastAsia="lt-LT"/>
                </w:rPr>
                <w:t xml:space="preserve">M. </w:t>
              </w:r>
              <w:r>
                <w:rPr>
                  <w:bCs/>
                  <w:szCs w:val="24"/>
                  <w:lang w:eastAsia="lt-LT"/>
                </w:rPr>
                <w:t>______________________</w:t>
              </w:r>
              <w:r>
                <w:rPr>
                  <w:b/>
                  <w:bCs/>
                  <w:szCs w:val="24"/>
                  <w:lang w:eastAsia="lt-LT"/>
                </w:rPr>
                <w:t xml:space="preserve"> D. DUOMENIS</w:t>
              </w:r>
            </w:p>
            <w:p>
              <w:pPr>
                <w:tabs>
                  <w:tab w:val="left" w:pos="913"/>
                  <w:tab w:val="left" w:pos="6320"/>
                  <w:tab w:val="left" w:pos="9372"/>
                  <w:tab w:val="left" w:pos="10344"/>
                  <w:tab w:val="left" w:pos="11584"/>
                </w:tabs>
                <w:jc w:val="center"/>
                <w:rPr>
                  <w:szCs w:val="24"/>
                  <w:lang w:eastAsia="lt-LT"/>
                </w:rPr>
              </w:pPr>
            </w:p>
            <w:p>
              <w:pPr>
                <w:tabs>
                  <w:tab w:val="left" w:pos="913"/>
                  <w:tab w:val="left" w:pos="6320"/>
                </w:tabs>
                <w:jc w:val="right"/>
                <w:rPr>
                  <w:i/>
                  <w:iCs/>
                  <w:sz w:val="20"/>
                  <w:lang w:eastAsia="lt-LT"/>
                </w:rPr>
              </w:pPr>
              <w:r>
                <w:rPr>
                  <w:i/>
                  <w:iCs/>
                  <w:sz w:val="20"/>
                  <w:lang w:eastAsia="lt-LT"/>
                </w:rPr>
                <w:t xml:space="preserve">Pateikimo valiuta ir tikslumas: eurais </w:t>
              </w:r>
            </w:p>
            <w:tbl>
              <w:tblPr>
                <w:tblW w:w="9855" w:type="dxa"/>
                <w:tblLayout w:type="fixed"/>
                <w:tblLook w:val="04A0" w:firstRow="1" w:lastRow="0" w:firstColumn="1" w:lastColumn="0" w:noHBand="0" w:noVBand="1"/>
              </w:tblPr>
              <w:tblGrid>
                <w:gridCol w:w="846"/>
                <w:gridCol w:w="5040"/>
                <w:gridCol w:w="851"/>
                <w:gridCol w:w="1559"/>
                <w:gridCol w:w="1559"/>
              </w:tblGrid>
              <w:tr>
                <w:trPr>
                  <w:trHeight w:val="1350"/>
                  <w:tblHeader/>
                </w:trPr>
                <w:tc>
                  <w:tcPr>
                    <w:tcW w:w="8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Eil. Nr.</w:t>
                    </w:r>
                  </w:p>
                </w:tc>
                <w:tc>
                  <w:tcPr>
                    <w:tcW w:w="5040" w:type="dxa"/>
                    <w:tcBorders>
                      <w:top w:val="single" w:sz="4" w:space="0" w:color="auto"/>
                      <w:left w:val="nil"/>
                      <w:bottom w:val="single" w:sz="4" w:space="0" w:color="auto"/>
                      <w:right w:val="single" w:sz="4" w:space="0" w:color="000000"/>
                    </w:tcBorders>
                    <w:noWrap/>
                    <w:vAlign w:val="center"/>
                    <w:hideMark/>
                  </w:tcPr>
                  <w:p>
                    <w:pPr>
                      <w:jc w:val="center"/>
                      <w:rPr>
                        <w:b/>
                        <w:bCs/>
                        <w:sz w:val="20"/>
                        <w:lang w:eastAsia="lt-LT"/>
                      </w:rPr>
                    </w:pPr>
                    <w:r>
                      <w:rPr>
                        <w:b/>
                        <w:bCs/>
                        <w:sz w:val="20"/>
                        <w:lang w:eastAsia="lt-LT"/>
                      </w:rPr>
                      <w:t>Straipsniai</w:t>
                    </w:r>
                  </w:p>
                </w:tc>
                <w:tc>
                  <w:tcPr>
                    <w:tcW w:w="851" w:type="dxa"/>
                    <w:tcBorders>
                      <w:top w:val="single" w:sz="4" w:space="0" w:color="auto"/>
                      <w:left w:val="nil"/>
                      <w:bottom w:val="single" w:sz="4" w:space="0" w:color="auto"/>
                      <w:right w:val="nil"/>
                    </w:tcBorders>
                    <w:vAlign w:val="center"/>
                    <w:hideMark/>
                  </w:tcPr>
                  <w:p>
                    <w:pPr>
                      <w:ind w:left="-113" w:right="-113"/>
                      <w:jc w:val="center"/>
                      <w:rPr>
                        <w:b/>
                        <w:bCs/>
                        <w:sz w:val="20"/>
                        <w:lang w:eastAsia="lt-LT"/>
                      </w:rPr>
                    </w:pPr>
                    <w:r>
                      <w:rPr>
                        <w:b/>
                        <w:bCs/>
                        <w:sz w:val="20"/>
                        <w:lang w:eastAsia="lt-LT"/>
                      </w:rPr>
                      <w:t xml:space="preserve">Pastabos Nr.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lang w:eastAsia="lt-LT"/>
                      </w:rPr>
                    </w:pPr>
                    <w:r>
                      <w:rPr>
                        <w:b/>
                        <w:bCs/>
                        <w:sz w:val="20"/>
                        <w:lang w:eastAsia="lt-LT"/>
                      </w:rPr>
                      <w:t>Paskutinė ataskaitinio laikotarpio diena</w:t>
                    </w:r>
                  </w:p>
                </w:tc>
                <w:tc>
                  <w:tcPr>
                    <w:tcW w:w="1559" w:type="dxa"/>
                    <w:tcBorders>
                      <w:top w:val="single" w:sz="4" w:space="0" w:color="auto"/>
                      <w:left w:val="nil"/>
                      <w:bottom w:val="single" w:sz="4" w:space="0" w:color="auto"/>
                      <w:right w:val="single" w:sz="4" w:space="0" w:color="auto"/>
                    </w:tcBorders>
                    <w:vAlign w:val="center"/>
                    <w:hideMark/>
                  </w:tcPr>
                  <w:p>
                    <w:pPr>
                      <w:jc w:val="center"/>
                      <w:rPr>
                        <w:b/>
                        <w:bCs/>
                        <w:sz w:val="20"/>
                        <w:lang w:eastAsia="lt-LT"/>
                      </w:rPr>
                    </w:pPr>
                    <w:r>
                      <w:rPr>
                        <w:b/>
                        <w:bCs/>
                        <w:sz w:val="20"/>
                        <w:lang w:eastAsia="lt-LT"/>
                      </w:rPr>
                      <w:t>Paskutinė praėjusio ataskaitinio laikotarpio diena</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jc w:val="center"/>
                      <w:rPr>
                        <w:sz w:val="20"/>
                        <w:lang w:eastAsia="lt-LT"/>
                      </w:rPr>
                    </w:pPr>
                    <w:r>
                      <w:rPr>
                        <w:sz w:val="20"/>
                        <w:lang w:eastAsia="lt-LT"/>
                      </w:rPr>
                      <w:t>2</w:t>
                    </w:r>
                  </w:p>
                </w:tc>
                <w:tc>
                  <w:tcPr>
                    <w:tcW w:w="851" w:type="dxa"/>
                    <w:tcBorders>
                      <w:top w:val="nil"/>
                      <w:left w:val="single" w:sz="4" w:space="0" w:color="auto"/>
                      <w:bottom w:val="single" w:sz="4" w:space="0" w:color="auto"/>
                      <w:right w:val="nil"/>
                    </w:tcBorders>
                    <w:vAlign w:val="center"/>
                    <w:hideMark/>
                  </w:tcPr>
                  <w:p>
                    <w:pPr>
                      <w:spacing w:line="240" w:lineRule="atLeast"/>
                      <w:ind w:firstLine="50"/>
                      <w:jc w:val="center"/>
                      <w:rPr>
                        <w:sz w:val="20"/>
                        <w:lang w:eastAsia="lt-LT"/>
                      </w:rPr>
                    </w:pPr>
                    <w:r>
                      <w:rPr>
                        <w:sz w:val="20"/>
                        <w:lang w:eastAsia="lt-LT"/>
                      </w:rPr>
                      <w:t>3</w:t>
                    </w:r>
                  </w:p>
                </w:tc>
                <w:tc>
                  <w:tcPr>
                    <w:tcW w:w="1559" w:type="dxa"/>
                    <w:tcBorders>
                      <w:top w:val="nil"/>
                      <w:left w:val="single" w:sz="4" w:space="0" w:color="auto"/>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4</w:t>
                    </w:r>
                  </w:p>
                </w:tc>
                <w:tc>
                  <w:tcPr>
                    <w:tcW w:w="1559" w:type="dxa"/>
                    <w:tcBorders>
                      <w:top w:val="nil"/>
                      <w:left w:val="nil"/>
                      <w:bottom w:val="single" w:sz="4" w:space="0" w:color="auto"/>
                      <w:right w:val="single" w:sz="4" w:space="0" w:color="auto"/>
                    </w:tcBorders>
                    <w:vAlign w:val="center"/>
                    <w:hideMark/>
                  </w:tcPr>
                  <w:p>
                    <w:pPr>
                      <w:spacing w:line="240" w:lineRule="atLeast"/>
                      <w:ind w:firstLine="50"/>
                      <w:jc w:val="center"/>
                      <w:rPr>
                        <w:sz w:val="20"/>
                        <w:lang w:eastAsia="lt-LT"/>
                      </w:rPr>
                    </w:pPr>
                    <w:r>
                      <w:rPr>
                        <w:sz w:val="20"/>
                        <w:lang w:eastAsia="lt-LT"/>
                      </w:rPr>
                      <w:t>5</w:t>
                    </w: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1.</w:t>
                    </w:r>
                  </w:p>
                </w:tc>
                <w:tc>
                  <w:tcPr>
                    <w:tcW w:w="5040" w:type="dxa"/>
                    <w:tcBorders>
                      <w:top w:val="nil"/>
                      <w:left w:val="nil"/>
                      <w:bottom w:val="single" w:sz="4" w:space="0" w:color="auto"/>
                      <w:right w:val="single" w:sz="4" w:space="0" w:color="auto"/>
                    </w:tcBorders>
                    <w:noWrap/>
                    <w:vAlign w:val="center"/>
                    <w:hideMark/>
                  </w:tcPr>
                  <w:p>
                    <w:pPr>
                      <w:spacing w:line="240" w:lineRule="atLeast"/>
                      <w:rPr>
                        <w:b/>
                        <w:bCs/>
                        <w:caps/>
                        <w:sz w:val="20"/>
                        <w:lang w:eastAsia="lt-LT"/>
                      </w:rPr>
                    </w:pPr>
                    <w:r>
                      <w:rPr>
                        <w:b/>
                        <w:bCs/>
                        <w:caps/>
                        <w:sz w:val="20"/>
                        <w:lang w:eastAsia="lt-LT"/>
                      </w:rPr>
                      <w:t>Ilgalaikis finansinis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2.</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TRUMPALAIKIS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2.1.</w:t>
                    </w:r>
                  </w:p>
                </w:tc>
                <w:tc>
                  <w:tcPr>
                    <w:tcW w:w="5040" w:type="dxa"/>
                    <w:tcBorders>
                      <w:top w:val="nil"/>
                      <w:left w:val="nil"/>
                      <w:bottom w:val="single" w:sz="4" w:space="0" w:color="auto"/>
                      <w:right w:val="single" w:sz="4" w:space="0" w:color="auto"/>
                    </w:tcBorders>
                    <w:noWrap/>
                    <w:vAlign w:val="center"/>
                  </w:tcPr>
                  <w:p>
                    <w:pPr>
                      <w:spacing w:line="240" w:lineRule="atLeast"/>
                      <w:rPr>
                        <w:sz w:val="20"/>
                        <w:lang w:eastAsia="lt-LT"/>
                      </w:rPr>
                    </w:pPr>
                    <w:r>
                      <w:rPr>
                        <w:sz w:val="20"/>
                        <w:lang w:eastAsia="lt-LT"/>
                      </w:rPr>
                      <w:t>Iš anksto sumokėtos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2.2.</w:t>
                    </w:r>
                  </w:p>
                </w:tc>
                <w:tc>
                  <w:tcPr>
                    <w:tcW w:w="5040" w:type="dxa"/>
                    <w:tcBorders>
                      <w:top w:val="nil"/>
                      <w:left w:val="nil"/>
                      <w:bottom w:val="nil"/>
                      <w:right w:val="single" w:sz="4" w:space="0" w:color="auto"/>
                    </w:tcBorders>
                    <w:noWrap/>
                    <w:vAlign w:val="center"/>
                    <w:hideMark/>
                  </w:tcPr>
                  <w:p>
                    <w:pPr>
                      <w:spacing w:line="240" w:lineRule="atLeast"/>
                      <w:rPr>
                        <w:caps/>
                        <w:sz w:val="20"/>
                        <w:lang w:eastAsia="lt-LT"/>
                      </w:rPr>
                    </w:pPr>
                    <w:r>
                      <w:rPr>
                        <w:sz w:val="20"/>
                        <w:lang w:eastAsia="lt-LT"/>
                      </w:rPr>
                      <w:t>Per vienus</w:t>
                    </w:r>
                    <w:r>
                      <w:rPr>
                        <w:b/>
                        <w:bCs/>
                        <w:caps/>
                        <w:sz w:val="20"/>
                        <w:lang w:eastAsia="lt-LT"/>
                      </w:rPr>
                      <w:t xml:space="preserve"> </w:t>
                    </w:r>
                    <w:r>
                      <w:rPr>
                        <w:sz w:val="20"/>
                        <w:lang w:eastAsia="lt-LT"/>
                      </w:rPr>
                      <w:t>metus gautinos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val="en-GB" w:eastAsia="lt-LT"/>
                      </w:rPr>
                    </w:pPr>
                    <w:r>
                      <w:rPr>
                        <w:sz w:val="20"/>
                        <w:lang w:eastAsia="lt-LT"/>
                      </w:rPr>
                      <w:t>2.2.</w:t>
                    </w:r>
                    <w:r>
                      <w:rPr>
                        <w:sz w:val="20"/>
                        <w:lang w:val="en-GB" w:eastAsia="lt-LT"/>
                      </w:rPr>
                      <w:t>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Suteiktos paskolos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2.2.2</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Gautinos socialinės įmokos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2.2.3.</w:t>
                    </w:r>
                  </w:p>
                </w:tc>
                <w:tc>
                  <w:tcPr>
                    <w:tcW w:w="5040" w:type="dxa"/>
                    <w:tcBorders>
                      <w:top w:val="single" w:sz="4" w:space="0" w:color="auto"/>
                      <w:left w:val="single" w:sz="4" w:space="0" w:color="auto"/>
                      <w:bottom w:val="nil"/>
                      <w:right w:val="single" w:sz="4" w:space="0" w:color="auto"/>
                    </w:tcBorders>
                    <w:noWrap/>
                    <w:vAlign w:val="center"/>
                  </w:tcPr>
                  <w:p>
                    <w:pPr>
                      <w:spacing w:line="240" w:lineRule="atLeast"/>
                      <w:ind w:left="220"/>
                      <w:rPr>
                        <w:sz w:val="20"/>
                        <w:lang w:eastAsia="lt-LT"/>
                      </w:rPr>
                    </w:pPr>
                    <w:r>
                      <w:rPr>
                        <w:sz w:val="20"/>
                        <w:lang w:eastAsia="lt-LT"/>
                      </w:rPr>
                      <w:t>Gautinos įmokų į fondus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2.2.4</w:t>
                    </w:r>
                  </w:p>
                </w:tc>
                <w:tc>
                  <w:tcPr>
                    <w:tcW w:w="5040" w:type="dxa"/>
                    <w:tcBorders>
                      <w:top w:val="single" w:sz="4" w:space="0" w:color="auto"/>
                      <w:left w:val="single" w:sz="4" w:space="0" w:color="auto"/>
                      <w:bottom w:val="nil"/>
                      <w:right w:val="single" w:sz="4" w:space="0" w:color="auto"/>
                    </w:tcBorders>
                    <w:noWrap/>
                    <w:vAlign w:val="center"/>
                    <w:hideMark/>
                  </w:tcPr>
                  <w:p>
                    <w:pPr>
                      <w:spacing w:line="240" w:lineRule="atLeast"/>
                      <w:ind w:left="220"/>
                      <w:rPr>
                        <w:sz w:val="20"/>
                        <w:lang w:eastAsia="lt-LT"/>
                      </w:rPr>
                    </w:pPr>
                    <w:r>
                      <w:rPr>
                        <w:sz w:val="20"/>
                        <w:lang w:eastAsia="lt-LT"/>
                      </w:rPr>
                      <w:t>Gautinos finansavimo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tcPr>
                  <w:p>
                    <w:pPr>
                      <w:spacing w:line="240" w:lineRule="atLeast"/>
                      <w:jc w:val="center"/>
                      <w:rPr>
                        <w:sz w:val="20"/>
                        <w:lang w:eastAsia="lt-LT"/>
                      </w:rPr>
                    </w:pPr>
                    <w:r>
                      <w:rPr>
                        <w:sz w:val="20"/>
                        <w:lang w:eastAsia="lt-LT"/>
                      </w:rPr>
                      <w:t>2.2.5.</w:t>
                    </w:r>
                  </w:p>
                </w:tc>
                <w:tc>
                  <w:tcPr>
                    <w:tcW w:w="5040" w:type="dxa"/>
                    <w:tcBorders>
                      <w:top w:val="single" w:sz="4" w:space="0" w:color="auto"/>
                      <w:left w:val="single" w:sz="4" w:space="0" w:color="auto"/>
                      <w:bottom w:val="single" w:sz="4" w:space="0" w:color="auto"/>
                      <w:right w:val="single" w:sz="4" w:space="0" w:color="auto"/>
                    </w:tcBorders>
                    <w:noWrap/>
                    <w:vAlign w:val="center"/>
                  </w:tcPr>
                  <w:p>
                    <w:pPr>
                      <w:spacing w:line="240" w:lineRule="atLeast"/>
                      <w:ind w:left="220"/>
                      <w:rPr>
                        <w:sz w:val="20"/>
                        <w:lang w:eastAsia="lt-LT"/>
                      </w:rPr>
                    </w:pPr>
                    <w:r>
                      <w:rPr>
                        <w:sz w:val="20"/>
                        <w:lang w:eastAsia="lt-LT"/>
                      </w:rPr>
                      <w:t>Kitos gautinos sumos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2.3.</w:t>
                    </w:r>
                  </w:p>
                </w:tc>
                <w:tc>
                  <w:tcPr>
                    <w:tcW w:w="5040" w:type="dxa"/>
                    <w:tcBorders>
                      <w:top w:val="nil"/>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Trumpalaikės investicijos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2.4.</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val="en-GB" w:eastAsia="lt-LT"/>
                      </w:rPr>
                    </w:pPr>
                    <w:r>
                      <w:rPr>
                        <w:sz w:val="20"/>
                        <w:lang w:eastAsia="lt-LT"/>
                      </w:rPr>
                      <w:t>Pinigai ir pinigų ekvivalentai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100"/>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
                        <w:sz w:val="20"/>
                        <w:lang w:eastAsia="lt-LT"/>
                      </w:rPr>
                    </w:pPr>
                    <w:r>
                      <w:rPr>
                        <w:b/>
                        <w:sz w:val="20"/>
                        <w:lang w:eastAsia="lt-LT"/>
                      </w:rPr>
                      <w:t>3.</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b/>
                        <w:sz w:val="20"/>
                        <w:lang w:eastAsia="lt-LT"/>
                      </w:rPr>
                    </w:pPr>
                    <w:r>
                      <w:rPr>
                        <w:b/>
                        <w:sz w:val="20"/>
                        <w:lang w:eastAsia="lt-LT"/>
                      </w:rPr>
                      <w:t>IŠ VISO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4.</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FINANSAVIMO SUMOS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4.1.</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valstybės biudžeto</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bCs/>
                        <w:sz w:val="20"/>
                        <w:lang w:eastAsia="lt-LT"/>
                      </w:rPr>
                    </w:pPr>
                    <w:r>
                      <w:rPr>
                        <w:bCs/>
                        <w:sz w:val="20"/>
                        <w:lang w:eastAsia="lt-LT"/>
                      </w:rPr>
                      <w:t>4.2.</w:t>
                    </w:r>
                  </w:p>
                </w:tc>
                <w:tc>
                  <w:tcPr>
                    <w:tcW w:w="5040" w:type="dxa"/>
                    <w:tcBorders>
                      <w:top w:val="nil"/>
                      <w:left w:val="nil"/>
                      <w:bottom w:val="single" w:sz="4" w:space="0" w:color="auto"/>
                      <w:right w:val="single" w:sz="4" w:space="0" w:color="auto"/>
                    </w:tcBorders>
                    <w:noWrap/>
                    <w:vAlign w:val="center"/>
                  </w:tcPr>
                  <w:p>
                    <w:pPr>
                      <w:spacing w:line="240" w:lineRule="atLeast"/>
                      <w:rPr>
                        <w:bCs/>
                        <w:sz w:val="20"/>
                        <w:lang w:eastAsia="lt-LT"/>
                      </w:rPr>
                    </w:pPr>
                    <w:r>
                      <w:rPr>
                        <w:bCs/>
                        <w:sz w:val="20"/>
                        <w:lang w:eastAsia="lt-LT"/>
                      </w:rPr>
                      <w:t>Iš savivaldybių biudžetų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4.3.</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bCs/>
                        <w:sz w:val="20"/>
                        <w:lang w:eastAsia="lt-LT"/>
                      </w:rPr>
                      <w:t>Iš Europos Sąjungos, užsienio valstybių ir tarptautinių organizacijų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Cs/>
                        <w:sz w:val="20"/>
                        <w:lang w:eastAsia="lt-LT"/>
                      </w:rPr>
                    </w:pPr>
                    <w:r>
                      <w:rPr>
                        <w:bCs/>
                        <w:sz w:val="20"/>
                        <w:lang w:eastAsia="lt-LT"/>
                      </w:rPr>
                      <w:t>4.4.</w:t>
                    </w:r>
                  </w:p>
                </w:tc>
                <w:tc>
                  <w:tcPr>
                    <w:tcW w:w="5040" w:type="dxa"/>
                    <w:tcBorders>
                      <w:top w:val="nil"/>
                      <w:left w:val="nil"/>
                      <w:bottom w:val="single" w:sz="4" w:space="0" w:color="auto"/>
                      <w:right w:val="single" w:sz="4" w:space="0" w:color="auto"/>
                    </w:tcBorders>
                    <w:noWrap/>
                    <w:vAlign w:val="center"/>
                    <w:hideMark/>
                  </w:tcPr>
                  <w:p>
                    <w:pPr>
                      <w:spacing w:line="240" w:lineRule="atLeast"/>
                      <w:rPr>
                        <w:bCs/>
                        <w:sz w:val="20"/>
                        <w:lang w:eastAsia="lt-LT"/>
                      </w:rPr>
                    </w:pPr>
                    <w:r>
                      <w:rPr>
                        <w:sz w:val="20"/>
                        <w:lang w:eastAsia="lt-LT"/>
                      </w:rPr>
                      <w:t xml:space="preserve">Iš viešojo sektoriaus subjektų pajamų </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4.5.</w:t>
                    </w:r>
                  </w:p>
                </w:tc>
                <w:tc>
                  <w:tcPr>
                    <w:tcW w:w="5040" w:type="dxa"/>
                    <w:tcBorders>
                      <w:top w:val="nil"/>
                      <w:left w:val="nil"/>
                      <w:bottom w:val="single" w:sz="4" w:space="0" w:color="auto"/>
                      <w:right w:val="single" w:sz="4" w:space="0" w:color="auto"/>
                    </w:tcBorders>
                    <w:noWrap/>
                    <w:vAlign w:val="center"/>
                  </w:tcPr>
                  <w:p>
                    <w:pPr>
                      <w:spacing w:line="240" w:lineRule="atLeast"/>
                      <w:rPr>
                        <w:b/>
                        <w:bCs/>
                        <w:sz w:val="20"/>
                        <w:lang w:eastAsia="lt-LT"/>
                      </w:rPr>
                    </w:pPr>
                    <w:r>
                      <w:rPr>
                        <w:sz w:val="20"/>
                        <w:lang w:eastAsia="lt-LT"/>
                      </w:rPr>
                      <w:t>Iš fizinių ir privačių juridinių asmenų</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5.</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ĮSIPAREIGOJIMAI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5.1.</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Atidėjiniai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5.2.</w:t>
                    </w:r>
                  </w:p>
                </w:tc>
                <w:tc>
                  <w:tcPr>
                    <w:tcW w:w="5040" w:type="dxa"/>
                    <w:tcBorders>
                      <w:top w:val="single" w:sz="4" w:space="0" w:color="auto"/>
                      <w:left w:val="nil"/>
                      <w:bottom w:val="single" w:sz="4" w:space="0" w:color="auto"/>
                      <w:right w:val="single" w:sz="4" w:space="0" w:color="auto"/>
                    </w:tcBorders>
                    <w:noWrap/>
                    <w:vAlign w:val="center"/>
                    <w:hideMark/>
                  </w:tcPr>
                  <w:p>
                    <w:pPr>
                      <w:spacing w:line="240" w:lineRule="atLeast"/>
                      <w:rPr>
                        <w:caps/>
                        <w:sz w:val="20"/>
                        <w:lang w:eastAsia="lt-LT"/>
                      </w:rPr>
                    </w:pPr>
                    <w:r>
                      <w:rPr>
                        <w:sz w:val="20"/>
                        <w:lang w:eastAsia="lt-LT"/>
                      </w:rPr>
                      <w:t>Ilgalaikiai įsipareigojimai</w:t>
                    </w:r>
                  </w:p>
                </w:tc>
                <w:tc>
                  <w:tcPr>
                    <w:tcW w:w="851" w:type="dxa"/>
                    <w:tcBorders>
                      <w:top w:val="single" w:sz="4" w:space="0" w:color="auto"/>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single" w:sz="4" w:space="0" w:color="auto"/>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5.2.1</w:t>
                    </w:r>
                  </w:p>
                </w:tc>
                <w:tc>
                  <w:tcPr>
                    <w:tcW w:w="5040" w:type="dxa"/>
                    <w:tcBorders>
                      <w:top w:val="single" w:sz="4" w:space="0" w:color="auto"/>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Ilgalaikiai skoliniai įsipareigojimai</w:t>
                    </w:r>
                  </w:p>
                </w:tc>
                <w:tc>
                  <w:tcPr>
                    <w:tcW w:w="851" w:type="dxa"/>
                    <w:tcBorders>
                      <w:top w:val="single" w:sz="4" w:space="0" w:color="auto"/>
                      <w:left w:val="nil"/>
                      <w:bottom w:val="single" w:sz="4" w:space="0" w:color="auto"/>
                      <w:right w:val="nil"/>
                    </w:tcBorders>
                    <w:vAlign w:val="center"/>
                  </w:tcPr>
                  <w:p>
                    <w:pPr>
                      <w:spacing w:line="240" w:lineRule="atLeast"/>
                      <w:ind w:firstLine="50"/>
                      <w:rPr>
                        <w:sz w:val="20"/>
                        <w:lang w:eastAsia="lt-LT"/>
                      </w:rPr>
                    </w:pPr>
                  </w:p>
                </w:tc>
                <w:tc>
                  <w:tcPr>
                    <w:tcW w:w="1559" w:type="dxa"/>
                    <w:tcBorders>
                      <w:top w:val="single" w:sz="4" w:space="0" w:color="auto"/>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single" w:sz="4" w:space="0" w:color="auto"/>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spacing w:line="240" w:lineRule="atLeast"/>
                      <w:jc w:val="center"/>
                      <w:rPr>
                        <w:sz w:val="20"/>
                        <w:lang w:eastAsia="lt-LT"/>
                      </w:rPr>
                    </w:pPr>
                    <w:r>
                      <w:rPr>
                        <w:sz w:val="20"/>
                        <w:lang w:eastAsia="lt-LT"/>
                      </w:rPr>
                      <w:t>5.2.2</w:t>
                    </w:r>
                  </w:p>
                </w:tc>
                <w:tc>
                  <w:tcPr>
                    <w:tcW w:w="5040" w:type="dxa"/>
                    <w:tcBorders>
                      <w:top w:val="nil"/>
                      <w:left w:val="single" w:sz="4" w:space="0" w:color="auto"/>
                      <w:bottom w:val="single" w:sz="4" w:space="0" w:color="auto"/>
                      <w:right w:val="single" w:sz="4" w:space="0" w:color="auto"/>
                    </w:tcBorders>
                    <w:noWrap/>
                    <w:vAlign w:val="center"/>
                    <w:hideMark/>
                  </w:tcPr>
                  <w:p>
                    <w:pPr>
                      <w:spacing w:line="240" w:lineRule="atLeast"/>
                      <w:ind w:left="220"/>
                      <w:rPr>
                        <w:sz w:val="20"/>
                        <w:lang w:eastAsia="lt-LT"/>
                      </w:rPr>
                    </w:pPr>
                    <w:r>
                      <w:rPr>
                        <w:sz w:val="20"/>
                        <w:lang w:eastAsia="lt-LT"/>
                      </w:rPr>
                      <w:t>Kiti ilgalaikiai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sz w:val="20"/>
                        <w:lang w:eastAsia="lt-LT"/>
                      </w:rPr>
                    </w:pPr>
                    <w:r>
                      <w:rPr>
                        <w:sz w:val="20"/>
                        <w:lang w:eastAsia="lt-LT"/>
                      </w:rPr>
                      <w:t>5.3.</w:t>
                    </w:r>
                  </w:p>
                </w:tc>
                <w:tc>
                  <w:tcPr>
                    <w:tcW w:w="5040" w:type="dxa"/>
                    <w:tcBorders>
                      <w:top w:val="single" w:sz="4" w:space="0" w:color="auto"/>
                      <w:left w:val="single" w:sz="4" w:space="0" w:color="auto"/>
                      <w:bottom w:val="single" w:sz="4" w:space="0" w:color="auto"/>
                      <w:right w:val="single" w:sz="4" w:space="0" w:color="000000"/>
                    </w:tcBorders>
                    <w:noWrap/>
                    <w:vAlign w:val="center"/>
                    <w:hideMark/>
                  </w:tcPr>
                  <w:p>
                    <w:pPr>
                      <w:spacing w:line="240" w:lineRule="atLeast"/>
                      <w:rPr>
                        <w:caps/>
                        <w:sz w:val="20"/>
                        <w:lang w:eastAsia="lt-LT"/>
                      </w:rPr>
                    </w:pPr>
                    <w:r>
                      <w:rPr>
                        <w:sz w:val="20"/>
                        <w:lang w:eastAsia="lt-LT"/>
                      </w:rPr>
                      <w:t>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5.3.1</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Trumpalaikiai skoliniai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5.3.2</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Mokėtinos socialinės išmokos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5.3.3</w:t>
                    </w:r>
                    <w:r>
                      <w:rPr>
                        <w:strike/>
                        <w:sz w:val="20"/>
                        <w:lang w:eastAsia="lt-LT"/>
                      </w:rPr>
                      <w:t xml:space="preserve"> </w:t>
                    </w:r>
                  </w:p>
                </w:tc>
                <w:tc>
                  <w:tcPr>
                    <w:tcW w:w="5040" w:type="dxa"/>
                    <w:tcBorders>
                      <w:top w:val="nil"/>
                      <w:left w:val="single" w:sz="4" w:space="0" w:color="auto"/>
                      <w:bottom w:val="single" w:sz="4" w:space="0" w:color="auto"/>
                      <w:right w:val="single" w:sz="4" w:space="0" w:color="auto"/>
                    </w:tcBorders>
                    <w:vAlign w:val="center"/>
                    <w:hideMark/>
                  </w:tcPr>
                  <w:p>
                    <w:pPr>
                      <w:ind w:left="220"/>
                      <w:rPr>
                        <w:sz w:val="20"/>
                        <w:lang w:eastAsia="lt-LT"/>
                      </w:rPr>
                    </w:pPr>
                    <w:r>
                      <w:rPr>
                        <w:sz w:val="20"/>
                        <w:lang w:eastAsia="lt-LT"/>
                      </w:rPr>
                      <w:t>Mokėtinos sumos už fondo administravimą</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w:t>
                    </w:r>
                  </w:p>
                </w:tc>
                <w:tc>
                  <w:tcPr>
                    <w:tcW w:w="5040" w:type="dxa"/>
                    <w:tcBorders>
                      <w:top w:val="nil"/>
                      <w:left w:val="single" w:sz="4" w:space="0" w:color="auto"/>
                      <w:bottom w:val="single" w:sz="4" w:space="0" w:color="auto"/>
                      <w:right w:val="single" w:sz="4" w:space="0" w:color="auto"/>
                    </w:tcBorders>
                    <w:noWrap/>
                    <w:vAlign w:val="center"/>
                    <w:hideMark/>
                  </w:tcPr>
                  <w:p>
                    <w:pPr>
                      <w:ind w:left="220"/>
                      <w:rPr>
                        <w:sz w:val="20"/>
                        <w:lang w:eastAsia="lt-LT"/>
                      </w:rPr>
                    </w:pPr>
                    <w:r>
                      <w:rPr>
                        <w:sz w:val="20"/>
                        <w:lang w:eastAsia="lt-LT"/>
                      </w:rPr>
                      <w:t>Kiti trumpalaikiai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5.3.4.1</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Mokėtinos sumos tarptautinėms institucijoms, į biudžetus ir fondus</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5.3.4.2</w:t>
                    </w:r>
                  </w:p>
                </w:tc>
                <w:tc>
                  <w:tcPr>
                    <w:tcW w:w="5040" w:type="dxa"/>
                    <w:tcBorders>
                      <w:top w:val="nil"/>
                      <w:left w:val="single" w:sz="4" w:space="0" w:color="auto"/>
                      <w:bottom w:val="single" w:sz="4" w:space="0" w:color="auto"/>
                      <w:right w:val="single" w:sz="4" w:space="0" w:color="auto"/>
                    </w:tcBorders>
                    <w:noWrap/>
                    <w:vAlign w:val="center"/>
                    <w:hideMark/>
                  </w:tcPr>
                  <w:p>
                    <w:pPr>
                      <w:ind w:left="419"/>
                      <w:rPr>
                        <w:sz w:val="20"/>
                        <w:lang w:eastAsia="lt-LT"/>
                      </w:rPr>
                    </w:pPr>
                    <w:r>
                      <w:rPr>
                        <w:sz w:val="20"/>
                        <w:lang w:eastAsia="lt-LT"/>
                      </w:rPr>
                      <w:t>Kiti įsipareigojimai</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hideMark/>
                  </w:tcPr>
                  <w:p>
                    <w:pPr>
                      <w:spacing w:line="240" w:lineRule="atLeast"/>
                      <w:jc w:val="center"/>
                      <w:rPr>
                        <w:b/>
                        <w:bCs/>
                        <w:sz w:val="20"/>
                        <w:lang w:eastAsia="lt-LT"/>
                      </w:rPr>
                    </w:pPr>
                    <w:r>
                      <w:rPr>
                        <w:b/>
                        <w:bCs/>
                        <w:sz w:val="20"/>
                        <w:lang w:eastAsia="lt-LT"/>
                      </w:rPr>
                      <w:t>6.</w:t>
                    </w:r>
                  </w:p>
                </w:tc>
                <w:tc>
                  <w:tcPr>
                    <w:tcW w:w="5040" w:type="dxa"/>
                    <w:tcBorders>
                      <w:top w:val="nil"/>
                      <w:left w:val="nil"/>
                      <w:bottom w:val="single" w:sz="4" w:space="0" w:color="auto"/>
                      <w:right w:val="single" w:sz="4" w:space="0" w:color="auto"/>
                    </w:tcBorders>
                    <w:noWrap/>
                    <w:vAlign w:val="center"/>
                    <w:hideMark/>
                  </w:tcPr>
                  <w:p>
                    <w:pPr>
                      <w:spacing w:line="240" w:lineRule="atLeast"/>
                      <w:rPr>
                        <w:b/>
                        <w:bCs/>
                        <w:sz w:val="20"/>
                        <w:lang w:eastAsia="lt-LT"/>
                      </w:rPr>
                    </w:pPr>
                    <w:r>
                      <w:rPr>
                        <w:b/>
                        <w:bCs/>
                        <w:sz w:val="20"/>
                        <w:lang w:eastAsia="lt-LT"/>
                      </w:rPr>
                      <w:t>GRYNASIS TURTAS</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single" w:sz="4" w:space="0" w:color="auto"/>
                    </w:tcBorders>
                    <w:vAlign w:val="center"/>
                  </w:tcPr>
                  <w:p>
                    <w:pPr>
                      <w:spacing w:line="240" w:lineRule="atLeast"/>
                      <w:jc w:val="center"/>
                      <w:rPr>
                        <w:sz w:val="20"/>
                        <w:lang w:eastAsia="lt-LT"/>
                      </w:rPr>
                    </w:pPr>
                    <w:r>
                      <w:rPr>
                        <w:sz w:val="20"/>
                        <w:lang w:eastAsia="lt-LT"/>
                      </w:rPr>
                      <w:t>6.1.</w:t>
                    </w:r>
                  </w:p>
                </w:tc>
                <w:tc>
                  <w:tcPr>
                    <w:tcW w:w="5040" w:type="dxa"/>
                    <w:tcBorders>
                      <w:top w:val="nil"/>
                      <w:left w:val="nil"/>
                      <w:bottom w:val="single" w:sz="4" w:space="0" w:color="auto"/>
                      <w:right w:val="single" w:sz="4" w:space="0" w:color="auto"/>
                    </w:tcBorders>
                    <w:noWrap/>
                    <w:vAlign w:val="center"/>
                  </w:tcPr>
                  <w:p>
                    <w:pPr>
                      <w:spacing w:line="240" w:lineRule="atLeast"/>
                      <w:rPr>
                        <w:sz w:val="20"/>
                        <w:lang w:eastAsia="lt-LT"/>
                      </w:rPr>
                    </w:pPr>
                    <w:r>
                      <w:rPr>
                        <w:sz w:val="20"/>
                        <w:lang w:eastAsia="lt-LT"/>
                      </w:rPr>
                      <w:t>Rezervai</w:t>
                    </w:r>
                  </w:p>
                </w:tc>
                <w:tc>
                  <w:tcPr>
                    <w:tcW w:w="851" w:type="dxa"/>
                    <w:tcBorders>
                      <w:top w:val="nil"/>
                      <w:left w:val="single" w:sz="4" w:space="0" w:color="auto"/>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55"/>
                </w:trPr>
                <w:tc>
                  <w:tcPr>
                    <w:tcW w:w="846" w:type="dxa"/>
                    <w:tcBorders>
                      <w:top w:val="nil"/>
                      <w:left w:val="single" w:sz="4" w:space="0" w:color="auto"/>
                      <w:bottom w:val="single" w:sz="4" w:space="0" w:color="auto"/>
                      <w:right w:val="nil"/>
                    </w:tcBorders>
                    <w:vAlign w:val="center"/>
                    <w:hideMark/>
                  </w:tcPr>
                  <w:p>
                    <w:pPr>
                      <w:jc w:val="center"/>
                      <w:rPr>
                        <w:sz w:val="20"/>
                        <w:lang w:eastAsia="lt-LT"/>
                      </w:rPr>
                    </w:pPr>
                    <w:r>
                      <w:rPr>
                        <w:sz w:val="20"/>
                        <w:lang w:eastAsia="lt-LT"/>
                      </w:rPr>
                      <w:t>6.2.</w:t>
                    </w:r>
                  </w:p>
                </w:tc>
                <w:tc>
                  <w:tcPr>
                    <w:tcW w:w="504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pPr>
                      <w:rPr>
                        <w:sz w:val="20"/>
                        <w:lang w:eastAsia="lt-LT"/>
                      </w:rPr>
                    </w:pPr>
                    <w:r>
                      <w:rPr>
                        <w:sz w:val="20"/>
                        <w:lang w:eastAsia="lt-LT"/>
                      </w:rPr>
                      <w:t>Sukauptas perviršis ar deficitas</w:t>
                    </w:r>
                  </w:p>
                </w:tc>
                <w:tc>
                  <w:tcPr>
                    <w:tcW w:w="851" w:type="dxa"/>
                    <w:tcBorders>
                      <w:top w:val="nil"/>
                      <w:left w:val="nil"/>
                      <w:bottom w:val="single" w:sz="4" w:space="0" w:color="auto"/>
                      <w:right w:val="nil"/>
                    </w:tcBorders>
                    <w:shd w:val="clear" w:color="auto" w:fill="FFFFFF"/>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r>
                <w:trPr>
                  <w:trHeight w:val="286"/>
                </w:trPr>
                <w:tc>
                  <w:tcPr>
                    <w:tcW w:w="846" w:type="dxa"/>
                    <w:tcBorders>
                      <w:top w:val="nil"/>
                      <w:left w:val="single" w:sz="4" w:space="0" w:color="auto"/>
                      <w:bottom w:val="single" w:sz="4" w:space="0" w:color="auto"/>
                      <w:right w:val="single" w:sz="4" w:space="0" w:color="auto"/>
                    </w:tcBorders>
                    <w:vAlign w:val="center"/>
                  </w:tcPr>
                  <w:p>
                    <w:pPr>
                      <w:spacing w:line="240" w:lineRule="atLeast"/>
                      <w:ind w:firstLine="50"/>
                      <w:jc w:val="center"/>
                      <w:rPr>
                        <w:b/>
                        <w:bCs/>
                        <w:sz w:val="20"/>
                        <w:lang w:eastAsia="lt-LT"/>
                      </w:rPr>
                    </w:pPr>
                    <w:r>
                      <w:rPr>
                        <w:b/>
                        <w:bCs/>
                        <w:sz w:val="20"/>
                        <w:lang w:eastAsia="lt-LT"/>
                      </w:rPr>
                      <w:t>7.</w:t>
                    </w:r>
                  </w:p>
                </w:tc>
                <w:tc>
                  <w:tcPr>
                    <w:tcW w:w="5040" w:type="dxa"/>
                    <w:tcBorders>
                      <w:top w:val="single" w:sz="4" w:space="0" w:color="auto"/>
                      <w:left w:val="nil"/>
                      <w:bottom w:val="single" w:sz="4" w:space="0" w:color="auto"/>
                      <w:right w:val="single" w:sz="4" w:space="0" w:color="000000"/>
                    </w:tcBorders>
                    <w:vAlign w:val="center"/>
                    <w:hideMark/>
                  </w:tcPr>
                  <w:p>
                    <w:pPr>
                      <w:spacing w:line="240" w:lineRule="atLeast"/>
                      <w:rPr>
                        <w:b/>
                        <w:sz w:val="20"/>
                        <w:lang w:eastAsia="lt-LT"/>
                      </w:rPr>
                    </w:pPr>
                    <w:r>
                      <w:rPr>
                        <w:b/>
                        <w:sz w:val="20"/>
                        <w:lang w:eastAsia="lt-LT"/>
                      </w:rPr>
                      <w:t xml:space="preserve">IŠ VISO </w:t>
                    </w:r>
                    <w:r>
                      <w:rPr>
                        <w:b/>
                        <w:sz w:val="20"/>
                      </w:rPr>
                      <w:t>FINANSAVIMO SUMŲ, ĮSIPAREIGOJIMŲ IR GRYNOJO TURTO:</w:t>
                    </w:r>
                  </w:p>
                </w:tc>
                <w:tc>
                  <w:tcPr>
                    <w:tcW w:w="851" w:type="dxa"/>
                    <w:tcBorders>
                      <w:top w:val="nil"/>
                      <w:left w:val="nil"/>
                      <w:bottom w:val="single" w:sz="4" w:space="0" w:color="auto"/>
                      <w:right w:val="nil"/>
                    </w:tcBorders>
                    <w:vAlign w:val="center"/>
                  </w:tcPr>
                  <w:p>
                    <w:pPr>
                      <w:spacing w:line="240" w:lineRule="atLeast"/>
                      <w:ind w:firstLine="50"/>
                      <w:rPr>
                        <w:sz w:val="20"/>
                        <w:lang w:eastAsia="lt-LT"/>
                      </w:rPr>
                    </w:pPr>
                  </w:p>
                </w:tc>
                <w:tc>
                  <w:tcPr>
                    <w:tcW w:w="1559" w:type="dxa"/>
                    <w:tcBorders>
                      <w:top w:val="nil"/>
                      <w:left w:val="single" w:sz="4" w:space="0" w:color="auto"/>
                      <w:bottom w:val="single" w:sz="4" w:space="0" w:color="auto"/>
                      <w:right w:val="single" w:sz="4" w:space="0" w:color="auto"/>
                    </w:tcBorders>
                    <w:vAlign w:val="center"/>
                  </w:tcPr>
                  <w:p>
                    <w:pPr>
                      <w:spacing w:line="240" w:lineRule="atLeast"/>
                      <w:ind w:firstLine="50"/>
                      <w:rPr>
                        <w:sz w:val="20"/>
                        <w:lang w:eastAsia="lt-LT"/>
                      </w:rPr>
                    </w:pPr>
                  </w:p>
                </w:tc>
                <w:tc>
                  <w:tcPr>
                    <w:tcW w:w="1559" w:type="dxa"/>
                    <w:tcBorders>
                      <w:top w:val="nil"/>
                      <w:left w:val="nil"/>
                      <w:bottom w:val="single" w:sz="4" w:space="0" w:color="auto"/>
                      <w:right w:val="single" w:sz="4" w:space="0" w:color="auto"/>
                    </w:tcBorders>
                    <w:vAlign w:val="center"/>
                  </w:tcPr>
                  <w:p>
                    <w:pPr>
                      <w:spacing w:line="240" w:lineRule="atLeast"/>
                      <w:ind w:firstLine="50"/>
                      <w:rPr>
                        <w:sz w:val="20"/>
                        <w:lang w:eastAsia="lt-LT"/>
                      </w:rPr>
                    </w:pPr>
                  </w:p>
                </w:tc>
              </w:tr>
            </w:tbl>
            <w:p>
              <w:pPr>
                <w:spacing w:line="240" w:lineRule="atLeast"/>
                <w:jc w:val="center"/>
              </w:pPr>
              <w:r>
                <w:t>_____________________</w:t>
              </w:r>
            </w:p>
            <w:p>
              <w:pPr>
                <w:sectPr>
                  <w:pgSz w:w="11906" w:h="16838"/>
                  <w:pgMar w:top="1134" w:right="567" w:bottom="1134" w:left="1701" w:header="567" w:footer="567" w:gutter="0"/>
                  <w:cols w:space="1296"/>
                </w:sectPr>
              </w:pPr>
            </w:p>
          </w:sdtContent>
        </w:sdt>
        <w:sdt>
          <w:sdtPr>
            <w:alias w:val="skirsnis"/>
            <w:tag w:val="part_0f57f77d2bea41e7a5633bd854f8d6a0"/>
            <w:lock w:val="sdtLocked"/>
            <w:richText/>
          </w:sdtPr>
          <w:sdtContent>
            <w:p>
              <w:pPr>
                <w:jc w:val="center"/>
                <w:rPr>
                  <w:b/>
                  <w:bCs/>
                  <w:szCs w:val="24"/>
                  <w:lang w:eastAsia="lt-LT"/>
                </w:rPr>
              </w:pPr>
              <w:sdt>
                <w:sdtPr>
                  <w:alias w:val="Pavadinimas"/>
                  <w:tag w:val="title_0f57f77d2bea41e7a5633bd854f8d6a0"/>
                  <w:lock w:val="sdtLocked"/>
                  <w:richText/>
                </w:sdtPr>
                <w:sdtContent>
                  <w:r>
                    <w:rPr>
                      <w:b/>
                      <w:bCs/>
                      <w:szCs w:val="24"/>
                      <w:lang w:eastAsia="lt-LT"/>
                    </w:rPr>
                    <w:t>VEIKLOS REZULTATŲ ATASKAITA</w:t>
                  </w:r>
                </w:sdtContent>
              </w:sdt>
            </w:p>
            <w:p>
              <w:pPr>
                <w:jc w:val="center"/>
                <w:rPr>
                  <w:b/>
                  <w:bCs/>
                  <w:szCs w:val="24"/>
                  <w:lang w:eastAsia="lt-LT"/>
                </w:rPr>
              </w:pPr>
              <w:r>
                <w:rPr>
                  <w:b/>
                  <w:bCs/>
                  <w:szCs w:val="24"/>
                  <w:lang w:eastAsia="lt-LT"/>
                </w:rPr>
                <w:t>PAGAL 20</w:t>
              </w:r>
              <w:r>
                <w:rPr>
                  <w:bCs/>
                  <w:szCs w:val="24"/>
                  <w:lang w:eastAsia="lt-LT"/>
                </w:rPr>
                <w:t xml:space="preserve">___ </w:t>
              </w:r>
              <w:r>
                <w:rPr>
                  <w:b/>
                  <w:bCs/>
                  <w:szCs w:val="24"/>
                  <w:lang w:eastAsia="lt-LT"/>
                </w:rPr>
                <w:t xml:space="preserve">M. </w:t>
              </w:r>
              <w:r>
                <w:rPr>
                  <w:bCs/>
                  <w:szCs w:val="24"/>
                  <w:lang w:eastAsia="lt-LT"/>
                </w:rPr>
                <w:t xml:space="preserve">___________________ </w:t>
              </w:r>
              <w:r>
                <w:rPr>
                  <w:b/>
                  <w:bCs/>
                  <w:szCs w:val="24"/>
                  <w:lang w:eastAsia="lt-LT"/>
                </w:rPr>
                <w:t>D. DUOMENIS</w:t>
              </w:r>
            </w:p>
            <w:p>
              <w:pPr>
                <w:tabs>
                  <w:tab w:val="left" w:pos="889"/>
                  <w:tab w:val="left" w:pos="4049"/>
                  <w:tab w:val="left" w:pos="6784"/>
                  <w:tab w:val="left" w:pos="8024"/>
                  <w:tab w:val="left" w:pos="9440"/>
                  <w:tab w:val="left" w:pos="10883"/>
                </w:tabs>
                <w:jc w:val="center"/>
                <w:rPr>
                  <w:b/>
                  <w:bCs/>
                  <w:szCs w:val="24"/>
                  <w:lang w:eastAsia="lt-LT"/>
                </w:rPr>
              </w:pPr>
            </w:p>
            <w:p>
              <w:pPr>
                <w:spacing w:line="240" w:lineRule="atLeast"/>
                <w:ind w:left="7776" w:right="261" w:hanging="1397"/>
                <w:jc w:val="right"/>
                <w:rPr>
                  <w:b/>
                  <w:bCs/>
                  <w:szCs w:val="24"/>
                  <w:lang w:eastAsia="lt-LT"/>
                </w:rPr>
              </w:pPr>
              <w:r>
                <w:rPr>
                  <w:i/>
                  <w:iCs/>
                  <w:sz w:val="20"/>
                  <w:lang w:eastAsia="lt-LT"/>
                </w:rPr>
                <w:t xml:space="preserve">Pateikimo valiuta ir tikslumas: eurais </w:t>
              </w:r>
            </w:p>
            <w:tbl>
              <w:tblPr>
                <w:tblW w:w="9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4540"/>
                <w:gridCol w:w="972"/>
                <w:gridCol w:w="1530"/>
                <w:gridCol w:w="1410"/>
              </w:tblGrid>
              <w:tr>
                <w:trPr>
                  <w:trHeight w:val="691"/>
                  <w:tblHeader/>
                </w:trPr>
                <w:tc>
                  <w:tcPr>
                    <w:tcW w:w="108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Eil. Nr.</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Straipsniai</w:t>
                    </w:r>
                  </w:p>
                </w:tc>
                <w:tc>
                  <w:tcPr>
                    <w:tcW w:w="972"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Pastabos Nr.</w:t>
                    </w:r>
                  </w:p>
                </w:tc>
                <w:tc>
                  <w:tcPr>
                    <w:tcW w:w="153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Ataskaitinis laikotarpis</w:t>
                    </w:r>
                  </w:p>
                </w:tc>
                <w:tc>
                  <w:tcPr>
                    <w:tcW w:w="141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Praėjęs ataskaitinis laikotarpis</w:t>
                    </w:r>
                  </w:p>
                </w:tc>
              </w:tr>
              <w:tr>
                <w:trPr>
                  <w:trHeight w:val="116"/>
                  <w:tblHeader/>
                </w:trPr>
                <w:tc>
                  <w:tcPr>
                    <w:tcW w:w="108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1</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2</w:t>
                    </w:r>
                  </w:p>
                </w:tc>
                <w:tc>
                  <w:tcPr>
                    <w:tcW w:w="972"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3</w:t>
                    </w:r>
                  </w:p>
                </w:tc>
                <w:tc>
                  <w:tcPr>
                    <w:tcW w:w="153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4</w:t>
                    </w:r>
                  </w:p>
                </w:tc>
                <w:tc>
                  <w:tcPr>
                    <w:tcW w:w="141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jc w:val="center"/>
                      <w:rPr>
                        <w:sz w:val="20"/>
                        <w:lang w:eastAsia="lt-LT"/>
                      </w:rPr>
                    </w:pPr>
                    <w:r>
                      <w:rPr>
                        <w:sz w:val="20"/>
                        <w:lang w:eastAsia="lt-LT"/>
                      </w:rPr>
                      <w:t>5</w:t>
                    </w: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Cs/>
                        <w:sz w:val="20"/>
                        <w:lang w:eastAsia="lt-LT"/>
                      </w:rPr>
                      <w:t>1.1.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Cs/>
                        <w:sz w:val="20"/>
                        <w:lang w:eastAsia="lt-LT"/>
                      </w:rPr>
                      <w:t>FINANSAVIMO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valstybės biudžeto</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1.1.2.</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savivaldybių biudžetų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1.1.3.</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Europos Sąjungos, užsienio valstybių ir tarptautinių organizacijų lėšų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1.1.4.</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viešojo sektoriaus subjektų pajamų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1.1.5.</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19"/>
                      <w:rPr>
                        <w:sz w:val="20"/>
                        <w:lang w:eastAsia="lt-LT"/>
                      </w:rPr>
                    </w:pPr>
                    <w:r>
                      <w:rPr>
                        <w:sz w:val="20"/>
                        <w:lang w:eastAsia="lt-LT"/>
                      </w:rPr>
                      <w:t>Iš fizinių ir privačių juridinių asmenų</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sz w:val="20"/>
                        <w:lang w:eastAsia="lt-LT"/>
                      </w:rPr>
                      <w:t>1.2.</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sz w:val="20"/>
                        <w:lang w:eastAsia="lt-LT"/>
                      </w:rPr>
                      <w:t xml:space="preserve">KITŲ ĮMOKŲ Į FONDUS PAJAMOS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88"/>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1.3.</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sz w:val="20"/>
                        <w:lang w:eastAsia="lt-LT"/>
                      </w:rPr>
                      <w:t>KITOS PAJAMOS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319"/>
                </w:trPr>
                <w:tc>
                  <w:tcPr>
                    <w:tcW w:w="1082" w:type="dxa"/>
                    <w:hideMark/>
                  </w:tcPr>
                  <w:p>
                    <w:pPr>
                      <w:spacing w:line="276" w:lineRule="auto"/>
                      <w:jc w:val="center"/>
                      <w:rPr>
                        <w:sz w:val="20"/>
                        <w:lang w:eastAsia="lt-LT"/>
                      </w:rPr>
                    </w:pPr>
                    <w:r>
                      <w:rPr>
                        <w:sz w:val="20"/>
                        <w:lang w:eastAsia="lt-LT"/>
                      </w:rPr>
                      <w:t>1.3.1.</w:t>
                    </w:r>
                  </w:p>
                </w:tc>
                <w:tc>
                  <w:tcPr>
                    <w:tcW w:w="4540" w:type="dxa"/>
                    <w:hideMark/>
                  </w:tcPr>
                  <w:p>
                    <w:pPr>
                      <w:spacing w:line="276" w:lineRule="auto"/>
                      <w:ind w:left="219"/>
                      <w:rPr>
                        <w:sz w:val="20"/>
                        <w:lang w:eastAsia="lt-LT"/>
                      </w:rPr>
                    </w:pPr>
                    <w:r>
                      <w:rPr>
                        <w:sz w:val="20"/>
                        <w:lang w:eastAsia="lt-LT"/>
                      </w:rPr>
                      <w:t>Baudų ir kitų netesybų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hideMark/>
                  </w:tcPr>
                  <w:p>
                    <w:pPr>
                      <w:spacing w:line="276" w:lineRule="auto"/>
                      <w:jc w:val="center"/>
                      <w:rPr>
                        <w:sz w:val="20"/>
                        <w:lang w:eastAsia="lt-LT"/>
                      </w:rPr>
                    </w:pPr>
                    <w:r>
                      <w:rPr>
                        <w:sz w:val="20"/>
                        <w:lang w:eastAsia="lt-LT"/>
                      </w:rPr>
                      <w:t>1.3.2.</w:t>
                    </w:r>
                  </w:p>
                </w:tc>
                <w:tc>
                  <w:tcPr>
                    <w:tcW w:w="4540" w:type="dxa"/>
                    <w:hideMark/>
                  </w:tcPr>
                  <w:p>
                    <w:pPr>
                      <w:spacing w:line="276" w:lineRule="auto"/>
                      <w:ind w:left="219"/>
                      <w:rPr>
                        <w:sz w:val="20"/>
                        <w:lang w:eastAsia="lt-LT"/>
                      </w:rPr>
                    </w:pPr>
                    <w:r>
                      <w:rPr>
                        <w:sz w:val="20"/>
                        <w:lang w:eastAsia="lt-LT"/>
                      </w:rPr>
                      <w:t>Finansinės ir investicinės veiklos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vAlign w:val="center"/>
                  </w:tcPr>
                  <w:p>
                    <w:pPr>
                      <w:spacing w:line="276" w:lineRule="auto"/>
                      <w:jc w:val="center"/>
                      <w:rPr>
                        <w:sz w:val="20"/>
                        <w:lang w:eastAsia="lt-LT"/>
                      </w:rPr>
                    </w:pPr>
                    <w:r>
                      <w:rPr>
                        <w:sz w:val="20"/>
                        <w:lang w:eastAsia="lt-LT"/>
                      </w:rPr>
                      <w:t>1.3.2.1.</w:t>
                    </w:r>
                  </w:p>
                </w:tc>
                <w:tc>
                  <w:tcPr>
                    <w:tcW w:w="4540" w:type="dxa"/>
                    <w:vAlign w:val="center"/>
                  </w:tcPr>
                  <w:p>
                    <w:pPr>
                      <w:spacing w:line="276" w:lineRule="auto"/>
                      <w:ind w:left="502"/>
                      <w:rPr>
                        <w:sz w:val="20"/>
                        <w:lang w:eastAsia="lt-LT"/>
                      </w:rPr>
                    </w:pPr>
                    <w:r>
                      <w:rPr>
                        <w:bCs/>
                        <w:sz w:val="20"/>
                        <w:lang w:eastAsia="lt-LT"/>
                      </w:rPr>
                      <w:t>Finansinio turto tikrosios vertės padidėjimas ir perleidimo pelnas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319"/>
                </w:trPr>
                <w:tc>
                  <w:tcPr>
                    <w:tcW w:w="1082" w:type="dxa"/>
                    <w:vAlign w:val="center"/>
                  </w:tcPr>
                  <w:p>
                    <w:pPr>
                      <w:spacing w:line="276" w:lineRule="auto"/>
                      <w:jc w:val="center"/>
                      <w:rPr>
                        <w:sz w:val="20"/>
                        <w:lang w:eastAsia="lt-LT"/>
                      </w:rPr>
                    </w:pPr>
                    <w:r>
                      <w:rPr>
                        <w:sz w:val="20"/>
                        <w:lang w:eastAsia="lt-LT"/>
                      </w:rPr>
                      <w:t>1.3.2.2</w:t>
                    </w:r>
                  </w:p>
                </w:tc>
                <w:tc>
                  <w:tcPr>
                    <w:tcW w:w="4540" w:type="dxa"/>
                    <w:vAlign w:val="center"/>
                  </w:tcPr>
                  <w:p>
                    <w:pPr>
                      <w:spacing w:line="276" w:lineRule="auto"/>
                      <w:ind w:left="502"/>
                      <w:rPr>
                        <w:sz w:val="20"/>
                        <w:lang w:eastAsia="lt-LT"/>
                      </w:rPr>
                    </w:pPr>
                    <w:r>
                      <w:rPr>
                        <w:sz w:val="20"/>
                        <w:lang w:eastAsia="lt-LT"/>
                      </w:rPr>
                      <w:t xml:space="preserve">Palūkanų </w:t>
                    </w:r>
                    <w:r>
                      <w:rPr>
                        <w:bCs/>
                        <w:sz w:val="20"/>
                        <w:lang w:eastAsia="lt-LT"/>
                      </w:rPr>
                      <w:t>pajamos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319"/>
                </w:trPr>
                <w:tc>
                  <w:tcPr>
                    <w:tcW w:w="1082" w:type="dxa"/>
                    <w:vAlign w:val="center"/>
                  </w:tcPr>
                  <w:p>
                    <w:pPr>
                      <w:spacing w:line="276" w:lineRule="auto"/>
                      <w:jc w:val="center"/>
                      <w:rPr>
                        <w:sz w:val="20"/>
                        <w:lang w:eastAsia="lt-LT"/>
                      </w:rPr>
                    </w:pPr>
                    <w:r>
                      <w:rPr>
                        <w:sz w:val="20"/>
                        <w:lang w:eastAsia="lt-LT"/>
                      </w:rPr>
                      <w:t>1.3.2.3</w:t>
                    </w:r>
                  </w:p>
                </w:tc>
                <w:tc>
                  <w:tcPr>
                    <w:tcW w:w="4540" w:type="dxa"/>
                    <w:vAlign w:val="center"/>
                  </w:tcPr>
                  <w:p>
                    <w:pPr>
                      <w:spacing w:line="276" w:lineRule="auto"/>
                      <w:ind w:left="502"/>
                      <w:rPr>
                        <w:sz w:val="20"/>
                        <w:lang w:eastAsia="lt-LT"/>
                      </w:rPr>
                    </w:pPr>
                    <w:r>
                      <w:rPr>
                        <w:sz w:val="20"/>
                        <w:lang w:eastAsia="lt-LT"/>
                      </w:rPr>
                      <w:t xml:space="preserve">Kitos finansinės ir investicinės veiklos </w:t>
                    </w:r>
                    <w:r>
                      <w:rPr>
                        <w:bCs/>
                        <w:sz w:val="20"/>
                        <w:lang w:eastAsia="lt-LT"/>
                      </w:rPr>
                      <w:t>pajamos</w:t>
                    </w:r>
                  </w:p>
                </w:tc>
                <w:tc>
                  <w:tcPr>
                    <w:tcW w:w="972" w:type="dxa"/>
                    <w:noWrap/>
                    <w:vAlign w:val="center"/>
                  </w:tcPr>
                  <w:p>
                    <w:pPr>
                      <w:spacing w:line="276" w:lineRule="auto"/>
                      <w:ind w:firstLine="60"/>
                      <w:rPr>
                        <w:sz w:val="20"/>
                        <w:lang w:eastAsia="lt-LT"/>
                      </w:rPr>
                    </w:pPr>
                  </w:p>
                </w:tc>
                <w:tc>
                  <w:tcPr>
                    <w:tcW w:w="1530" w:type="dxa"/>
                    <w:noWrap/>
                    <w:vAlign w:val="center"/>
                  </w:tcPr>
                  <w:p>
                    <w:pPr>
                      <w:spacing w:line="276" w:lineRule="auto"/>
                      <w:ind w:firstLine="60"/>
                      <w:rPr>
                        <w:b/>
                        <w:bCs/>
                        <w:sz w:val="20"/>
                        <w:lang w:eastAsia="lt-LT"/>
                      </w:rPr>
                    </w:pPr>
                  </w:p>
                </w:tc>
                <w:tc>
                  <w:tcPr>
                    <w:tcW w:w="1410" w:type="dxa"/>
                    <w:vAlign w:val="center"/>
                  </w:tcPr>
                  <w:p>
                    <w:pPr>
                      <w:spacing w:line="276" w:lineRule="auto"/>
                      <w:ind w:firstLine="60"/>
                      <w:rPr>
                        <w:b/>
                        <w:bCs/>
                        <w:sz w:val="20"/>
                        <w:lang w:eastAsia="lt-LT"/>
                      </w:rPr>
                    </w:pPr>
                  </w:p>
                </w:tc>
              </w:tr>
              <w:tr>
                <w:trPr>
                  <w:trHeight w:val="319"/>
                </w:trPr>
                <w:tc>
                  <w:tcPr>
                    <w:tcW w:w="1082" w:type="dxa"/>
                    <w:hideMark/>
                  </w:tcPr>
                  <w:p>
                    <w:pPr>
                      <w:spacing w:line="276" w:lineRule="auto"/>
                      <w:jc w:val="center"/>
                      <w:rPr>
                        <w:sz w:val="20"/>
                        <w:lang w:eastAsia="lt-LT"/>
                      </w:rPr>
                    </w:pPr>
                    <w:r>
                      <w:rPr>
                        <w:sz w:val="20"/>
                        <w:lang w:eastAsia="lt-LT"/>
                      </w:rPr>
                      <w:t>1.3.3.</w:t>
                    </w:r>
                  </w:p>
                </w:tc>
                <w:tc>
                  <w:tcPr>
                    <w:tcW w:w="4540" w:type="dxa"/>
                    <w:hideMark/>
                  </w:tcPr>
                  <w:p>
                    <w:pPr>
                      <w:spacing w:line="276" w:lineRule="auto"/>
                      <w:ind w:left="219"/>
                      <w:rPr>
                        <w:sz w:val="20"/>
                        <w:lang w:eastAsia="lt-LT"/>
                      </w:rPr>
                    </w:pPr>
                    <w:r>
                      <w:rPr>
                        <w:sz w:val="20"/>
                        <w:lang w:eastAsia="lt-LT"/>
                      </w:rPr>
                      <w:t>Kitos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319"/>
                </w:trPr>
                <w:tc>
                  <w:tcPr>
                    <w:tcW w:w="1082" w:type="dxa"/>
                    <w:hideMark/>
                  </w:tcPr>
                  <w:p>
                    <w:pPr>
                      <w:spacing w:line="276" w:lineRule="auto"/>
                      <w:jc w:val="center"/>
                      <w:rPr>
                        <w:sz w:val="20"/>
                        <w:lang w:eastAsia="lt-LT"/>
                      </w:rPr>
                    </w:pPr>
                    <w:r>
                      <w:rPr>
                        <w:sz w:val="20"/>
                        <w:lang w:eastAsia="lt-LT"/>
                      </w:rPr>
                      <w:t>1.3.4.</w:t>
                    </w:r>
                  </w:p>
                </w:tc>
                <w:tc>
                  <w:tcPr>
                    <w:tcW w:w="4540" w:type="dxa"/>
                    <w:hideMark/>
                  </w:tcPr>
                  <w:p>
                    <w:pPr>
                      <w:spacing w:line="276" w:lineRule="auto"/>
                      <w:ind w:left="219"/>
                      <w:rPr>
                        <w:sz w:val="20"/>
                        <w:lang w:eastAsia="lt-LT"/>
                      </w:rPr>
                    </w:pPr>
                    <w:r>
                      <w:rPr>
                        <w:sz w:val="20"/>
                        <w:lang w:eastAsia="lt-LT"/>
                      </w:rPr>
                      <w:t>Negrąžintinai pervestinos į valstybės ar savivaldybių biudžetus pajamos</w:t>
                    </w:r>
                  </w:p>
                </w:tc>
                <w:tc>
                  <w:tcPr>
                    <w:tcW w:w="972" w:type="dxa"/>
                    <w:noWrap/>
                  </w:tcPr>
                  <w:p>
                    <w:pPr>
                      <w:spacing w:line="276" w:lineRule="auto"/>
                      <w:ind w:firstLine="60"/>
                      <w:rPr>
                        <w:sz w:val="20"/>
                        <w:lang w:eastAsia="lt-LT"/>
                      </w:rPr>
                    </w:pPr>
                  </w:p>
                </w:tc>
                <w:tc>
                  <w:tcPr>
                    <w:tcW w:w="1530" w:type="dxa"/>
                    <w:noWrap/>
                  </w:tcPr>
                  <w:p>
                    <w:pPr>
                      <w:spacing w:line="276" w:lineRule="auto"/>
                      <w:ind w:firstLine="60"/>
                      <w:rPr>
                        <w:b/>
                        <w:bCs/>
                        <w:sz w:val="20"/>
                        <w:lang w:eastAsia="lt-LT"/>
                      </w:rPr>
                    </w:pPr>
                  </w:p>
                </w:tc>
                <w:tc>
                  <w:tcPr>
                    <w:tcW w:w="1410" w:type="dxa"/>
                  </w:tcPr>
                  <w:p>
                    <w:pPr>
                      <w:spacing w:line="276" w:lineRule="auto"/>
                      <w:ind w:firstLine="60"/>
                      <w:rPr>
                        <w:b/>
                        <w:bCs/>
                        <w:sz w:val="20"/>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2.</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2.1.</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20"/>
                      <w:rPr>
                        <w:b/>
                        <w:bCs/>
                        <w:sz w:val="20"/>
                        <w:lang w:eastAsia="lt-LT"/>
                      </w:rPr>
                    </w:pPr>
                    <w:r>
                      <w:rPr>
                        <w:sz w:val="20"/>
                        <w:lang w:eastAsia="lt-LT"/>
                      </w:rPr>
                      <w:t xml:space="preserve">NUVERTĖJIMO IR NURAŠYTŲ SUMŲ SĄNAUDOS </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2.2.</w:t>
                    </w:r>
                  </w:p>
                </w:tc>
                <w:tc>
                  <w:tcPr>
                    <w:tcW w:w="454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ind w:firstLine="20"/>
                      <w:rPr>
                        <w:sz w:val="20"/>
                        <w:lang w:eastAsia="lt-LT"/>
                      </w:rPr>
                    </w:pPr>
                    <w:r>
                      <w:rPr>
                        <w:sz w:val="20"/>
                        <w:lang w:eastAsia="lt-LT"/>
                      </w:rPr>
                      <w:t>SOCIALINIŲ IŠMOKŲ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2.3.</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ind w:firstLine="20"/>
                      <w:rPr>
                        <w:sz w:val="20"/>
                        <w:lang w:eastAsia="lt-LT"/>
                      </w:rPr>
                    </w:pPr>
                    <w:r>
                      <w:rPr>
                        <w:sz w:val="20"/>
                        <w:lang w:eastAsia="lt-LT"/>
                      </w:rPr>
                      <w:t>FINANSAVIMO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right="-57" w:firstLine="20"/>
                      <w:rPr>
                        <w:b/>
                        <w:bCs/>
                        <w:sz w:val="20"/>
                        <w:lang w:eastAsia="lt-LT"/>
                      </w:rPr>
                    </w:pPr>
                    <w:r>
                      <w:rPr>
                        <w:sz w:val="20"/>
                        <w:lang w:eastAsia="lt-LT"/>
                      </w:rPr>
                      <w:t>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71"/>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2.4.1.</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bCs/>
                        <w:sz w:val="20"/>
                        <w:lang w:eastAsia="lt-LT"/>
                      </w:rPr>
                      <w:t>Finansinio turto vertės sumažėjimas, perleidimo nuostolis, nuvertėjimas ir nurašymas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2.4.2.</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sz w:val="20"/>
                        <w:lang w:eastAsia="lt-LT"/>
                      </w:rPr>
                      <w:t>Palūkanų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sz w:val="20"/>
                        <w:lang w:eastAsia="lt-LT"/>
                      </w:rPr>
                    </w:pPr>
                    <w:r>
                      <w:rPr>
                        <w:sz w:val="20"/>
                        <w:lang w:eastAsia="lt-LT"/>
                      </w:rPr>
                      <w:t>2.4.3.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ind w:left="219" w:firstLine="20"/>
                      <w:jc w:val="both"/>
                      <w:rPr>
                        <w:b/>
                        <w:bCs/>
                        <w:sz w:val="20"/>
                        <w:lang w:eastAsia="lt-LT"/>
                      </w:rPr>
                    </w:pPr>
                    <w:r>
                      <w:rPr>
                        <w:sz w:val="20"/>
                        <w:lang w:eastAsia="lt-LT"/>
                      </w:rPr>
                      <w:t>Kitos finansinės ir investicinės veiklos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28"/>
                </w:trPr>
                <w:tc>
                  <w:tcPr>
                    <w:tcW w:w="108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sz w:val="20"/>
                        <w:lang w:eastAsia="lt-LT"/>
                      </w:rPr>
                    </w:pPr>
                    <w:r>
                      <w:rPr>
                        <w:sz w:val="20"/>
                        <w:lang w:eastAsia="lt-LT"/>
                      </w:rPr>
                      <w:t>2.5.</w:t>
                    </w:r>
                  </w:p>
                </w:tc>
                <w:tc>
                  <w:tcPr>
                    <w:tcW w:w="4540" w:type="dxa"/>
                    <w:tcBorders>
                      <w:top w:val="single" w:sz="4" w:space="0" w:color="auto"/>
                      <w:left w:val="single" w:sz="4" w:space="0" w:color="auto"/>
                      <w:bottom w:val="single" w:sz="4" w:space="0" w:color="auto"/>
                      <w:right w:val="single" w:sz="4" w:space="0" w:color="auto"/>
                    </w:tcBorders>
                    <w:vAlign w:val="center"/>
                  </w:tcPr>
                  <w:p>
                    <w:pPr>
                      <w:tabs>
                        <w:tab w:val="left" w:pos="889"/>
                        <w:tab w:val="left" w:pos="4049"/>
                        <w:tab w:val="left" w:pos="6784"/>
                        <w:tab w:val="left" w:pos="8024"/>
                        <w:tab w:val="left" w:pos="9440"/>
                        <w:tab w:val="left" w:pos="10883"/>
                      </w:tabs>
                      <w:ind w:firstLine="20"/>
                      <w:jc w:val="both"/>
                      <w:rPr>
                        <w:bCs/>
                        <w:sz w:val="20"/>
                        <w:lang w:eastAsia="lt-LT"/>
                      </w:rPr>
                    </w:pPr>
                    <w:r>
                      <w:rPr>
                        <w:bCs/>
                        <w:sz w:val="20"/>
                        <w:lang w:eastAsia="lt-LT"/>
                      </w:rPr>
                      <w:t>KITOS SĄNAUDOS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3.</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PERVIRŠIS AR DEFICITAS IŠ VYKDOMOS VEIKLOS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456"/>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4.</w:t>
                    </w:r>
                  </w:p>
                </w:tc>
                <w:tc>
                  <w:tcPr>
                    <w:tcW w:w="4540" w:type="dxa"/>
                    <w:tcBorders>
                      <w:top w:val="single" w:sz="4" w:space="0" w:color="auto"/>
                      <w:left w:val="single" w:sz="4" w:space="0" w:color="auto"/>
                      <w:bottom w:val="single" w:sz="4" w:space="0" w:color="auto"/>
                      <w:right w:val="single" w:sz="4" w:space="0" w:color="auto"/>
                    </w:tcBorders>
                    <w:vAlign w:val="center"/>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APSKAITOS POLITIKOS KEITIMO IR ESMINIŲ APSKAITOS KLAIDŲ TAISYMO ĮTAKA</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r>
                <w:trPr>
                  <w:trHeight w:val="273"/>
                </w:trPr>
                <w:tc>
                  <w:tcPr>
                    <w:tcW w:w="1082"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jc w:val="center"/>
                      <w:rPr>
                        <w:b/>
                        <w:bCs/>
                        <w:sz w:val="20"/>
                        <w:lang w:eastAsia="lt-LT"/>
                      </w:rPr>
                    </w:pPr>
                    <w:r>
                      <w:rPr>
                        <w:b/>
                        <w:bCs/>
                        <w:sz w:val="20"/>
                        <w:lang w:eastAsia="lt-LT"/>
                      </w:rPr>
                      <w:t>5.</w:t>
                    </w:r>
                  </w:p>
                </w:tc>
                <w:tc>
                  <w:tcPr>
                    <w:tcW w:w="4540" w:type="dxa"/>
                    <w:tcBorders>
                      <w:top w:val="single" w:sz="4" w:space="0" w:color="auto"/>
                      <w:left w:val="single" w:sz="4" w:space="0" w:color="auto"/>
                      <w:bottom w:val="single" w:sz="4" w:space="0" w:color="auto"/>
                      <w:right w:val="single" w:sz="4" w:space="0" w:color="auto"/>
                    </w:tcBorders>
                    <w:hideMark/>
                  </w:tcPr>
                  <w:p>
                    <w:pPr>
                      <w:tabs>
                        <w:tab w:val="left" w:pos="889"/>
                        <w:tab w:val="left" w:pos="4049"/>
                        <w:tab w:val="left" w:pos="6784"/>
                        <w:tab w:val="left" w:pos="8024"/>
                        <w:tab w:val="left" w:pos="9440"/>
                        <w:tab w:val="left" w:pos="10883"/>
                      </w:tabs>
                      <w:rPr>
                        <w:b/>
                        <w:bCs/>
                        <w:sz w:val="20"/>
                        <w:lang w:eastAsia="lt-LT"/>
                      </w:rPr>
                    </w:pPr>
                    <w:r>
                      <w:rPr>
                        <w:b/>
                        <w:bCs/>
                        <w:sz w:val="20"/>
                        <w:lang w:eastAsia="lt-LT"/>
                      </w:rPr>
                      <w:t>GRYNASIS PERVIRŠIS AR DEFICITAS</w:t>
                    </w:r>
                  </w:p>
                </w:tc>
                <w:tc>
                  <w:tcPr>
                    <w:tcW w:w="972"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Cs w:val="24"/>
                        <w:lang w:eastAsia="lt-LT"/>
                      </w:rPr>
                    </w:pPr>
                  </w:p>
                </w:tc>
                <w:tc>
                  <w:tcPr>
                    <w:tcW w:w="153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c>
                  <w:tcPr>
                    <w:tcW w:w="1410" w:type="dxa"/>
                    <w:tcBorders>
                      <w:top w:val="single" w:sz="4" w:space="0" w:color="auto"/>
                      <w:left w:val="single" w:sz="4" w:space="0" w:color="auto"/>
                      <w:bottom w:val="single" w:sz="4" w:space="0" w:color="auto"/>
                      <w:right w:val="single" w:sz="4" w:space="0" w:color="auto"/>
                    </w:tcBorders>
                  </w:tcPr>
                  <w:p>
                    <w:pPr>
                      <w:tabs>
                        <w:tab w:val="left" w:pos="889"/>
                        <w:tab w:val="left" w:pos="4049"/>
                        <w:tab w:val="left" w:pos="6784"/>
                        <w:tab w:val="left" w:pos="8024"/>
                        <w:tab w:val="left" w:pos="9440"/>
                        <w:tab w:val="left" w:pos="10883"/>
                      </w:tabs>
                      <w:jc w:val="center"/>
                      <w:rPr>
                        <w:b/>
                        <w:bCs/>
                        <w:sz w:val="20"/>
                        <w:szCs w:val="24"/>
                        <w:lang w:eastAsia="lt-LT"/>
                      </w:rPr>
                    </w:pPr>
                  </w:p>
                </w:tc>
              </w:tr>
            </w:tbl>
            <w:p>
              <w:pPr>
                <w:tabs>
                  <w:tab w:val="left" w:pos="889"/>
                  <w:tab w:val="left" w:pos="4049"/>
                  <w:tab w:val="left" w:pos="6784"/>
                  <w:tab w:val="left" w:pos="8024"/>
                  <w:tab w:val="left" w:pos="9440"/>
                  <w:tab w:val="left" w:pos="10883"/>
                </w:tabs>
                <w:jc w:val="center"/>
                <w:rPr>
                  <w:b/>
                  <w:bCs/>
                  <w:szCs w:val="24"/>
                  <w:lang w:eastAsia="lt-LT"/>
                </w:rPr>
              </w:pPr>
            </w:p>
            <w:p>
              <w:pPr>
                <w:jc w:val="center"/>
              </w:pPr>
              <w:r>
                <w:t>________________________</w:t>
              </w:r>
            </w:p>
            <w:p>
              <w:r>
                <w:br w:type="page"/>
              </w:r>
            </w:p>
          </w:sdtContent>
        </w:sdt>
        <w:sdt>
          <w:sdtPr>
            <w:alias w:val="skirsnis"/>
            <w:tag w:val="part_f7a5063ea43a4eb2a9502ec62c691f33"/>
            <w:lock w:val="sdtLocked"/>
            <w:richText/>
          </w:sdtPr>
          <w:sdtContent>
            <w:p>
              <w:pPr>
                <w:suppressAutoHyphens/>
                <w:jc w:val="center"/>
                <w:textAlignment w:val="baseline"/>
                <w:rPr>
                  <w:b/>
                  <w:bCs/>
                  <w:szCs w:val="24"/>
                  <w:lang w:eastAsia="lt-LT"/>
                </w:rPr>
              </w:pPr>
              <w:sdt>
                <w:sdtPr>
                  <w:alias w:val="Pavadinimas"/>
                  <w:tag w:val="title_f7a5063ea43a4eb2a9502ec62c691f33"/>
                  <w:lock w:val="sdtLocked"/>
                  <w:richText/>
                </w:sdtPr>
                <w:sdtContent>
                  <w:r>
                    <w:rPr>
                      <w:b/>
                      <w:bCs/>
                      <w:szCs w:val="24"/>
                      <w:lang w:eastAsia="lt-LT"/>
                    </w:rPr>
                    <w:t>PINIGŲ SRAUTŲ ATASKAITA</w:t>
                  </w:r>
                </w:sdtContent>
              </w:sdt>
            </w:p>
            <w:p>
              <w:pPr>
                <w:suppressAutoHyphens/>
                <w:jc w:val="center"/>
                <w:textAlignment w:val="baseline"/>
                <w:rPr>
                  <w:b/>
                  <w:bCs/>
                  <w:szCs w:val="24"/>
                  <w:lang w:eastAsia="lt-LT"/>
                </w:rPr>
              </w:pPr>
              <w:r>
                <w:rPr>
                  <w:b/>
                  <w:bCs/>
                  <w:szCs w:val="24"/>
                  <w:lang w:eastAsia="lt-LT"/>
                </w:rPr>
                <w:t>PAGAL 20</w:t>
              </w:r>
              <w:r>
                <w:rPr>
                  <w:bCs/>
                  <w:szCs w:val="24"/>
                  <w:lang w:eastAsia="lt-LT"/>
                </w:rPr>
                <w:t>_____</w:t>
              </w:r>
              <w:r>
                <w:rPr>
                  <w:b/>
                  <w:bCs/>
                  <w:szCs w:val="24"/>
                  <w:lang w:eastAsia="lt-LT"/>
                </w:rPr>
                <w:t xml:space="preserve"> M. </w:t>
              </w:r>
              <w:r>
                <w:rPr>
                  <w:bCs/>
                  <w:szCs w:val="24"/>
                  <w:lang w:eastAsia="lt-LT"/>
                </w:rPr>
                <w:t>_________________</w:t>
              </w:r>
              <w:r>
                <w:rPr>
                  <w:b/>
                  <w:bCs/>
                  <w:szCs w:val="24"/>
                  <w:lang w:eastAsia="lt-LT"/>
                </w:rPr>
                <w:t xml:space="preserve"> D. DUOMENIS</w:t>
              </w:r>
            </w:p>
            <w:p>
              <w:pPr>
                <w:tabs>
                  <w:tab w:val="left" w:pos="726"/>
                  <w:tab w:val="left" w:pos="4148"/>
                  <w:tab w:val="left" w:pos="7113"/>
                  <w:tab w:val="left" w:pos="8031"/>
                  <w:tab w:val="left" w:pos="9026"/>
                  <w:tab w:val="left" w:pos="10265"/>
                </w:tabs>
                <w:suppressAutoHyphens/>
                <w:jc w:val="center"/>
                <w:textAlignment w:val="baseline"/>
                <w:rPr>
                  <w:b/>
                  <w:bCs/>
                  <w:sz w:val="20"/>
                  <w:lang w:eastAsia="lt-LT"/>
                </w:rPr>
              </w:pPr>
            </w:p>
            <w:p>
              <w:pPr>
                <w:tabs>
                  <w:tab w:val="left" w:pos="726"/>
                  <w:tab w:val="left" w:pos="4148"/>
                  <w:tab w:val="left" w:pos="7113"/>
                </w:tabs>
                <w:suppressAutoHyphens/>
                <w:jc w:val="right"/>
                <w:textAlignment w:val="baseline"/>
                <w:rPr>
                  <w:i/>
                  <w:iCs/>
                  <w:sz w:val="20"/>
                  <w:lang w:eastAsia="lt-LT"/>
                </w:rPr>
              </w:pPr>
              <w:r>
                <w:rPr>
                  <w:i/>
                  <w:iCs/>
                  <w:sz w:val="20"/>
                  <w:lang w:eastAsia="lt-LT"/>
                </w:rPr>
                <w:t xml:space="preserve">Pateikimo valiuta ir tikslumas: eurais </w:t>
              </w:r>
            </w:p>
            <w:tbl>
              <w:tblPr>
                <w:tblW w:w="9966" w:type="dxa"/>
                <w:tblCellMar>
                  <w:left w:w="10" w:type="dxa"/>
                  <w:right w:w="10" w:type="dxa"/>
                </w:tblCellMar>
                <w:tblLook w:val="04A0" w:firstRow="1" w:lastRow="0" w:firstColumn="1" w:lastColumn="0" w:noHBand="0" w:noVBand="1"/>
              </w:tblPr>
              <w:tblGrid>
                <w:gridCol w:w="816"/>
                <w:gridCol w:w="40"/>
                <w:gridCol w:w="5287"/>
                <w:gridCol w:w="1091"/>
                <w:gridCol w:w="1391"/>
                <w:gridCol w:w="1341"/>
              </w:tblGrid>
              <w:tr>
                <w:trPr>
                  <w:trHeight w:val="549"/>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Eil. Nr.</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Straipsniai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 xml:space="preserve">Pastabos Nr. </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Ataskaitinis laikotarpis</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Praėjęs ataskaitinis laikotarpis</w:t>
                    </w: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w:t>
                    </w:r>
                  </w:p>
                </w:tc>
                <w:tc>
                  <w:tcPr>
                    <w:tcW w:w="53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w:t>
                    </w: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4</w:t>
                    </w: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5</w:t>
                    </w:r>
                  </w:p>
                </w:tc>
              </w:tr>
              <w:tr>
                <w:trPr>
                  <w:trHeight w:val="131"/>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1.</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43"/>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w:t>
                    </w:r>
                  </w:p>
                </w:tc>
                <w:tc>
                  <w:tcPr>
                    <w:tcW w:w="53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ind w:left="179"/>
                      <w:textAlignment w:val="baseline"/>
                      <w:rPr>
                        <w:lang w:eastAsia="lt-LT"/>
                      </w:rPr>
                    </w:pPr>
                    <w:r>
                      <w:rPr>
                        <w:sz w:val="20"/>
                        <w:lang w:eastAsia="lt-LT"/>
                      </w:rPr>
                      <w:t>Finansavimo sumos:</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suppressAutoHyphens/>
                      <w:ind w:firstLine="55"/>
                      <w:textAlignment w:val="baseline"/>
                      <w:rPr>
                        <w:rFonts w:ascii="Arial" w:hAnsi="Arial" w:cs="Arial"/>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1.1.1.1.</w:t>
                    </w:r>
                  </w:p>
                </w:tc>
                <w:tc>
                  <w:tcPr>
                    <w:tcW w:w="53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valstybės biudžeto</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1.1.1.2.</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savivaldybių biudžetų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1.1.1.3.</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Europos Sąjungos, užsienio valstybių ir tarptautinių organizacijų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tcPr>
                  <w:p>
                    <w:pPr>
                      <w:suppressAutoHyphens/>
                      <w:ind w:left="299"/>
                      <w:textAlignment w:val="baseline"/>
                      <w:rPr>
                        <w:sz w:val="20"/>
                        <w:lang w:eastAsia="lt-LT"/>
                      </w:rPr>
                    </w:pPr>
                    <w:r>
                      <w:rPr>
                        <w:sz w:val="20"/>
                        <w:lang w:eastAsia="lt-LT"/>
                      </w:rPr>
                      <w:t>Iš viešojo sektoriaus subjektų pajamų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8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1.1.1.5.</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299"/>
                      <w:textAlignment w:val="baseline"/>
                      <w:rPr>
                        <w:sz w:val="20"/>
                        <w:lang w:eastAsia="lt-LT"/>
                      </w:rPr>
                    </w:pPr>
                    <w:r>
                      <w:rPr>
                        <w:sz w:val="20"/>
                        <w:lang w:eastAsia="lt-LT"/>
                      </w:rPr>
                      <w:t>Iš fizinių ir privačių juridinių asmenų</w:t>
                    </w:r>
                  </w:p>
                </w:tc>
                <w:tc>
                  <w:tcPr>
                    <w:tcW w:w="1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Iš socialinių įmokų ir kitų įmokų į fondus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13"/>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1.1.3.</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lang w:eastAsia="lt-LT"/>
                      </w:rPr>
                    </w:pPr>
                    <w:r>
                      <w:rPr>
                        <w:sz w:val="20"/>
                        <w:lang w:eastAsia="lt-LT"/>
                      </w:rPr>
                      <w:t xml:space="preserve">Gautos palūkanos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74"/>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1.1.4.</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įplaukos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Pervestos lėšos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1.2.1.</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valstybės biudžetą</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Į išteklių fondus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1.2.3.</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Viešojo sektoriaus subjektams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1.2.4.</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Fiziniams ir privatiems juridiniams asmenims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10"/>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1.3.1.</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Socialinių išmokų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145"/>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1.3.2.</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Sumokėtos palūkanos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7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1.3.3.</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center"/>
                    <w:hideMark/>
                  </w:tcPr>
                  <w:p>
                    <w:pPr>
                      <w:suppressAutoHyphens/>
                      <w:ind w:left="179"/>
                      <w:textAlignment w:val="baseline"/>
                      <w:rPr>
                        <w:sz w:val="20"/>
                        <w:lang w:eastAsia="lt-LT"/>
                      </w:rPr>
                    </w:pPr>
                    <w:r>
                      <w:rPr>
                        <w:sz w:val="20"/>
                        <w:lang w:eastAsia="lt-LT"/>
                      </w:rPr>
                      <w:t>Kitos išmokos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INVESTICINĖS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 xml:space="preserve">Išmokos įsigijus ilgalaikį finansinį turtą </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textAlignment w:val="baseline"/>
                      <w:rPr>
                        <w:sz w:val="20"/>
                        <w:lang w:eastAsia="lt-LT"/>
                      </w:rPr>
                    </w:pPr>
                    <w:r>
                      <w:rPr>
                        <w:sz w:val="20"/>
                        <w:lang w:eastAsia="lt-LT"/>
                      </w:rPr>
                      <w:t>Įplaukos perleidus ilgalaikį finansinį turtą</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2.3.</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Terminuotųjų indėlių padidėjimas (sumažėjimas)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jc w:val="center"/>
                      <w:textAlignment w:val="baseline"/>
                      <w:rPr>
                        <w:lang w:eastAsia="lt-LT"/>
                      </w:rPr>
                    </w:pPr>
                    <w:r>
                      <w:rPr>
                        <w:sz w:val="20"/>
                        <w:lang w:eastAsia="lt-LT"/>
                      </w:rPr>
                      <w:t>2.4.</w:t>
                    </w:r>
                  </w:p>
                </w:tc>
                <w:tc>
                  <w:tcPr>
                    <w:tcW w:w="5327" w:type="dxa"/>
                    <w:gridSpan w:val="2"/>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sz w:val="20"/>
                        <w:lang w:eastAsia="lt-LT"/>
                      </w:rPr>
                    </w:pPr>
                    <w:r>
                      <w:rPr>
                        <w:sz w:val="20"/>
                        <w:lang w:eastAsia="lt-LT"/>
                      </w:rPr>
                      <w:t>Kiti investicinės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3.</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b/>
                        <w:bCs/>
                        <w:sz w:val="20"/>
                        <w:lang w:eastAsia="lt-LT"/>
                      </w:rPr>
                    </w:pPr>
                    <w:r>
                      <w:rPr>
                        <w:b/>
                        <w:bCs/>
                        <w:sz w:val="20"/>
                        <w:lang w:eastAsia="lt-LT"/>
                      </w:rPr>
                      <w:t>FINANSINĖS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3.1.</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Įplaukos iš gautų paskolų</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hideMark/>
                  </w:tcPr>
                  <w:p>
                    <w:pPr>
                      <w:suppressAutoHyphens/>
                      <w:textAlignment w:val="baseline"/>
                      <w:rPr>
                        <w:sz w:val="20"/>
                        <w:lang w:eastAsia="lt-LT"/>
                      </w:rPr>
                    </w:pPr>
                    <w:r>
                      <w:rPr>
                        <w:sz w:val="20"/>
                        <w:lang w:eastAsia="lt-LT"/>
                      </w:rPr>
                      <w:t>Gautų paskolų grąžinimas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5"/>
                </w:trPr>
                <w:tc>
                  <w:tcPr>
                    <w:tcW w:w="80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sz w:val="20"/>
                        <w:lang w:eastAsia="lt-LT"/>
                      </w:rPr>
                    </w:pPr>
                    <w:r>
                      <w:rPr>
                        <w:sz w:val="20"/>
                        <w:lang w:eastAsia="lt-LT"/>
                      </w:rPr>
                      <w:t>3.3.</w:t>
                    </w:r>
                  </w:p>
                </w:tc>
                <w:tc>
                  <w:tcPr>
                    <w:tcW w:w="528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vAlign w:val="bottom"/>
                    <w:hideMark/>
                  </w:tcPr>
                  <w:p>
                    <w:pPr>
                      <w:suppressAutoHyphens/>
                      <w:textAlignment w:val="baseline"/>
                      <w:rPr>
                        <w:lang w:eastAsia="lt-LT"/>
                      </w:rPr>
                    </w:pPr>
                    <w:r>
                      <w:rPr>
                        <w:sz w:val="20"/>
                        <w:lang w:eastAsia="lt-LT"/>
                      </w:rPr>
                      <w:t>Kiti finansinės veiklos pinigų srautai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506"/>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jc w:val="center"/>
                      <w:textAlignment w:val="baseline"/>
                      <w:rPr>
                        <w:b/>
                        <w:bCs/>
                        <w:sz w:val="20"/>
                        <w:lang w:eastAsia="lt-LT"/>
                      </w:rPr>
                    </w:pPr>
                    <w:r>
                      <w:rPr>
                        <w:b/>
                        <w:bCs/>
                        <w:sz w:val="20"/>
                        <w:lang w:eastAsia="lt-LT"/>
                      </w:rPr>
                      <w:t>4.</w:t>
                    </w:r>
                  </w:p>
                </w:tc>
                <w:tc>
                  <w:tcPr>
                    <w:tcW w:w="53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
                        <w:bCs/>
                        <w:sz w:val="20"/>
                        <w:lang w:eastAsia="lt-LT"/>
                      </w:rPr>
                    </w:pPr>
                    <w:r>
                      <w:rPr>
                        <w:b/>
                        <w:bCs/>
                        <w:sz w:val="20"/>
                        <w:lang w:eastAsia="lt-LT"/>
                      </w:rPr>
                      <w:t>VALIUTŲ KURSŲ PASIKEITIMO ĮTAKA PINIGŲ IR PINIGŲ EKVIVALENTŲ LIKUČIUI</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58"/>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4.1.</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Pinigų ir pinigų ekvivalentų padidėjimas (sumažėjimas)</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407"/>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4.2.</w:t>
                    </w:r>
                  </w:p>
                </w:tc>
                <w:tc>
                  <w:tcPr>
                    <w:tcW w:w="53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textAlignment w:val="baseline"/>
                      <w:rPr>
                        <w:bCs/>
                        <w:sz w:val="20"/>
                        <w:lang w:eastAsia="lt-LT"/>
                      </w:rPr>
                    </w:pPr>
                    <w:r>
                      <w:rPr>
                        <w:bCs/>
                        <w:sz w:val="20"/>
                        <w:lang w:eastAsia="lt-LT"/>
                      </w:rPr>
                      <w:t>Pinigai ir pinigų ekvivalentai ataskaitinio laikotarpio pradžioje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26"/>
                </w:trPr>
                <w:tc>
                  <w:tcPr>
                    <w:tcW w:w="7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suppressAutoHyphens/>
                      <w:ind w:firstLine="50"/>
                      <w:jc w:val="center"/>
                      <w:textAlignment w:val="baseline"/>
                      <w:rPr>
                        <w:bCs/>
                        <w:sz w:val="20"/>
                        <w:lang w:eastAsia="lt-LT"/>
                      </w:rPr>
                    </w:pPr>
                    <w:r>
                      <w:rPr>
                        <w:bCs/>
                        <w:sz w:val="20"/>
                        <w:lang w:eastAsia="lt-LT"/>
                      </w:rPr>
                      <w:t>4.3.</w:t>
                    </w:r>
                  </w:p>
                </w:tc>
                <w:tc>
                  <w:tcPr>
                    <w:tcW w:w="5327"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pPr>
                      <w:suppressAutoHyphens/>
                      <w:textAlignment w:val="baseline"/>
                      <w:rPr>
                        <w:bCs/>
                        <w:sz w:val="20"/>
                        <w:lang w:eastAsia="lt-LT"/>
                      </w:rPr>
                    </w:pPr>
                    <w:r>
                      <w:rPr>
                        <w:bCs/>
                        <w:sz w:val="20"/>
                        <w:lang w:eastAsia="lt-LT"/>
                      </w:rPr>
                      <w:t>Pinigai ir pinigų ekvivalentai ataskaitinio laikotarpio pabaigoje</w:t>
                    </w:r>
                  </w:p>
                </w:tc>
                <w:tc>
                  <w:tcPr>
                    <w:tcW w:w="11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3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bl>
            <w:p>
              <w:pPr>
                <w:tabs>
                  <w:tab w:val="left" w:pos="913"/>
                  <w:tab w:val="left" w:pos="6320"/>
                  <w:tab w:val="left" w:pos="9690"/>
                </w:tabs>
                <w:spacing w:line="240" w:lineRule="atLeast"/>
                <w:ind w:left="7513" w:firstLine="913"/>
                <w:rPr>
                  <w:szCs w:val="24"/>
                  <w:lang w:eastAsia="lt-LT"/>
                </w:rPr>
              </w:pPr>
            </w:p>
            <w:p>
              <w:pPr>
                <w:tabs>
                  <w:tab w:val="left" w:pos="913"/>
                  <w:tab w:val="left" w:pos="6320"/>
                  <w:tab w:val="left" w:pos="9690"/>
                </w:tabs>
                <w:spacing w:line="240" w:lineRule="atLeast"/>
                <w:jc w:val="center"/>
              </w:pPr>
              <w:r>
                <w:rPr>
                  <w:szCs w:val="24"/>
                  <w:lang w:eastAsia="lt-LT"/>
                </w:rPr>
                <w:t>______________</w:t>
              </w:r>
            </w:p>
            <w:p>
              <w:pPr>
                <w:tabs>
                  <w:tab w:val="left" w:pos="913"/>
                  <w:tab w:val="left" w:pos="6320"/>
                  <w:tab w:val="left" w:pos="9690"/>
                </w:tabs>
                <w:spacing w:line="240" w:lineRule="atLeast"/>
                <w:jc w:val="center"/>
              </w:pPr>
            </w:p>
          </w:sdtContent>
        </w:sdt>
      </w:sdtContent>
    </w:sdt>
    <w:sectPr>
      <w:pgSz w:w="11906" w:h="16838"/>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w:panose1 w:val="02070309020205020404"/>
    <w:charset w:val="00"/>
    <w:family w:val="modern"/>
    <w:notTrueType/>
    <w:pitch w:val="fixed"/>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Verdana">
    <w:panose1 w:val="020B0604030504040204"/>
    <w:charset w:val="BA"/>
    <w:family w:val="swiss"/>
    <w:pitch w:val="variable"/>
    <w:sig w:usb0="A10006FF" w:usb1="4000205B" w:usb2="00000010"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227"/>
      <w:jc w:val="right"/>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A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28BA06-ECE2-4EF4-8824-3B27B91AE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356847">
      <w:bodyDiv w:val="1"/>
      <w:marLeft w:val="0"/>
      <w:marRight w:val="0"/>
      <w:marTop w:val="0"/>
      <w:marBottom w:val="0"/>
      <w:divBdr>
        <w:top w:val="none" w:sz="0" w:space="0" w:color="auto"/>
        <w:left w:val="none" w:sz="0" w:space="0" w:color="auto"/>
        <w:bottom w:val="none" w:sz="0" w:space="0" w:color="auto"/>
        <w:right w:val="none" w:sz="0" w:space="0" w:color="auto"/>
      </w:divBdr>
    </w:div>
    <w:div w:id="104496385">
      <w:bodyDiv w:val="1"/>
      <w:marLeft w:val="0"/>
      <w:marRight w:val="0"/>
      <w:marTop w:val="0"/>
      <w:marBottom w:val="0"/>
      <w:divBdr>
        <w:top w:val="none" w:sz="0" w:space="0" w:color="auto"/>
        <w:left w:val="none" w:sz="0" w:space="0" w:color="auto"/>
        <w:bottom w:val="none" w:sz="0" w:space="0" w:color="auto"/>
        <w:right w:val="none" w:sz="0" w:space="0" w:color="auto"/>
      </w:divBdr>
    </w:div>
    <w:div w:id="207499230">
      <w:bodyDiv w:val="1"/>
      <w:marLeft w:val="0"/>
      <w:marRight w:val="0"/>
      <w:marTop w:val="0"/>
      <w:marBottom w:val="0"/>
      <w:divBdr>
        <w:top w:val="none" w:sz="0" w:space="0" w:color="auto"/>
        <w:left w:val="none" w:sz="0" w:space="0" w:color="auto"/>
        <w:bottom w:val="none" w:sz="0" w:space="0" w:color="auto"/>
        <w:right w:val="none" w:sz="0" w:space="0" w:color="auto"/>
      </w:divBdr>
    </w:div>
    <w:div w:id="341784979">
      <w:bodyDiv w:val="1"/>
      <w:marLeft w:val="0"/>
      <w:marRight w:val="0"/>
      <w:marTop w:val="0"/>
      <w:marBottom w:val="0"/>
      <w:divBdr>
        <w:top w:val="none" w:sz="0" w:space="0" w:color="auto"/>
        <w:left w:val="none" w:sz="0" w:space="0" w:color="auto"/>
        <w:bottom w:val="none" w:sz="0" w:space="0" w:color="auto"/>
        <w:right w:val="none" w:sz="0" w:space="0" w:color="auto"/>
      </w:divBdr>
    </w:div>
    <w:div w:id="349838640">
      <w:bodyDiv w:val="1"/>
      <w:marLeft w:val="0"/>
      <w:marRight w:val="0"/>
      <w:marTop w:val="0"/>
      <w:marBottom w:val="0"/>
      <w:divBdr>
        <w:top w:val="none" w:sz="0" w:space="0" w:color="auto"/>
        <w:left w:val="none" w:sz="0" w:space="0" w:color="auto"/>
        <w:bottom w:val="none" w:sz="0" w:space="0" w:color="auto"/>
        <w:right w:val="none" w:sz="0" w:space="0" w:color="auto"/>
      </w:divBdr>
    </w:div>
    <w:div w:id="384331474">
      <w:bodyDiv w:val="1"/>
      <w:marLeft w:val="0"/>
      <w:marRight w:val="0"/>
      <w:marTop w:val="0"/>
      <w:marBottom w:val="0"/>
      <w:divBdr>
        <w:top w:val="none" w:sz="0" w:space="0" w:color="auto"/>
        <w:left w:val="none" w:sz="0" w:space="0" w:color="auto"/>
        <w:bottom w:val="none" w:sz="0" w:space="0" w:color="auto"/>
        <w:right w:val="none" w:sz="0" w:space="0" w:color="auto"/>
      </w:divBdr>
    </w:div>
    <w:div w:id="385572714">
      <w:bodyDiv w:val="1"/>
      <w:marLeft w:val="0"/>
      <w:marRight w:val="0"/>
      <w:marTop w:val="0"/>
      <w:marBottom w:val="0"/>
      <w:divBdr>
        <w:top w:val="none" w:sz="0" w:space="0" w:color="auto"/>
        <w:left w:val="none" w:sz="0" w:space="0" w:color="auto"/>
        <w:bottom w:val="none" w:sz="0" w:space="0" w:color="auto"/>
        <w:right w:val="none" w:sz="0" w:space="0" w:color="auto"/>
      </w:divBdr>
    </w:div>
    <w:div w:id="402803547">
      <w:bodyDiv w:val="1"/>
      <w:marLeft w:val="0"/>
      <w:marRight w:val="0"/>
      <w:marTop w:val="0"/>
      <w:marBottom w:val="0"/>
      <w:divBdr>
        <w:top w:val="none" w:sz="0" w:space="0" w:color="auto"/>
        <w:left w:val="none" w:sz="0" w:space="0" w:color="auto"/>
        <w:bottom w:val="none" w:sz="0" w:space="0" w:color="auto"/>
        <w:right w:val="none" w:sz="0" w:space="0" w:color="auto"/>
      </w:divBdr>
    </w:div>
    <w:div w:id="454982014">
      <w:bodyDiv w:val="1"/>
      <w:marLeft w:val="0"/>
      <w:marRight w:val="0"/>
      <w:marTop w:val="0"/>
      <w:marBottom w:val="0"/>
      <w:divBdr>
        <w:top w:val="none" w:sz="0" w:space="0" w:color="auto"/>
        <w:left w:val="none" w:sz="0" w:space="0" w:color="auto"/>
        <w:bottom w:val="none" w:sz="0" w:space="0" w:color="auto"/>
        <w:right w:val="none" w:sz="0" w:space="0" w:color="auto"/>
      </w:divBdr>
    </w:div>
    <w:div w:id="656496474">
      <w:bodyDiv w:val="1"/>
      <w:marLeft w:val="0"/>
      <w:marRight w:val="0"/>
      <w:marTop w:val="0"/>
      <w:marBottom w:val="0"/>
      <w:divBdr>
        <w:top w:val="none" w:sz="0" w:space="0" w:color="auto"/>
        <w:left w:val="none" w:sz="0" w:space="0" w:color="auto"/>
        <w:bottom w:val="none" w:sz="0" w:space="0" w:color="auto"/>
        <w:right w:val="none" w:sz="0" w:space="0" w:color="auto"/>
      </w:divBdr>
      <w:divsChild>
        <w:div w:id="253053816">
          <w:marLeft w:val="0"/>
          <w:marRight w:val="0"/>
          <w:marTop w:val="0"/>
          <w:marBottom w:val="0"/>
          <w:divBdr>
            <w:top w:val="none" w:sz="0" w:space="0" w:color="auto"/>
            <w:left w:val="none" w:sz="0" w:space="0" w:color="auto"/>
            <w:bottom w:val="none" w:sz="0" w:space="0" w:color="auto"/>
            <w:right w:val="none" w:sz="0" w:space="0" w:color="auto"/>
          </w:divBdr>
        </w:div>
        <w:div w:id="867570950">
          <w:marLeft w:val="0"/>
          <w:marRight w:val="0"/>
          <w:marTop w:val="0"/>
          <w:marBottom w:val="0"/>
          <w:divBdr>
            <w:top w:val="none" w:sz="0" w:space="0" w:color="auto"/>
            <w:left w:val="none" w:sz="0" w:space="0" w:color="auto"/>
            <w:bottom w:val="none" w:sz="0" w:space="0" w:color="auto"/>
            <w:right w:val="none" w:sz="0" w:space="0" w:color="auto"/>
          </w:divBdr>
        </w:div>
        <w:div w:id="1273784141">
          <w:marLeft w:val="0"/>
          <w:marRight w:val="0"/>
          <w:marTop w:val="0"/>
          <w:marBottom w:val="0"/>
          <w:divBdr>
            <w:top w:val="none" w:sz="0" w:space="0" w:color="auto"/>
            <w:left w:val="none" w:sz="0" w:space="0" w:color="auto"/>
            <w:bottom w:val="none" w:sz="0" w:space="0" w:color="auto"/>
            <w:right w:val="none" w:sz="0" w:space="0" w:color="auto"/>
          </w:divBdr>
        </w:div>
      </w:divsChild>
    </w:div>
    <w:div w:id="754595540">
      <w:bodyDiv w:val="1"/>
      <w:marLeft w:val="0"/>
      <w:marRight w:val="0"/>
      <w:marTop w:val="0"/>
      <w:marBottom w:val="0"/>
      <w:divBdr>
        <w:top w:val="none" w:sz="0" w:space="0" w:color="auto"/>
        <w:left w:val="none" w:sz="0" w:space="0" w:color="auto"/>
        <w:bottom w:val="none" w:sz="0" w:space="0" w:color="auto"/>
        <w:right w:val="none" w:sz="0" w:space="0" w:color="auto"/>
      </w:divBdr>
    </w:div>
    <w:div w:id="799418464">
      <w:bodyDiv w:val="1"/>
      <w:marLeft w:val="0"/>
      <w:marRight w:val="0"/>
      <w:marTop w:val="0"/>
      <w:marBottom w:val="0"/>
      <w:divBdr>
        <w:top w:val="none" w:sz="0" w:space="0" w:color="auto"/>
        <w:left w:val="none" w:sz="0" w:space="0" w:color="auto"/>
        <w:bottom w:val="none" w:sz="0" w:space="0" w:color="auto"/>
        <w:right w:val="none" w:sz="0" w:space="0" w:color="auto"/>
      </w:divBdr>
      <w:divsChild>
        <w:div w:id="119148030">
          <w:marLeft w:val="0"/>
          <w:marRight w:val="0"/>
          <w:marTop w:val="0"/>
          <w:marBottom w:val="0"/>
          <w:divBdr>
            <w:top w:val="none" w:sz="0" w:space="0" w:color="auto"/>
            <w:left w:val="none" w:sz="0" w:space="0" w:color="auto"/>
            <w:bottom w:val="none" w:sz="0" w:space="0" w:color="auto"/>
            <w:right w:val="none" w:sz="0" w:space="0" w:color="auto"/>
          </w:divBdr>
          <w:divsChild>
            <w:div w:id="443888191">
              <w:marLeft w:val="0"/>
              <w:marRight w:val="0"/>
              <w:marTop w:val="0"/>
              <w:marBottom w:val="0"/>
              <w:divBdr>
                <w:top w:val="none" w:sz="0" w:space="0" w:color="auto"/>
                <w:left w:val="none" w:sz="0" w:space="0" w:color="auto"/>
                <w:bottom w:val="none" w:sz="0" w:space="0" w:color="auto"/>
                <w:right w:val="none" w:sz="0" w:space="0" w:color="auto"/>
              </w:divBdr>
            </w:div>
            <w:div w:id="724766690">
              <w:marLeft w:val="0"/>
              <w:marRight w:val="0"/>
              <w:marTop w:val="0"/>
              <w:marBottom w:val="0"/>
              <w:divBdr>
                <w:top w:val="none" w:sz="0" w:space="0" w:color="auto"/>
                <w:left w:val="none" w:sz="0" w:space="0" w:color="auto"/>
                <w:bottom w:val="none" w:sz="0" w:space="0" w:color="auto"/>
                <w:right w:val="none" w:sz="0" w:space="0" w:color="auto"/>
              </w:divBdr>
            </w:div>
            <w:div w:id="1753744201">
              <w:marLeft w:val="0"/>
              <w:marRight w:val="0"/>
              <w:marTop w:val="0"/>
              <w:marBottom w:val="0"/>
              <w:divBdr>
                <w:top w:val="none" w:sz="0" w:space="0" w:color="auto"/>
                <w:left w:val="none" w:sz="0" w:space="0" w:color="auto"/>
                <w:bottom w:val="none" w:sz="0" w:space="0" w:color="auto"/>
                <w:right w:val="none" w:sz="0" w:space="0" w:color="auto"/>
              </w:divBdr>
            </w:div>
          </w:divsChild>
        </w:div>
        <w:div w:id="1650675274">
          <w:marLeft w:val="0"/>
          <w:marRight w:val="0"/>
          <w:marTop w:val="0"/>
          <w:marBottom w:val="0"/>
          <w:divBdr>
            <w:top w:val="none" w:sz="0" w:space="0" w:color="auto"/>
            <w:left w:val="none" w:sz="0" w:space="0" w:color="auto"/>
            <w:bottom w:val="none" w:sz="0" w:space="0" w:color="auto"/>
            <w:right w:val="none" w:sz="0" w:space="0" w:color="auto"/>
          </w:divBdr>
        </w:div>
        <w:div w:id="98063907">
          <w:marLeft w:val="0"/>
          <w:marRight w:val="0"/>
          <w:marTop w:val="0"/>
          <w:marBottom w:val="0"/>
          <w:divBdr>
            <w:top w:val="none" w:sz="0" w:space="0" w:color="auto"/>
            <w:left w:val="none" w:sz="0" w:space="0" w:color="auto"/>
            <w:bottom w:val="none" w:sz="0" w:space="0" w:color="auto"/>
            <w:right w:val="none" w:sz="0" w:space="0" w:color="auto"/>
          </w:divBdr>
        </w:div>
      </w:divsChild>
    </w:div>
    <w:div w:id="882138325">
      <w:bodyDiv w:val="1"/>
      <w:marLeft w:val="0"/>
      <w:marRight w:val="0"/>
      <w:marTop w:val="0"/>
      <w:marBottom w:val="0"/>
      <w:divBdr>
        <w:top w:val="none" w:sz="0" w:space="0" w:color="auto"/>
        <w:left w:val="none" w:sz="0" w:space="0" w:color="auto"/>
        <w:bottom w:val="none" w:sz="0" w:space="0" w:color="auto"/>
        <w:right w:val="none" w:sz="0" w:space="0" w:color="auto"/>
      </w:divBdr>
    </w:div>
    <w:div w:id="928851745">
      <w:bodyDiv w:val="1"/>
      <w:marLeft w:val="0"/>
      <w:marRight w:val="0"/>
      <w:marTop w:val="0"/>
      <w:marBottom w:val="0"/>
      <w:divBdr>
        <w:top w:val="none" w:sz="0" w:space="0" w:color="auto"/>
        <w:left w:val="none" w:sz="0" w:space="0" w:color="auto"/>
        <w:bottom w:val="none" w:sz="0" w:space="0" w:color="auto"/>
        <w:right w:val="none" w:sz="0" w:space="0" w:color="auto"/>
      </w:divBdr>
    </w:div>
    <w:div w:id="951320674">
      <w:bodyDiv w:val="1"/>
      <w:marLeft w:val="0"/>
      <w:marRight w:val="0"/>
      <w:marTop w:val="0"/>
      <w:marBottom w:val="0"/>
      <w:divBdr>
        <w:top w:val="none" w:sz="0" w:space="0" w:color="auto"/>
        <w:left w:val="none" w:sz="0" w:space="0" w:color="auto"/>
        <w:bottom w:val="none" w:sz="0" w:space="0" w:color="auto"/>
        <w:right w:val="none" w:sz="0" w:space="0" w:color="auto"/>
      </w:divBdr>
    </w:div>
    <w:div w:id="969671006">
      <w:bodyDiv w:val="1"/>
      <w:marLeft w:val="0"/>
      <w:marRight w:val="0"/>
      <w:marTop w:val="0"/>
      <w:marBottom w:val="0"/>
      <w:divBdr>
        <w:top w:val="none" w:sz="0" w:space="0" w:color="auto"/>
        <w:left w:val="none" w:sz="0" w:space="0" w:color="auto"/>
        <w:bottom w:val="none" w:sz="0" w:space="0" w:color="auto"/>
        <w:right w:val="none" w:sz="0" w:space="0" w:color="auto"/>
      </w:divBdr>
    </w:div>
    <w:div w:id="971983410">
      <w:bodyDiv w:val="1"/>
      <w:marLeft w:val="0"/>
      <w:marRight w:val="0"/>
      <w:marTop w:val="0"/>
      <w:marBottom w:val="0"/>
      <w:divBdr>
        <w:top w:val="none" w:sz="0" w:space="0" w:color="auto"/>
        <w:left w:val="none" w:sz="0" w:space="0" w:color="auto"/>
        <w:bottom w:val="none" w:sz="0" w:space="0" w:color="auto"/>
        <w:right w:val="none" w:sz="0" w:space="0" w:color="auto"/>
      </w:divBdr>
    </w:div>
    <w:div w:id="1025330240">
      <w:bodyDiv w:val="1"/>
      <w:marLeft w:val="0"/>
      <w:marRight w:val="0"/>
      <w:marTop w:val="0"/>
      <w:marBottom w:val="0"/>
      <w:divBdr>
        <w:top w:val="none" w:sz="0" w:space="0" w:color="auto"/>
        <w:left w:val="none" w:sz="0" w:space="0" w:color="auto"/>
        <w:bottom w:val="none" w:sz="0" w:space="0" w:color="auto"/>
        <w:right w:val="none" w:sz="0" w:space="0" w:color="auto"/>
      </w:divBdr>
      <w:divsChild>
        <w:div w:id="1667054614">
          <w:marLeft w:val="0"/>
          <w:marRight w:val="0"/>
          <w:marTop w:val="0"/>
          <w:marBottom w:val="0"/>
          <w:divBdr>
            <w:top w:val="none" w:sz="0" w:space="0" w:color="auto"/>
            <w:left w:val="none" w:sz="0" w:space="0" w:color="auto"/>
            <w:bottom w:val="none" w:sz="0" w:space="0" w:color="auto"/>
            <w:right w:val="none" w:sz="0" w:space="0" w:color="auto"/>
          </w:divBdr>
          <w:divsChild>
            <w:div w:id="246500704">
              <w:marLeft w:val="0"/>
              <w:marRight w:val="0"/>
              <w:marTop w:val="0"/>
              <w:marBottom w:val="0"/>
              <w:divBdr>
                <w:top w:val="none" w:sz="0" w:space="0" w:color="auto"/>
                <w:left w:val="none" w:sz="0" w:space="0" w:color="auto"/>
                <w:bottom w:val="none" w:sz="0" w:space="0" w:color="auto"/>
                <w:right w:val="none" w:sz="0" w:space="0" w:color="auto"/>
              </w:divBdr>
            </w:div>
            <w:div w:id="607008055">
              <w:marLeft w:val="0"/>
              <w:marRight w:val="0"/>
              <w:marTop w:val="0"/>
              <w:marBottom w:val="0"/>
              <w:divBdr>
                <w:top w:val="none" w:sz="0" w:space="0" w:color="auto"/>
                <w:left w:val="none" w:sz="0" w:space="0" w:color="auto"/>
                <w:bottom w:val="none" w:sz="0" w:space="0" w:color="auto"/>
                <w:right w:val="none" w:sz="0" w:space="0" w:color="auto"/>
              </w:divBdr>
            </w:div>
            <w:div w:id="211513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833580">
      <w:bodyDiv w:val="1"/>
      <w:marLeft w:val="0"/>
      <w:marRight w:val="0"/>
      <w:marTop w:val="0"/>
      <w:marBottom w:val="0"/>
      <w:divBdr>
        <w:top w:val="none" w:sz="0" w:space="0" w:color="auto"/>
        <w:left w:val="none" w:sz="0" w:space="0" w:color="auto"/>
        <w:bottom w:val="none" w:sz="0" w:space="0" w:color="auto"/>
        <w:right w:val="none" w:sz="0" w:space="0" w:color="auto"/>
      </w:divBdr>
    </w:div>
    <w:div w:id="1030257885">
      <w:bodyDiv w:val="1"/>
      <w:marLeft w:val="0"/>
      <w:marRight w:val="0"/>
      <w:marTop w:val="0"/>
      <w:marBottom w:val="0"/>
      <w:divBdr>
        <w:top w:val="none" w:sz="0" w:space="0" w:color="auto"/>
        <w:left w:val="none" w:sz="0" w:space="0" w:color="auto"/>
        <w:bottom w:val="none" w:sz="0" w:space="0" w:color="auto"/>
        <w:right w:val="none" w:sz="0" w:space="0" w:color="auto"/>
      </w:divBdr>
    </w:div>
    <w:div w:id="1164933672">
      <w:bodyDiv w:val="1"/>
      <w:marLeft w:val="0"/>
      <w:marRight w:val="0"/>
      <w:marTop w:val="0"/>
      <w:marBottom w:val="0"/>
      <w:divBdr>
        <w:top w:val="none" w:sz="0" w:space="0" w:color="auto"/>
        <w:left w:val="none" w:sz="0" w:space="0" w:color="auto"/>
        <w:bottom w:val="none" w:sz="0" w:space="0" w:color="auto"/>
        <w:right w:val="none" w:sz="0" w:space="0" w:color="auto"/>
      </w:divBdr>
    </w:div>
    <w:div w:id="1186481518">
      <w:bodyDiv w:val="1"/>
      <w:marLeft w:val="0"/>
      <w:marRight w:val="0"/>
      <w:marTop w:val="0"/>
      <w:marBottom w:val="0"/>
      <w:divBdr>
        <w:top w:val="none" w:sz="0" w:space="0" w:color="auto"/>
        <w:left w:val="none" w:sz="0" w:space="0" w:color="auto"/>
        <w:bottom w:val="none" w:sz="0" w:space="0" w:color="auto"/>
        <w:right w:val="none" w:sz="0" w:space="0" w:color="auto"/>
      </w:divBdr>
    </w:div>
    <w:div w:id="1281494035">
      <w:bodyDiv w:val="1"/>
      <w:marLeft w:val="0"/>
      <w:marRight w:val="0"/>
      <w:marTop w:val="0"/>
      <w:marBottom w:val="0"/>
      <w:divBdr>
        <w:top w:val="none" w:sz="0" w:space="0" w:color="auto"/>
        <w:left w:val="none" w:sz="0" w:space="0" w:color="auto"/>
        <w:bottom w:val="none" w:sz="0" w:space="0" w:color="auto"/>
        <w:right w:val="none" w:sz="0" w:space="0" w:color="auto"/>
      </w:divBdr>
    </w:div>
    <w:div w:id="1288389778">
      <w:bodyDiv w:val="1"/>
      <w:marLeft w:val="0"/>
      <w:marRight w:val="0"/>
      <w:marTop w:val="0"/>
      <w:marBottom w:val="0"/>
      <w:divBdr>
        <w:top w:val="none" w:sz="0" w:space="0" w:color="auto"/>
        <w:left w:val="none" w:sz="0" w:space="0" w:color="auto"/>
        <w:bottom w:val="none" w:sz="0" w:space="0" w:color="auto"/>
        <w:right w:val="none" w:sz="0" w:space="0" w:color="auto"/>
      </w:divBdr>
    </w:div>
    <w:div w:id="1591889937">
      <w:bodyDiv w:val="1"/>
      <w:marLeft w:val="0"/>
      <w:marRight w:val="0"/>
      <w:marTop w:val="0"/>
      <w:marBottom w:val="0"/>
      <w:divBdr>
        <w:top w:val="none" w:sz="0" w:space="0" w:color="auto"/>
        <w:left w:val="none" w:sz="0" w:space="0" w:color="auto"/>
        <w:bottom w:val="none" w:sz="0" w:space="0" w:color="auto"/>
        <w:right w:val="none" w:sz="0" w:space="0" w:color="auto"/>
      </w:divBdr>
    </w:div>
    <w:div w:id="1759133526">
      <w:bodyDiv w:val="1"/>
      <w:marLeft w:val="0"/>
      <w:marRight w:val="0"/>
      <w:marTop w:val="0"/>
      <w:marBottom w:val="0"/>
      <w:divBdr>
        <w:top w:val="none" w:sz="0" w:space="0" w:color="auto"/>
        <w:left w:val="none" w:sz="0" w:space="0" w:color="auto"/>
        <w:bottom w:val="none" w:sz="0" w:space="0" w:color="auto"/>
        <w:right w:val="none" w:sz="0" w:space="0" w:color="auto"/>
      </w:divBdr>
    </w:div>
    <w:div w:id="1782995451">
      <w:bodyDiv w:val="1"/>
      <w:marLeft w:val="0"/>
      <w:marRight w:val="0"/>
      <w:marTop w:val="0"/>
      <w:marBottom w:val="0"/>
      <w:divBdr>
        <w:top w:val="none" w:sz="0" w:space="0" w:color="auto"/>
        <w:left w:val="none" w:sz="0" w:space="0" w:color="auto"/>
        <w:bottom w:val="none" w:sz="0" w:space="0" w:color="auto"/>
        <w:right w:val="none" w:sz="0" w:space="0" w:color="auto"/>
      </w:divBdr>
    </w:div>
    <w:div w:id="1795977100">
      <w:bodyDiv w:val="1"/>
      <w:marLeft w:val="0"/>
      <w:marRight w:val="0"/>
      <w:marTop w:val="0"/>
      <w:marBottom w:val="0"/>
      <w:divBdr>
        <w:top w:val="none" w:sz="0" w:space="0" w:color="auto"/>
        <w:left w:val="none" w:sz="0" w:space="0" w:color="auto"/>
        <w:bottom w:val="none" w:sz="0" w:space="0" w:color="auto"/>
        <w:right w:val="none" w:sz="0" w:space="0" w:color="auto"/>
      </w:divBdr>
    </w:div>
    <w:div w:id="1802726197">
      <w:bodyDiv w:val="1"/>
      <w:marLeft w:val="0"/>
      <w:marRight w:val="0"/>
      <w:marTop w:val="0"/>
      <w:marBottom w:val="0"/>
      <w:divBdr>
        <w:top w:val="none" w:sz="0" w:space="0" w:color="auto"/>
        <w:left w:val="none" w:sz="0" w:space="0" w:color="auto"/>
        <w:bottom w:val="none" w:sz="0" w:space="0" w:color="auto"/>
        <w:right w:val="none" w:sz="0" w:space="0" w:color="auto"/>
      </w:divBdr>
    </w:div>
    <w:div w:id="1820683662">
      <w:bodyDiv w:val="1"/>
      <w:marLeft w:val="0"/>
      <w:marRight w:val="0"/>
      <w:marTop w:val="0"/>
      <w:marBottom w:val="0"/>
      <w:divBdr>
        <w:top w:val="none" w:sz="0" w:space="0" w:color="auto"/>
        <w:left w:val="none" w:sz="0" w:space="0" w:color="auto"/>
        <w:bottom w:val="none" w:sz="0" w:space="0" w:color="auto"/>
        <w:right w:val="none" w:sz="0" w:space="0" w:color="auto"/>
      </w:divBdr>
    </w:div>
    <w:div w:id="1868251790">
      <w:bodyDiv w:val="1"/>
      <w:marLeft w:val="0"/>
      <w:marRight w:val="0"/>
      <w:marTop w:val="0"/>
      <w:marBottom w:val="0"/>
      <w:divBdr>
        <w:top w:val="none" w:sz="0" w:space="0" w:color="auto"/>
        <w:left w:val="none" w:sz="0" w:space="0" w:color="auto"/>
        <w:bottom w:val="none" w:sz="0" w:space="0" w:color="auto"/>
        <w:right w:val="none" w:sz="0" w:space="0" w:color="auto"/>
      </w:divBdr>
    </w:div>
    <w:div w:id="1950119533">
      <w:bodyDiv w:val="1"/>
      <w:marLeft w:val="0"/>
      <w:marRight w:val="0"/>
      <w:marTop w:val="0"/>
      <w:marBottom w:val="0"/>
      <w:divBdr>
        <w:top w:val="none" w:sz="0" w:space="0" w:color="auto"/>
        <w:left w:val="none" w:sz="0" w:space="0" w:color="auto"/>
        <w:bottom w:val="none" w:sz="0" w:space="0" w:color="auto"/>
        <w:right w:val="none" w:sz="0" w:space="0" w:color="auto"/>
      </w:divBdr>
    </w:div>
    <w:div w:id="1951862234">
      <w:bodyDiv w:val="1"/>
      <w:marLeft w:val="0"/>
      <w:marRight w:val="0"/>
      <w:marTop w:val="0"/>
      <w:marBottom w:val="0"/>
      <w:divBdr>
        <w:top w:val="none" w:sz="0" w:space="0" w:color="auto"/>
        <w:left w:val="none" w:sz="0" w:space="0" w:color="auto"/>
        <w:bottom w:val="none" w:sz="0" w:space="0" w:color="auto"/>
        <w:right w:val="none" w:sz="0" w:space="0" w:color="auto"/>
      </w:divBdr>
    </w:div>
    <w:div w:id="2003314495">
      <w:bodyDiv w:val="1"/>
      <w:marLeft w:val="0"/>
      <w:marRight w:val="0"/>
      <w:marTop w:val="0"/>
      <w:marBottom w:val="0"/>
      <w:divBdr>
        <w:top w:val="none" w:sz="0" w:space="0" w:color="auto"/>
        <w:left w:val="none" w:sz="0" w:space="0" w:color="auto"/>
        <w:bottom w:val="none" w:sz="0" w:space="0" w:color="auto"/>
        <w:right w:val="none" w:sz="0" w:space="0" w:color="auto"/>
      </w:divBdr>
    </w:div>
    <w:div w:id="2031175130">
      <w:bodyDiv w:val="1"/>
      <w:marLeft w:val="0"/>
      <w:marRight w:val="0"/>
      <w:marTop w:val="0"/>
      <w:marBottom w:val="0"/>
      <w:divBdr>
        <w:top w:val="none" w:sz="0" w:space="0" w:color="auto"/>
        <w:left w:val="none" w:sz="0" w:space="0" w:color="auto"/>
        <w:bottom w:val="none" w:sz="0" w:space="0" w:color="auto"/>
        <w:right w:val="none" w:sz="0" w:space="0" w:color="auto"/>
      </w:divBdr>
    </w:div>
    <w:div w:id="2035500178">
      <w:bodyDiv w:val="1"/>
      <w:marLeft w:val="0"/>
      <w:marRight w:val="0"/>
      <w:marTop w:val="0"/>
      <w:marBottom w:val="0"/>
      <w:divBdr>
        <w:top w:val="none" w:sz="0" w:space="0" w:color="auto"/>
        <w:left w:val="none" w:sz="0" w:space="0" w:color="auto"/>
        <w:bottom w:val="none" w:sz="0" w:space="0" w:color="auto"/>
        <w:right w:val="none" w:sz="0" w:space="0" w:color="auto"/>
      </w:divBdr>
    </w:div>
    <w:div w:id="20537285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wmf"/>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E2460EB157A74C9BBB34C7C4F862A2" ma:contentTypeVersion="14" ma:contentTypeDescription="Create a new document." ma:contentTypeScope="" ma:versionID="5544fd56e83a98b2f5ae4e6c72fedc02">
  <xsd:schema xmlns:xsd="http://www.w3.org/2001/XMLSchema" xmlns:xs="http://www.w3.org/2001/XMLSchema" xmlns:p="http://schemas.microsoft.com/office/2006/metadata/properties" xmlns:ns3="0af8e7d8-c48a-4586-ab08-a409ee6a50e3" xmlns:ns4="1d0b7434-c3e5-4db4-8754-b6cf385d0483" targetNamespace="http://schemas.microsoft.com/office/2006/metadata/properties" ma:root="true" ma:fieldsID="3b32cd905f991f56660e2283eb79a333" ns3:_="" ns4:_="">
    <xsd:import namespace="0af8e7d8-c48a-4586-ab08-a409ee6a50e3"/>
    <xsd:import namespace="1d0b7434-c3e5-4db4-8754-b6cf385d048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SearchProperties"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f8e7d8-c48a-4586-ab08-a409ee6a50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0b7434-c3e5-4db4-8754-b6cf385d048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d0b7434-c3e5-4db4-8754-b6cf385d048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3703db5916246dabc9235915e7617ef" PartId="c4b63762dfca462288a8e461797b75cc">
    <Part Type="punktas" Nr="1" Abbr="1 p." DocPartId="c88e9a6311c140ce95ee5b326d41ed91" PartId="204e9c1777514c489952a8f6524ec368">
      <Part Type="citata" DocPartId="f6594cd74b2043eaa1e0c4d6d0f5700a" PartId="c5b805d7523241a19db45d8299ac90cf">
        <Part Type="pagrindine" DocPartId="3a77676228e94149972c1a2458b90deb" PartId="7fd7478ccc1b4677a1b62357a9c21fb3">
          <Part Type="preambule" DocPartId="4ef0bbc32b1344afa2785fcd8306cff4" PartId="2b93cdeb916a4e50a108ed07cb6152b6"/>
          <Part Type="pastraipa" DocPartId="5264f4b5d03e43c1aefd2fcd77fd6a0f" PartId="a352c630925041d8ae34a3e694c8ec7c"/>
        </Part>
      </Part>
    </Part>
    <Part Type="punktas" Nr="2" Abbr="2 p." DocPartId="82ac4af597f64f1e844a04638e901106" PartId="31be093d94194d1aa8b491968d5807da"/>
    <Part Type="signatura" DocPartId="cfad32ea92f242b68566113f6242ce8d" PartId="ffc759cfd68b410abb4b6c15b1a4d0ae"/>
  </Part>
  <Part Type="patvirtinta" Title="26-ASIS VIEŠOJO SEKTORIAUS APSKAITOS IR FINANSINĖS ATSKAITOMYBĖS STANDARTAS „FONDŲ APSKAITA IR FINANSINIŲ ATASKAITŲ RINKINYS“" DocPartId="4a16b375a8af4967b1b1277237865fe2" PartId="f017d137d2de4485a716e1913fa94845">
    <Part Type="skyrius" Nr="1" Title="BENDROSIOS NUOSTATOS" DocPartId="c83894e741784ee4bad7a745eb980e3b" PartId="e97e25838d5e4646b4c7af74c1e7e340">
      <Part Type="punktas" Nr="1" Abbr="1 p." DocPartId="5b38e106cc3d4eb08bf5c925953cd7c8" PartId="e0dd3422fa75439c822008557deec088"/>
      <Part Type="punktas" Nr="2" Abbr="2 p." DocPartId="6175b0777b5547c7b32ab558bf534ea5" PartId="05b5959c98cf4747b99fa4068c54cd76">
        <Part Type="papunktis" Nr="2.1" Abbr="2.1 pp." DocPartId="2c1ae598bb7e4114aa42c02edc0912cd" PartId="e2a1adcdef824ebf953d057848283c27"/>
        <Part Type="papunktis" Nr="2.2" Abbr="2.2 pp." DocPartId="74e709c786eb4bbba952277cbfee29d1" PartId="0cc2dbb0da784f90b364e5781cf45a2c"/>
        <Part Type="papunktis" Nr="2.3" Abbr="2.3 pp." DocPartId="fd70412d664349b88494722686c58958" PartId="bebdb157aa3b443bbc5a56137c2f5f4d"/>
      </Part>
      <Part Type="punktas" Nr="3" Abbr="3 p." DocPartId="c0258bd45b4a46249de07e77c6166bcb" PartId="d49a53d7e14347d188c9518b04fcbc64">
        <Part Type="papunktis" Nr="3.1" Abbr="3.1 pp." DocPartId="46b675e910ee41a1a708a75a60ff702b" PartId="7758ae9c777f4ba2b4b85cc4c505e23c"/>
        <Part Type="papunktis" Nr="3.2" Abbr="3.2 pp." DocPartId="e4fc7e7daf6b4f30b80e9509344e9d31" PartId="333d62818c8248c984e78bc66f1103bc"/>
        <Part Type="papunktis" Nr="3.3" Abbr="3.3 pp." DocPartId="4d94b5ad967640a4b1d4cb1ea1e71aa5" PartId="d51483c1238440948617f37e9acd25a5"/>
        <Part Type="papunktis" Nr="3.4" Abbr="3.4 pp." DocPartId="cbba0a68bd3845eaba7359c6aaabd09b" PartId="c8bae35622344e54a54a94410b0ac1d3"/>
      </Part>
      <Part Type="punktas" Nr="4" Abbr="4 p." DocPartId="1506d12f46e14dbfb84e36a2df73aeb4" PartId="42a9e065cba14fbc9388720331711b99"/>
      <Part Type="punktas" Nr="5" Abbr="5 p." DocPartId="94f33cd887474eb09bc0d4256290e562" PartId="55f06ad64bab4b70856a1543d2d15fae"/>
      <Part Type="punktas" Nr="6" Abbr="6 p." DocPartId="3e4506ab62c340da871bf50dcec10b50" PartId="90ff94b51ad64cffb708a2846fa3e3e1"/>
    </Part>
    <Part Type="skyrius" Nr="2" Title="PAGRINDINIAI FONDŲ APSKAITOS TVARKYMO IR FINANSINIŲ ATASKAITŲ SUDARYMO REIKALAVIMAI" DocPartId="5e8c4b3e9c474e7494eb24836b8ad9b5" PartId="52df6d8ba74e483a9aaade66c30ca2ec">
      <Part Type="skirsnis" Nr="1" Title="PAGRINDINIAI FINANSINIŲ ATASKAITŲ REIKALAVIMAI" DocPartId="93530b6b98e44cd2a8109c6abb5a00e2" PartId="fa5576f2920d4baab95d7c227c153d65">
        <Part Type="punktas" Nr="7" Abbr="7 p." DocPartId="edffe9879b8e48ccab9ef5dc6b6857a1" PartId="15f60c5291144c45a0e1d827297c4dc6"/>
        <Part Type="punktas" Nr="8" Abbr="8 p." DocPartId="b7c419e14f1e4d43a7cf53118a558ae2" PartId="5c9e26627e9f4922889fe08dcea6bc72"/>
        <Part Type="punktas" Nr="9" Abbr="9 p." DocPartId="30a63b13b0654dc8bc84543adbd2f151" PartId="1e3e6877acca4c64a626ce3c05077987">
          <Part Type="papunktis" Nr="9.1" Abbr="9.1 pp." DocPartId="92b57ef760794764871e47b17b37d16b" PartId="862c0728bc8f4583a4e49f0ded637435"/>
          <Part Type="papunktis" Nr="9.2" Abbr="9.2 pp." DocPartId="2ceab106b774488a80497d5d0ec03e41" PartId="821f7e6fa8f94730bd2625179d719aa1"/>
          <Part Type="papunktis" Nr="9.3" Abbr="9.3 pp." DocPartId="16dd1f4710b14862987d9500706f1ecc" PartId="97cf8c465b3b41eabdb085d33bf2b9c5"/>
          <Part Type="papunktis" Nr="9.4" Abbr="9.4 pp." DocPartId="d4766b483ab349f1ae843c749b65d08e" PartId="7f62135b138a4522bddb50de51744ffd"/>
          <Part Type="papunktis" Nr="9.5" Abbr="9.5 pp." DocPartId="d19dd59cebb845b7b89d331b38134447" PartId="aa8b6bd365de4902919462468ec934e1"/>
        </Part>
        <Part Type="punktas" Nr="10" Abbr="10 p." DocPartId="84dd3ea0e4ce4a709d5089c3e4448c52" PartId="211a7d43d2bc43c7ab42b2bc71ab07c3">
          <Part Type="papunktis" Nr="10.1" Abbr="10.1 pp." DocPartId="6b80db6eaa3944779579172e34e55821" PartId="f418f47789c44d67b78b9bc8dea59aca"/>
          <Part Type="papunktis" Nr="10.2" Abbr="10.2 pp." DocPartId="1519553eb07040d0a62edbff84d5b6bc" PartId="e49cc3346c114f3fad640e99b8ebc4fc"/>
          <Part Type="papunktis" Nr="10.3" Abbr="10.3 pp." DocPartId="fe1f91260d6346ac88015eab86a2fed1" PartId="9339eb41de0144269bff62590b95b9d3"/>
        </Part>
        <Part Type="punktas" Nr="11" Abbr="11 p." DocPartId="56421b9e39af42b3bfb1ee76c356e70b" PartId="bbe415bad4214f6b8f1cb7b05d9fdac1"/>
        <Part Type="punktas" Nr="12" Abbr="12 p." DocPartId="9a59f7b9450a4627bb01d587d323167a" PartId="275d904c5a3a4314ad7db9f133617362"/>
        <Part Type="punktas" Nr="13" Abbr="13 p." DocPartId="191074834223454d9011625f8a681fef" PartId="70e350c11ece427991a0b3b7bee82593"/>
      </Part>
      <Part Type="skirsnis" Nr="2" Title="PAGRINDINIŲ FINANSINĖS BŪKLĖS ATASKAITOS STRAIPSNIŲ PAAIŠKINIMAI" DocPartId="134413f4af7848cab0a5802c1c21841e" PartId="1a80206fe0174dad8bc96054628b4053">
        <Part Type="punktas" Nr="14" Abbr="14 p." DocPartId="5206e6b1330347799c5aa932de40eb16" PartId="2bc585879b844e49926b0f0f40d42e1b"/>
        <Part Type="punktas" Nr="15" Abbr="15 p." DocPartId="f1f96fc16bab4ac5b79356acac0e8d85" PartId="0b5713cae327413a8502795c742a25b8"/>
        <Part Type="punktas" Nr="16" Abbr="16 p." DocPartId="9a3c3e757aab4de383c25f2c78f05f49" PartId="1d1e58b042b04ae0834427979335a55a"/>
        <Part Type="punktas" Nr="17" Abbr="17 p." DocPartId="32b33c43e1c44d58bd10e2e8f54dc88c" PartId="ae4f8695bb574a4a987c9c7051b96ffb">
          <Part Type="papunktis" Nr="17.1" Abbr="17.1 pp." DocPartId="66da8c070ef340e5b114459e96d85b73" PartId="1b15a78133564a289ff45af02028d433">
            <Part Type="papunktis" Nr="17.1.1" Abbr="17.1.1 pp." DocPartId="281379d400dd43dfa09b6ec7a44d1401" PartId="a921045153ca4477a66b296e5d382233"/>
            <Part Type="papunktis" Nr="17.1.2" Abbr="17.1.2 pp." DocPartId="473ec6a34257477393f13d942ef0c74b" PartId="ca468766dde04007ac3df6b486683af5"/>
            <Part Type="papunktis" Nr="17.1.3" Abbr="17.1.3 pp." DocPartId="667bb11b966e41deaf13c3c55b58b832" PartId="19dda7cf5eb14a679a5015ca00df2242"/>
            <Part Type="papunktis" Nr="17.1.4" Abbr="17.1.4 pp." DocPartId="34131fe087cf4ddabae34c58fb3667f5" PartId="e5159bef758c40f9b191be771cbf6c7d"/>
            <Part Type="papunktis" Nr="17.1.5" Abbr="17.1.5 pp." DocPartId="7d83f01700bf4c4295fad1c1baa3e981" PartId="0ab4a27c460c4f5bb4fced8668c5e53c"/>
          </Part>
          <Part Type="papunktis" Nr="17.2" Abbr="17.2 pp." DocPartId="1e0a60d9c837449fa48d86f0bd9c3f8b" PartId="a152490b66414185801974a4d094ca3a"/>
          <Part Type="papunktis" Nr="17.3" Abbr="17.3 pp." DocPartId="3e2f41afde184f56a78217920905f43e" PartId="9f4797a36516424b97a818325e842768"/>
        </Part>
        <Part Type="punktas" Nr="18" Abbr="18 p." DocPartId="a5013d1b94dc42cf840b89f1def7f579" PartId="a3e6d53899ff49509076157c0175a0db">
          <Part Type="papunktis" Nr="18.1" Abbr="18.1 pp." DocPartId="63eb3726ab894ded9057ffbec03825e8" PartId="fbb1821996334641887bc1e556b163b3"/>
          <Part Type="papunktis" Nr="18.2" Abbr="18.2 pp." DocPartId="1e2545b8fe954ebea3d9c359a5cffa16" PartId="dceffff882fc4b0abb855ce6903d4f58"/>
        </Part>
        <Part Type="punktas" Nr="19" Abbr="19 p." DocPartId="8abf259e4f7843e4b5009e33cae183d9" PartId="288d9a88e97f4639ace63c1875ecb5e5"/>
        <Part Type="punktas" Nr="20" Abbr="20 p." DocPartId="9912fb6f10a74f63b0c8a38b5313ea9e" PartId="56005e70f99f46a0beaa1b540c91171b"/>
        <Part Type="punktas" Nr="21" Abbr="21 p." DocPartId="802cde940c494efca21d38365bdc4ef4" PartId="e2ae11ff3813496f9248c18cfd591225"/>
        <Part Type="punktas" Nr="22" Abbr="22 p." DocPartId="e80ae8d1b23748668a1a3b235eb22a5b" PartId="cd72daab3b9341e5b6f703dd62665e86"/>
        <Part Type="punktas" Nr="23" Abbr="23 p." DocPartId="b6733a568ef343cdb7b4c1d0427fc5a9" PartId="718ac53ce09b46fe9d17b344d76b1789">
          <Part Type="papunktis" Nr="23.1" Abbr="23.1 pp." DocPartId="fef91d7673ed4522a06a273bedf5ff8a" PartId="2d1f0dd5cf634917af8f1774b721132b"/>
          <Part Type="papunktis" Nr="23.2" Abbr="23.2 pp." DocPartId="624c16da8e1145c9bab575276099a827" PartId="81fc23e743c44910b4f6ab353006e8e5"/>
        </Part>
        <Part Type="punktas" Nr="24" Abbr="24 p." DocPartId="52f45099bf6b491fb3312d711056db9d" PartId="acd1d028690f4c45afed3cc3a3c023e5"/>
        <Part Type="punktas" Nr="25" Abbr="25 p." DocPartId="0f413335e5694fe3ab74c8dd0c711418" PartId="debb450aae4746ebb76551cb64fe5c45">
          <Part Type="papunktis" Nr="25.1" Abbr="25.1 pp." DocPartId="37c980a6b88f4c2781069168d7e8106a" PartId="4707fd31b6f04dd79cec1f30e6d308af"/>
          <Part Type="papunktis" Nr="25.2" Abbr="25.2 pp." DocPartId="42b37eef1089491bb01f0fd30746fe69" PartId="c75d89ac8cd147d992ac7e75fcc50acb"/>
          <Part Type="papunktis" Nr="25.3" Abbr="25.3 pp." DocPartId="cdbf5c0ac774482a857bdd64855df708" PartId="102d49ee56264448a8616b73221cf212"/>
          <Part Type="papunktis" Nr="25.4" Abbr="25.4 pp." DocPartId="d3223d5b02e041b9961304dbce87db21" PartId="0d72afff6400403b8d028146a40efd4a">
            <Part Type="papunktis" Nr="25.4.1" Abbr="25.4.1 pp." DocPartId="f77576ce9a8547cc8937f6fd81624d28" PartId="16d79b896db04f72a6b89825898a0728"/>
            <Part Type="papunktis" Nr="25.4.2" Abbr="25.4.2 pp." DocPartId="d7d4d64ba4d941e494e094ad1e1cf483" PartId="36cb2d908212485c9b6f78e258eb8d81"/>
            <Part Type="papunktis" Nr="25.4.3" Abbr="25.4.3 pp." DocPartId="c155c87eceb44924bb85a13785918024" PartId="2dad9930551646c0b546b3ece2353818"/>
          </Part>
        </Part>
        <Part Type="punktas" Nr="26" Abbr="26 p." DocPartId="0f30875842e64af28b7ea50f655344c7" PartId="cb5f9e89330c4f7797893553a3727efb"/>
        <Part Type="punktas" Nr="27" Abbr="27 p." DocPartId="822b77593b1649eb807b3c380962f8b5" PartId="4bd5a85af99449a48ab826e770a19dcc">
          <Part Type="papunktis" Nr="27.1" Abbr="27.1 pp." DocPartId="db489efbc4a94b169e64a7aeaa31b50b" PartId="d34122f72eb84da3916c93774afb5e37"/>
          <Part Type="papunktis" Nr="27.2" Abbr="27.2 pp." DocPartId="b73266c6daad4ed096c114eaa2c29d0b" PartId="309674ec2ad44ab7a5a45dca3bab5298"/>
        </Part>
        <Part Type="punktas" Nr="28" Abbr="28 p." DocPartId="306456469c9442d8bac3ce60306f8deb" PartId="7231ef668f034d36bcaf5f170df94ffe"/>
        <Part Type="punktas" Nr="29" Abbr="29 p." DocPartId="18c5e28fd80a4ac5ab5428a42852dbab" PartId="75a6083748c44a95ab1df4f2ad38e3a5"/>
      </Part>
      <Part Type="skirsnis" Nr="3" Title="VEIKLOS REZULTATŲ ATASKAITOS STRAIPSNIŲ PAAIŠKINIMAI" DocPartId="71b737487a8f47b394df1b3bf77e9661" PartId="24b0f2977d3c4367b8fe23da6b28162f">
        <Part Type="punktas" Nr="30" Abbr="30 p." DocPartId="b77ef8abbef44aeda09300f8a49d330e" PartId="e294964ff3834e9d94bfd16f97fef960">
          <Part Type="papunktis" Nr="30.1" Abbr="30.1 pp." DocPartId="b2291bc09fe24863a9b9ede1b1c7688a" PartId="965879cfb0234e97a2d02621f3a91d14"/>
          <Part Type="papunktis" Nr="30.2" Abbr="30.2 pp." DocPartId="8b777bea7a5d4f98bdaee0a536df7ce6" PartId="8b5170cb81444c049a4c7d1163dc2de8"/>
          <Part Type="papunktis" Nr="30.3" Abbr="30.3 pp." DocPartId="1ee3fd1df8f2479583816f1094dcc81a" PartId="682c12b10a9d4c0c90310aa14d042b71"/>
          <Part Type="papunktis" Nr="30.4" Abbr="30.4 pp." DocPartId="2303e1cf197d476d8290ca555f7c24bf" PartId="ada952d2123d44359b823ed89a9c9bdc"/>
          <Part Type="papunktis" Nr="30.5" Abbr="30.5 pp." DocPartId="3f4cc8343cb440199f177481eac3bb8c" PartId="1221265d4b334da38938711d2296d4fd"/>
        </Part>
        <Part Type="punktas" Nr="31" Abbr="31 p." DocPartId="d4b59b04890349d588e04d42fe1087d7" PartId="15e36df07bc4446aa6cbd5f0b5e75261"/>
        <Part Type="punktas" Nr="32" Abbr="32 p." DocPartId="15363854c2bf452b8130f1f0f4836117" PartId="eafd9863c39245c19b449c829f6ea307"/>
        <Part Type="punktas" Nr="33" Abbr="33 p." DocPartId="829ca5a92cad496cbae1aa582061654d" PartId="17e74f8424b643208e148aa659be45c8">
          <Part Type="papunktis" Nr="33.1" Abbr="33.1 pp." DocPartId="71b184d1bc6e469e83c8f410a7eefa18" PartId="d35cb08dddc3433084a5b013e0f18a0d"/>
          <Part Type="papunktis" Nr="33.2" Abbr="33.2 pp." DocPartId="084dba713e4840cabbc1a2da8171239a" PartId="9ee766e94e0a495587b9bfb545a038fa"/>
          <Part Type="papunktis" Nr="33.3" Abbr="33.3 pp." DocPartId="348c625e1c5e4a01bbb472ecda68a643" PartId="a5036ac2999f418586beb616e036ea37"/>
          <Part Type="papunktis" Nr="33.4" Abbr="33.4 pp." DocPartId="a214a8fff70b409ab81bbbe8ccb7dfbc" PartId="9b0e3dca9d9141ee8539f4af83bae875"/>
          <Part Type="papunktis" Nr="33.5" Abbr="33.5 pp." DocPartId="1fcd1e9b2a9248899cd095d022f1f23f" PartId="169a5c5ed6b94226a9fc2c29aa47f1a5"/>
        </Part>
        <Part Type="punktas" Nr="34" Abbr="34 p." DocPartId="959aa5f45b524e0c95f073221bc4a59e" PartId="fcc449bfeda849d0b8a09db7e8c3c0fd"/>
        <Part Type="punktas" Nr="35" Abbr="35 p." DocPartId="e4900c1b4f304e80b1d62790413b5160" PartId="685adb737e024fc4b987918466501abc">
          <Part Type="papunktis" Nr="35.1" Abbr="35.1 pp." DocPartId="42a3d37ecb4e49c3bbdf67b75d959ea9" PartId="3ee29fea243646b2ae12d3cf17d608b8"/>
          <Part Type="papunktis" Nr="35.2" Abbr="35.2 pp." DocPartId="95c84dc754cb46c0b97f591e3b12d1e0" PartId="d7258da4ee524ba1a936c5cc3d3cf876"/>
          <Part Type="papunktis" Nr="35.3" Abbr="35.3 pp." DocPartId="9fe1ef74b7d445028df1050de7ed9e80" PartId="199316e02265495ba30ff63dbfc3641e"/>
        </Part>
        <Part Type="punktas" Nr="36" Abbr="36 p." DocPartId="7a0947a360524ff4a9249981be26faee" PartId="7a1169f3414f487ca66d32b19f5a1002">
          <Part Type="papunktis" Nr="36.1" Abbr="36.1 pp." DocPartId="3bd9139ef3844bd0b2fd0e8c8b2758bb" PartId="a5b862bbb32b45e2aab7fafb3054a904"/>
          <Part Type="papunktis" Nr="36.2" Abbr="36.2 pp." DocPartId="0a304de75eb3420391ff371b67960b0d" PartId="63f0869787fb4b409e5fef454106d438"/>
          <Part Type="papunktis" Nr="36.3" Abbr="36.3 pp." DocPartId="63bd7137b7dd4739aa59f095068d8c95" PartId="498875542e634a94a6df61abac57e0e3"/>
          <Part Type="papunktis" Nr="36.4" Abbr="36.4 pp." DocPartId="ce768b3465dd4019b8dca49116fca076" PartId="264e633e1a0a46bf98bfa8c421c2d433"/>
          <Part Type="papunktis" Nr="36.5" Abbr="36.5 pp." DocPartId="fcdae290ca7c4c1b851ad5d1984cd6a3" PartId="69ba596ba67f4d8b9d97804db00cbd39">
            <Part Type="papunktis" Nr="36.5.1" Abbr="36.5.1 pp." DocPartId="be039af390be4873b786cb3785c28ad3" PartId="4ac63684cb2d4aff8b30e3d9230190a0"/>
            <Part Type="papunktis" Nr="36.5.2" Abbr="36.5.2 pp." DocPartId="3a11e566ed294d6c89bf3dbfb4f82ced" PartId="f7875181317e4fea84dd0d893c0eb67b"/>
          </Part>
        </Part>
        <Part Type="punktas" Nr="37" Abbr="37 p." DocPartId="ffefe33eeffb4033bb61d60c6fa0493e" PartId="0cf01072e4ab46e7b90fc702d1f74a54"/>
        <Part Type="punktas" Nr="38" Abbr="38 p." DocPartId="9d03353c8b994e32adfe9ffb552ea0d3" PartId="da6e034f018348cb990713e30ff57f81"/>
        <Part Type="punktas" Nr="39" Abbr="39 p." DocPartId="35f40048d1de4e33a29e5543705181c9" PartId="3def8616ba7847b4ba58514db91e4075"/>
      </Part>
      <Part Type="skirsnis" Nr="4" Title="KITOSE ATASKAITOSE PATEIKIAMA INFORMACIJA" DocPartId="f14890167c8e4149ab83a3add971c07e" PartId="ff68d1d5cfb94ffc83764d80d29519db">
        <Part Type="punktas" Nr="40" Abbr="40 p." DocPartId="82958d0b4dd94410825815f817a8c9c6" PartId="7c80f545c761440da29f0514c003c082"/>
        <Part Type="punktas" Nr="41" Abbr="41 p." DocPartId="ac53fa9f3c074545b0e5e794d6ad4feb" PartId="14fd4a89da364dd09fa29249cf6a74cc"/>
        <Part Type="punktas" Nr="42" Abbr="42 p." DocPartId="997ce8c4278148f2b4473254480e1467" PartId="c8de6915dd214a56b07ca55d0c82aa58"/>
        <Part Type="punktas" Nr="43" Abbr="43 p." DocPartId="869ddf367be5447a8ecf8e0b4c0b4391" PartId="0dfe7e89681c48afb40ec0ac62e528be"/>
        <Part Type="punktas" Nr="44" Abbr="44 p." DocPartId="668ed83db0eb4a389254e69a834ae5f8" PartId="5fef323bb6d6436baefd451558e7a093"/>
        <Part Type="punktas" Nr="45" Abbr="45 p." DocPartId="cade29020e084564a29bdc68dafdb92a" PartId="c2cc833b0572468fb1e2a1bf7503a9c6"/>
      </Part>
      <Part Type="skirsnis" Nr="5" Title="VALSTYBĖS IR SAVIVALDYBIŲ IŽDAMS TAIKOMOS NUOSTATOS DĖL VALSTYBĖS AR SAVIVALDYBĖS TURTO PARDAVIMO APSKAITOS" DocPartId="d29b94bcf04443e3b3da9bf86df5ee6d" PartId="af47c36ebe7a4df3af53abdfdf0fe043">
        <Part Type="punktas" Nr="46" Abbr="46 p." DocPartId="8938b0be16f64598b0b9be7dda4520c8" PartId="d09273c14071467a8799106037c4349a"/>
        <Part Type="punktas" Nr="47" Abbr="47 p." DocPartId="2aa2d79761324a6babdb559c503f959b" PartId="0e37830033af40fbb6981bcd2720ba7e"/>
        <Part Type="punktas" Nr="48" Abbr="48 p." DocPartId="9ac35f1b35794b2088710c292e4499ef" PartId="2a1d71bde94a432082e82f909c6e7809"/>
        <Part Type="punktas" Nr="49" Abbr="49 p." DocPartId="ed51e429fa8244f4baaf720c5b278dde" PartId="73b5c6d6eef44b9e958d6e62e693af89"/>
        <Part Type="punktas" Nr="50" Abbr="50 p." DocPartId="5750bf9d084a4ec9b7167e0f31f0d173" PartId="2270c7292b5c468b878c3befa0c757a9"/>
      </Part>
    </Part>
    <Part Type="skyrius" Nr="3" Title="PSDF GRUPĖS FINANSINIŲ ATASKAITŲ RINKINIO RENGIMO REIKALAVIMAI" DocPartId="434588169d8343a9a9ac6286aa208e09" PartId="2647762366584566bb3b9aa1f73a2c3f">
      <Part Type="punktas" Nr="51" Abbr="51 p." DocPartId="4471767f0ae440e3998db8af80564d0f" PartId="577b5896a8a643169eaf138f8a596213"/>
      <Part Type="punktas" Nr="52" Abbr="52 p." DocPartId="f1cc0fe843674e8e9b0924020d9d9028" PartId="c5d15be72b964f7bbe864bd68f7ee3cb"/>
      <Part Type="punktas" Nr="53" Abbr="53 p." DocPartId="2751e31dd9fb4e4da3222ed040ccc988" PartId="fed5f351eb9e4842970dad64658ba78f"/>
    </Part>
  </Part>
  <Part Type="priedas" Nr="1" Abbr="1 pr." Title="(Privalomojo sveikatos draudimo fondo finansinių ataskaitų rinkinio forma)" DocPartId="461282559d70496f85c1ac3314b75bc4" PartId="ce9f768d76364a76823fd46943a0c053">
    <Part Type="skirsnis" Title="PRIVALOMOJO SVEIKATOS DRAUDIMO FONDAS ____________________________________________________________________________" DocPartId="f38fc63a58624ceb92250d969fbcc56a" PartId="8bfc31aaefbd4ddeb4fc563dc4545084"/>
    <Part Type="skirsnis" Title="PRIVALOMOJO SVEIKATOS DRAUDIMO FONDO ______METŲ FINANSINIŲ ATASKAITŲ RINKINYS (be Valstybinės ligonių kasos prie Lietuvos Respublikos sveikatos apsaugos ministerijos duomenų)" DocPartId="c0b0af7a9dc64ecfa12bdfbbe94ef7af" PartId="3f81b4dc87bf4b2fb3132436f1f12367"/>
    <Part Type="skirsnis" Title="TURINYS" DocPartId="524bc182c7ee4ddaa9ae7ed83f3f4835" PartId="1f8d53b440bf4431b9ddb2f73c2414d5"/>
    <Part Type="skirsnis" Title="METINĖS FINANSINĖS ATASKAITOS:" DocPartId="29143026f3d54e2e9c3b2f0fb22750f3" PartId="2bc9dd57be8a45a89dc108f5e8c617b9"/>
    <Part Type="skirsnis" Title="FINANSINĖS BŪKLĖS ATASKAITA" DocPartId="d916d10b4d014c768cc724afe5856716" PartId="e55ab43a9acf406da91666ec69612f00"/>
    <Part Type="skirsnis" Title="VEIKLOS REZULTATŲ ATASKAITA" DocPartId="2595cf5140224e24b433536986c712dd" PartId="cc2cb85de8194076b68d03f0a99f3cbc"/>
    <Part Type="skirsnis" Title="GRYNOJO TURTO POKYČIŲ ATASKAITA" DocPartId="90b56f649b1348d9a9f28689651cd321" PartId="bd6ae72ace344fcdbdd8082dab28b24f"/>
    <Part Type="skirsnis" Title="PINIGŲ SRAUTŲ ATASKAITA" DocPartId="bbe729d225174ed894f9ebe2a6fa7267" PartId="ef83f3fd2c3c431fb64186db37841ad4"/>
  </Part>
  <Part Type="priedas" Nr="2" Abbr="2 pr." Title="(Privalomojo sveikatos draudimo fondo grupės finansinių ataskaitų rinkinio forma)" DocPartId="f3e48316dfee4ab4bd9473a1ad952427" PartId="f35673337a064729b045f02745583a97">
    <Part Type="skirsnis" Title="PRIVALOMOJO SVEIKATOS DRAUDIMO FONDAS _______________________________________________________________________________" DocPartId="d1959a83a7054d70a41b4db63da1113c" PartId="8b65fd953d804f928c20a6774e7ef283"/>
    <Part Type="skirsnis" Title="PRIVALOMOJO SVEIKATOS DRAUDIMO FONDO GRUPĖS ______METŲ FINANSINIŲ ATASKAITŲ RINKINYS" DocPartId="40bc498753d54b60a9cfca7bd1acd151" PartId="b7c41c42fdb74af89fa8d49a1a3951a9"/>
    <Part Type="skirsnis" Title="TURINYS" DocPartId="bd2814a6189e43c2aa07d3f82c274b34" PartId="a3febd56f8dd400d82478cc8116bb793"/>
    <Part Type="skirsnis" Title="METINĖS FINANSINĖS ATASKAITOS:" DocPartId="ad2da44d000741a0940b67e39b7920ed" PartId="5dc13f87b02f43279637fe4ab30870c3"/>
    <Part Type="skirsnis" Title="FINANSINĖS BŪKLĖS ATASKAITA" DocPartId="f7fde38527d04a63ba25c52b2bd9934e" PartId="eeeb9f56dbd24b38b634cbc8493878f2"/>
    <Part Type="skirsnis" Title="VEIKLOS REZULTATŲ ATASKAITA" DocPartId="cddbff41bc0f43c29ef439c605481041" PartId="8674c79826d444a38498f3a7661c1c9f"/>
    <Part Type="skirsnis" Title="GRYNOJO TURTO POKYČIŲ ATASKAITA" DocPartId="9812e8ac3dcc486680acf64d07b47b96" PartId="05c915672638493c8f5213d91b1bf59b"/>
    <Part Type="skirsnis" Title="PINIGŲ SRAUTŲ ATASKAITA" DocPartId="40b35c22041a4360b7994d7f8b7c2607" PartId="95518bd9d5534a4d9c235a8cbe1af753"/>
  </Part>
  <Part Type="priedas" Nr="3" Abbr="3 pr." Title="(Mokesčių fondų finansinių ataskaitų rinkinio forma)" DocPartId="abc0208e34114773ae4f74b856704fd3" PartId="d8277158a86d449eb046555f9370d973">
    <Part Type="skirsnis" Title="FONDO ______METŲ FINANSINIŲ ATASKAITŲ RINKINYS" DocPartId="dd0befb38427463e890c0a57d10c9a65" PartId="6754a4c243ee458cb375c8d577c763ee"/>
    <Part Type="skirsnis" Title="TURINYS" DocPartId="ee2a5358286043e8b94f9e9a7d148d61" PartId="558b134a8a6a456abaa476d84ee72c5c"/>
    <Part Type="skirsnis" Title="METINĖS FINANSINĖS ATASKAITOS:" DocPartId="d00f9113d2d94f5fa23f32b7b73ae4cd" PartId="ec070502578f443881e07b735fac3c38"/>
    <Part Type="skirsnis" Title="FINANSINĖS BŪKLĖS ATASKAITA" DocPartId="622fa6147a754a01a66cdabedfd97562" PartId="082601900ff7442793ae377222786e97"/>
    <Part Type="skirsnis" Title="VEIKLOS REZULTATŲ ATASKAITA" DocPartId="bd1ad71e2d3b4754a45f166eaf9cf7e6" PartId="8db169e15f954a98b00bdab74d9cee99"/>
    <Part Type="skirsnis" Title="PINIGŲ SRAUTŲ ATASKAITA" DocPartId="50763304c0f745a493eda55d43a70812" PartId="2303e859e0fd45d28c0575e629faaf64"/>
  </Part>
  <Part Type="priedas" Nr="4" Abbr="4 pr." Title="(Iždo finansinių ataskaitų rinkinio forma)" DocPartId="94926113e3554ccfbb49f278afb58584" PartId="1658ce96340c4ecc85174fb3ed668051">
    <Part Type="skirsnis" Title="____________ IŽDO ______METŲ FINANSINIŲ ATASKAITŲ RINKINYS" DocPartId="246a01e2b631439fb8470ac235dadff1" PartId="ade0d169e22b48a08ee2ed04a390ec66"/>
    <Part Type="skirsnis" Title="TURINYS" DocPartId="381a7a744c0c4e408503cbd6134f2dda" PartId="e998f6d66bcc40d088ad4872ae880b9e"/>
    <Part Type="skirsnis" Title="METINĖS FINANSINĖS ATASKAITOS:" DocPartId="0a3dfc272069417ab95393ea62c63cf3" PartId="f03f220a5d864a0ba46b2669924eda62"/>
    <Part Type="skirsnis" Title="FINANSINĖS BŪKLĖS ATASKAITA" DocPartId="ee8de687c352437e8bc0bd287318e928" PartId="014aa180606347049f08dd2cf8872cd8"/>
    <Part Type="skirsnis" Title="VEIKLOS REZULTATŲ ATASKAITA" DocPartId="c92793c410f543e2a44b6ddcab18ec3e" PartId="9c8819ef0ce246e2a10bf806c981822a"/>
    <Part Type="skirsnis" Title="PINIGŲ SRAUTŲ ATASKAITA" DocPartId="ac60d74f7e1947e08882a01b33780ed8" PartId="95e37c49c86149e49a535e93ebff1550"/>
  </Part>
  <Part Type="priedas" Nr="5" Abbr="5 pr." Title="(Fondų fondo ar kito išteklių fondo finansinių ataskaitų rinkinio forma)" DocPartId="7abfca21fdda4b699b65ff41d4d9ce6c" PartId="f62b24af964543e1b182a8a7eaec1bd9">
    <Part Type="skirsnis" Title="FONDO ______METŲ FINANSINIŲ ATASKAITŲ RINKINYS" DocPartId="a781de8814db4caf872265dc6f65c81f" PartId="207cf73d35c24afcbbed3c1701523b2e"/>
    <Part Type="skirsnis" Title="TURINYS" DocPartId="0ada0dbd21494779b23483e22dfefec1" PartId="54b47da494b54e21a464c52c7c2ff309"/>
    <Part Type="skirsnis" Title="METINĖS FINANSINĖS ATASKAITOS:" DocPartId="9ef87e874a044c82be95bba7a8f42608" PartId="3a0ad30a96b74e8584ae840ccc586e4a"/>
    <Part Type="skirsnis" Title="FINANSINĖS BŪKLĖS ATASKAITA" DocPartId="f82b2b09e0424a1487059bf3c4d35622" PartId="ae7008ed5da34bcdaa31b3f231de0f9f"/>
    <Part Type="skirsnis" Title="VEIKLOS REZULTATŲ ATASKAITA" DocPartId="328975124d4d48f6879a5fd6d9d92a31" PartId="0f57f77d2bea41e7a5633bd854f8d6a0"/>
    <Part Type="skirsnis" Title="PINIGŲ SRAUTŲ ATASKAITA" DocPartId="bd1cef501b2f4d498a6fd26888659b32" PartId="f7a5063ea43a4eb2a9502ec62c691f33"/>
  </Part>
</Parts>
</file>

<file path=customXml/itemProps1.xml><?xml version="1.0" encoding="utf-8"?>
<ds:datastoreItem xmlns:ds="http://schemas.openxmlformats.org/officeDocument/2006/customXml" ds:itemID="{A4ADF1C3-4AF4-47A5-8D9B-9C40747D9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f8e7d8-c48a-4586-ab08-a409ee6a50e3"/>
    <ds:schemaRef ds:uri="1d0b7434-c3e5-4db4-8754-b6cf385d0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ABE7B8-6092-4C9B-963F-1C6001FC9DEB}">
  <ds:schemaRefs>
    <ds:schemaRef ds:uri="http://schemas.microsoft.com/sharepoint/v3/contenttype/forms"/>
  </ds:schemaRefs>
</ds:datastoreItem>
</file>

<file path=customXml/itemProps3.xml><?xml version="1.0" encoding="utf-8"?>
<ds:datastoreItem xmlns:ds="http://schemas.openxmlformats.org/officeDocument/2006/customXml" ds:itemID="{63258B80-969E-4308-92C4-8CA5F168C8ED}">
  <ds:schemaRefs>
    <ds:schemaRef ds:uri="http://schemas.microsoft.com/office/2006/metadata/properties"/>
    <ds:schemaRef ds:uri="http://schemas.microsoft.com/office/infopath/2007/PartnerControls"/>
    <ds:schemaRef ds:uri="1d0b7434-c3e5-4db4-8754-b6cf385d0483"/>
  </ds:schemaRefs>
</ds:datastoreItem>
</file>

<file path=customXml/itemProps4.xml><?xml version="1.0" encoding="utf-8"?>
<ds:datastoreItem xmlns:ds="http://schemas.openxmlformats.org/officeDocument/2006/customXml" ds:itemID="{E761EABF-EE56-43B2-B533-2AF8E041EC11}">
  <ds:schemaRefs>
    <ds:schemaRef ds:uri="http://schemas.openxmlformats.org/officeDocument/2006/bibliography"/>
  </ds:schemaRefs>
</ds:datastoreItem>
</file>

<file path=customXml/itemProps5.xml><?xml version="1.0" encoding="utf-8"?>
<ds:datastoreItem xmlns:ds="http://schemas.openxmlformats.org/officeDocument/2006/customXml" ds:itemID="{23008B8B-14A0-4B96-9925-9E7C8EB991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8591</Words>
  <Characters>62460</Characters>
  <Application>Microsoft Office Word</Application>
  <DocSecurity>4</DocSecurity>
  <Lines>4461</Lines>
  <Paragraphs>1920</Paragraphs>
  <ScaleCrop>false</ScaleCrop>
  <HeadingPairs>
    <vt:vector size="2" baseType="variant">
      <vt:variant>
        <vt:lpstr>Pavadinimas</vt:lpstr>
      </vt:variant>
      <vt:variant>
        <vt:i4>1</vt:i4>
      </vt:variant>
    </vt:vector>
  </HeadingPairs>
  <TitlesOfParts>
    <vt:vector size="1" baseType="lpstr">
      <vt:lpstr>LIETUVOS RESPUBLIKOS FINANSŲ MINISTRO</vt:lpstr>
    </vt:vector>
  </TitlesOfParts>
  <Company/>
  <LinksUpToDate>false</LinksUpToDate>
  <CharactersWithSpaces>69131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2024-11-28T06:51:00Z</dcterms:created>
  <dc:creator>Rima</dc:creator>
  <lastModifiedBy>adlibuser</lastModifiedBy>
  <lastPrinted>2024-09-17T12:04:00Z</lastPrinted>
  <dcterms:modified xsi:type="dcterms:W3CDTF">2024-11-28T06:51:00Z</dcterms:modified>
  <revision>2</revision>
  <dc:title>LIETUVOS RESPUBLIKOS FINANSŲ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0x01010029E2460EB157A74C9BBB34C7C4F862A2</vt:lpwstr>
  </property>
</Properties>
</file>