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e095b17c644f15bd9b85213a407686"/>
        <w:lock w:val="sdtLocked"/>
        <w:richText/>
      </w:sdtPr>
      <w:sdtContent>
        <w:p>
          <w:pPr>
            <w:tabs>
              <w:tab w:val="left" w:pos="6732"/>
            </w:tabs>
            <w:suppressAutoHyphens/>
            <w:ind w:firstLine="7200"/>
            <w:rPr>
              <w:b/>
              <w:bCs/>
              <w:szCs w:val="24"/>
              <w:lang w:eastAsia="ar-SA"/>
            </w:rPr>
          </w:pPr>
          <w:r>
            <w:rPr>
              <w:b/>
              <w:bCs/>
              <w:szCs w:val="24"/>
              <w:lang w:eastAsia="ar-SA"/>
            </w:rPr>
            <w:t>Projektas</w:t>
          </w:r>
        </w:p>
        <w:p>
          <w:pPr>
            <w:tabs>
              <w:tab w:val="left" w:pos="6732"/>
            </w:tabs>
            <w:suppressAutoHyphens/>
            <w:ind w:firstLine="7200"/>
            <w:rPr>
              <w:szCs w:val="24"/>
              <w:lang w:eastAsia="ar-SA"/>
            </w:rPr>
          </w:pPr>
          <w:r>
            <w:rPr>
              <w:szCs w:val="24"/>
              <w:lang w:eastAsia="ar-SA"/>
            </w:rPr>
            <w:t>Nr. TSP-</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RADVILIŠKIO RAJONO SAVIVALDYBĖS taryba</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sprendimas</w:t>
          </w:r>
        </w:p>
        <w:p>
          <w:pPr>
            <w:suppressAutoHyphens/>
            <w:jc w:val="center"/>
            <w:rPr>
              <w:b/>
              <w:bCs/>
              <w:szCs w:val="24"/>
              <w:lang w:eastAsia="ar-SA"/>
            </w:rPr>
          </w:pPr>
          <w:r>
            <w:rPr>
              <w:b/>
              <w:bCs/>
              <w:szCs w:val="24"/>
              <w:lang w:eastAsia="ar-SA"/>
            </w:rPr>
            <w:t xml:space="preserve">DĖL NEKILNOJAMOJO TURTO, </w:t>
          </w:r>
          <w:r>
            <w:rPr>
              <w:b/>
              <w:bCs/>
              <w:caps/>
              <w:szCs w:val="24"/>
              <w:lang w:eastAsia="ar-SA"/>
            </w:rPr>
            <w:t xml:space="preserve">PRIPAŽINTO netinkamu (negalimu) </w:t>
          </w:r>
          <w:r>
            <w:rPr>
              <w:b/>
              <w:bCs/>
              <w:szCs w:val="24"/>
              <w:lang w:eastAsia="ar-SA"/>
            </w:rPr>
            <w:t>NAUDOTI, NURAŠYMO BEI LIKVIDAVIMO</w:t>
          </w:r>
        </w:p>
        <w:p>
          <w:pPr>
            <w:suppressAutoHyphens/>
            <w:jc w:val="center"/>
            <w:rPr>
              <w:b/>
              <w:bCs/>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pPr>
            <w:suppressAutoHyphens/>
            <w:spacing w:line="300" w:lineRule="exact"/>
            <w:ind w:firstLine="720"/>
            <w:jc w:val="both"/>
            <w:rPr>
              <w:szCs w:val="24"/>
              <w:lang w:eastAsia="ar-SA"/>
            </w:rPr>
          </w:pPr>
        </w:p>
        <w:sdt>
          <w:sdtPr>
            <w:alias w:val="preambule"/>
            <w:tag w:val="part_15a223a1e466496dbe7f929b0137938a"/>
            <w:lock w:val="sdtLocked"/>
            <w:richText/>
          </w:sdtPr>
          <w:sdtContent>
            <w:p>
              <w:pPr>
                <w:suppressAutoHyphens/>
                <w:spacing w:line="320" w:lineRule="exact"/>
                <w:ind w:firstLine="720"/>
                <w:jc w:val="both"/>
                <w:rPr>
                  <w:szCs w:val="24"/>
                  <w:lang w:eastAsia="ar-SA"/>
                </w:rPr>
              </w:pPr>
              <w:r>
                <w:rPr>
                  <w:szCs w:val="24"/>
                  <w:lang w:eastAsia="ar-SA"/>
                </w:rPr>
                <w:t>Vadovaudamasi Lietuvos Respublikos vietos savivaldos įstatymo</w:t>
              </w:r>
              <w:r>
                <w:rPr>
                  <w:b/>
                  <w:szCs w:val="24"/>
                  <w:lang w:eastAsia="ar-SA"/>
                </w:rPr>
                <w:t xml:space="preserve"> </w:t>
              </w:r>
              <w:r>
                <w:rPr>
                  <w:szCs w:val="24"/>
                  <w:lang w:eastAsia="ar-SA"/>
                </w:rPr>
                <w:t xml:space="preserve">15 straipsnio 2 dalies 19 punktu, Lietuvos Respublikos valstybės ir savivaldybių turto valdymo, naudojimo ir disponavimo juo įstatymo 27 straipsnio 2 ir 6 dalimis, Pripažinto nereikalingu arba netinkamu naudoti (negalimu) naudoti valstybės ir savivaldybių turto nurašymo, išardymo ir likvidavimo tvarkos aprašo, patvirtinto Lietuvos Respublikos Vyriausybės </w:t>
              </w:r>
              <w:smartTag w:uri="urn:schemas-microsoft-com:office:smarttags" w:element="metricconverter">
                <w:smartTagPr>
                  <w:attr w:name="ProductID" w:val="2001 m"/>
                </w:smartTagPr>
                <w:r>
                  <w:rPr>
                    <w:szCs w:val="24"/>
                    <w:lang w:eastAsia="ar-SA"/>
                  </w:rPr>
                  <w:t>2001 m</w:t>
                </w:r>
              </w:smartTag>
              <w:r>
                <w:rPr>
                  <w:szCs w:val="24"/>
                  <w:lang w:eastAsia="ar-SA"/>
                </w:rPr>
                <w:t>. spalio 19 d. nutarimu Nr. 1250 „D</w:t>
              </w:r>
              <w:r>
                <w:rPr>
                  <w:szCs w:val="24"/>
                  <w:shd w:val="clear" w:color="auto" w:fill="FFFFFF"/>
                  <w:lang w:eastAsia="ar-SA"/>
                </w:rPr>
                <w:t>ėl pripažinto nereikalingu arba netinkamu (negalimu) naudoti valstybės ir savivaldybių turto nurašymo, išardymo ir likvidavimo tvarkos aprašo patvirtinimo</w:t>
              </w:r>
              <w:r>
                <w:rPr>
                  <w:szCs w:val="24"/>
                  <w:lang w:eastAsia="ar-SA"/>
                </w:rPr>
                <w:t>“, 9.4 ir 13.1 papunkčiais,</w:t>
              </w:r>
              <w:r>
                <w:rPr>
                  <w:b/>
                  <w:szCs w:val="24"/>
                  <w:lang w:eastAsia="ar-SA"/>
                </w:rPr>
                <w:t xml:space="preserve"> </w:t>
              </w:r>
              <w:r>
                <w:rPr>
                  <w:szCs w:val="24"/>
                  <w:lang w:eastAsia="ar-SA"/>
                </w:rPr>
                <w:t>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Radviliškio rajono savivaldybės administracijos direktoriaus 2025 m. balandžio 1 d. įsakymą Nr. A-158 (8.</w:t>
              </w:r>
              <w:r>
                <w:rPr>
                  <w:spacing w:val="60"/>
                  <w:szCs w:val="24"/>
                  <w:lang w:eastAsia="ar-SA"/>
                </w:rPr>
                <w:t>2</w:t>
              </w:r>
              <w:r>
                <w:rPr>
                  <w:szCs w:val="24"/>
                  <w:lang w:eastAsia="ar-SA"/>
                </w:rPr>
                <w:t>E) „Dėl negyvenamųjų patalpų pripažinimo nereikalingomis arba netinkamomis (negalimomis) naudoti“</w:t>
              </w:r>
              <w:r>
                <w:rPr>
                  <w:bCs/>
                  <w:szCs w:val="24"/>
                  <w:lang w:eastAsia="ar-SA"/>
                </w:rPr>
                <w:t xml:space="preserve">, </w:t>
              </w:r>
              <w:r>
                <w:rPr>
                  <w:szCs w:val="24"/>
                  <w:lang w:eastAsia="ar-SA"/>
                </w:rPr>
                <w:t>Radviliškio rajono savivaldybės taryba</w:t>
              </w:r>
              <w:r>
                <w:rPr>
                  <w:spacing w:val="44"/>
                  <w:szCs w:val="24"/>
                  <w:lang w:eastAsia="ar-SA"/>
                </w:rPr>
                <w:t xml:space="preserve"> </w:t>
              </w:r>
              <w:r>
                <w:rPr>
                  <w:spacing w:val="40"/>
                  <w:kern w:val="24"/>
                  <w:szCs w:val="24"/>
                  <w:lang w:eastAsia="ar-SA"/>
                </w:rPr>
                <w:t>nusprendži</w:t>
              </w:r>
              <w:r>
                <w:rPr>
                  <w:szCs w:val="24"/>
                  <w:lang w:eastAsia="ar-SA"/>
                </w:rPr>
                <w:t>a:</w:t>
              </w:r>
            </w:p>
          </w:sdtContent>
        </w:sdt>
        <w:sdt>
          <w:sdtPr>
            <w:alias w:val="1 p."/>
            <w:tag w:val="part_d122f5b37faa442e8e661e5ce129a7d5"/>
            <w:lock w:val="sdtLocked"/>
            <w:richText/>
          </w:sdtPr>
          <w:sdtContent>
            <w:p>
              <w:pPr>
                <w:suppressAutoHyphens/>
                <w:spacing w:line="320" w:lineRule="exact"/>
                <w:ind w:firstLine="720"/>
                <w:jc w:val="both"/>
                <w:rPr>
                  <w:szCs w:val="24"/>
                  <w:lang w:eastAsia="ar-SA"/>
                </w:rPr>
              </w:pPr>
              <w:sdt>
                <w:sdtPr>
                  <w:alias w:val="Numeris"/>
                  <w:tag w:val="nr_d122f5b37faa442e8e661e5ce129a7d5"/>
                  <w:lock w:val="sdtLocked"/>
                  <w:richText/>
                </w:sdtPr>
                <w:sdtContent>
                  <w:r>
                    <w:rPr>
                      <w:szCs w:val="24"/>
                      <w:lang w:eastAsia="ar-SA"/>
                    </w:rPr>
                    <w:t>1</w:t>
                  </w:r>
                </w:sdtContent>
              </w:sdt>
              <w:r>
                <w:rPr>
                  <w:szCs w:val="24"/>
                  <w:lang w:eastAsia="ar-SA"/>
                </w:rPr>
                <w:t xml:space="preserve">. Nurašyti ir likviduoti teismo sprendimu bešeimininkiu pripažintą ir </w:t>
              </w:r>
              <w:r>
                <w:rPr>
                  <w:spacing w:val="-2"/>
                  <w:szCs w:val="24"/>
                  <w:lang w:eastAsia="ar-SA"/>
                </w:rPr>
                <w:t>Radviliškio rajono s</w:t>
              </w:r>
              <w:r>
                <w:rPr>
                  <w:szCs w:val="24"/>
                  <w:lang w:eastAsia="ar-SA"/>
                </w:rPr>
                <w:t>avivaldybės nuosavybėn perduotą, netinkamu (negalimu) naudoti pripažintą fiziškai nusidėvėjusį, Nekilnojamojo turto registre neregistruotą nekilnojamąjį turtą: mazuto saugyklą (rezervuarą) su pamatais ir betonine aptarnavimo aikštele, esančią Vėriškių k., Šeduvos miesto sen., Radviliškio r. sav. (statinio koordinatės X-6176761, Y-482213), inventorinis Nr. FA-00001745, pradinė vertė – 0,01 Eur, likutinė vertė 2025 m. balandžio 30 d. – 0,01 Eur.</w:t>
              </w:r>
            </w:p>
          </w:sdtContent>
        </w:sdt>
        <w:sdt>
          <w:sdtPr>
            <w:alias w:val="2 p."/>
            <w:tag w:val="part_8070d636c1c14fb991ad61db4426ecf9"/>
            <w:lock w:val="sdtLocked"/>
            <w:richText/>
          </w:sdtPr>
          <w:sdtContent>
            <w:p>
              <w:pPr>
                <w:tabs>
                  <w:tab w:val="left" w:pos="1021"/>
                </w:tabs>
                <w:suppressAutoHyphens/>
                <w:spacing w:line="320" w:lineRule="exact"/>
                <w:ind w:firstLine="720"/>
                <w:jc w:val="both"/>
                <w:rPr>
                  <w:szCs w:val="24"/>
                  <w:lang w:eastAsia="ar-SA"/>
                </w:rPr>
              </w:pPr>
              <w:sdt>
                <w:sdtPr>
                  <w:alias w:val="Numeris"/>
                  <w:tag w:val="nr_8070d636c1c14fb991ad61db4426ecf9"/>
                  <w:lock w:val="sdtLocked"/>
                  <w:richText/>
                </w:sdtPr>
                <w:sdtContent>
                  <w:r>
                    <w:rPr>
                      <w:szCs w:val="24"/>
                      <w:lang w:eastAsia="ar-SA"/>
                    </w:rPr>
                    <w:t>2</w:t>
                  </w:r>
                </w:sdtContent>
              </w:sdt>
              <w:r>
                <w:rPr>
                  <w:szCs w:val="24"/>
                  <w:lang w:eastAsia="ar-SA"/>
                </w:rPr>
                <w:t>.</w:t>
                <w:tab/>
                <w:t>Paskirti Radviliškio rajono savivaldybės administracijos Statybos ir viešosios tvarkos skyriaus vedėją atsakingą už šiame sprendime nurodyto turto išardymą ir teritorijos sutvarkymą.</w:t>
              </w:r>
            </w:p>
          </w:sdtContent>
        </w:sdt>
        <w:sdt>
          <w:sdtPr>
            <w:alias w:val="3 p."/>
            <w:tag w:val="part_d4d2884ebfd74f2e8894a1db32310559"/>
            <w:lock w:val="sdtLocked"/>
            <w:richText/>
          </w:sdtPr>
          <w:sdtContent>
            <w:p>
              <w:pPr>
                <w:tabs>
                  <w:tab w:val="left" w:pos="1021"/>
                </w:tabs>
                <w:suppressAutoHyphens/>
                <w:spacing w:line="320" w:lineRule="exact"/>
                <w:ind w:firstLine="720"/>
                <w:jc w:val="both"/>
                <w:rPr>
                  <w:szCs w:val="24"/>
                  <w:lang w:eastAsia="ar-SA"/>
                </w:rPr>
              </w:pPr>
              <w:sdt>
                <w:sdtPr>
                  <w:alias w:val="Numeris"/>
                  <w:tag w:val="nr_d4d2884ebfd74f2e8894a1db32310559"/>
                  <w:lock w:val="sdtLocked"/>
                  <w:richText/>
                </w:sdtPr>
                <w:sdtContent>
                  <w:r>
                    <w:rPr>
                      <w:szCs w:val="24"/>
                      <w:lang w:eastAsia="ar-SA"/>
                    </w:rPr>
                    <w:t>3</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tab/>
                <w:tab/>
                <w:t xml:space="preserve"> </w:t>
              </w:r>
            </w:p>
            <w:p>
              <w:pPr>
                <w:spacing w:line="259" w:lineRule="auto"/>
                <w:rPr>
                  <w:rFonts w:eastAsia="Lucida Sans Unicode"/>
                  <w:kern w:val="1"/>
                  <w:szCs w:val="24"/>
                </w:rPr>
              </w:pPr>
              <w:r>
                <w:rPr>
                  <w:szCs w:val="24"/>
                  <w:lang w:eastAsia="ar-SA"/>
                </w:rPr>
                <w:br w:type="page"/>
              </w:r>
            </w:p>
            <w:p>
              <w:pPr>
                <w:rPr>
                  <w:sz w:val="14"/>
                  <w:szCs w:val="14"/>
                </w:rPr>
              </w:pPr>
            </w:p>
          </w:sdtContent>
        </w:sdt>
        <w:sdt>
          <w:sdtPr>
            <w:alias w:val="skirsnis"/>
            <w:tag w:val="part_78f4a36fa21f4d129c8e5f03f2ecde71"/>
            <w:lock w:val="sdtLocked"/>
            <w:richText/>
          </w:sdtPr>
          <w:sdtContent>
            <w:sdt>
              <w:sdtPr>
                <w:alias w:val="Pavadinimas"/>
                <w:tag w:val="title_78f4a36fa21f4d129c8e5f03f2ecde71"/>
                <w:lock w:val="sdtLocked"/>
                <w:richText/>
              </w:sdtPr>
              <w:sdtContent>
                <w:p>
                  <w:pPr>
                    <w:suppressAutoHyphens/>
                    <w:jc w:val="center"/>
                    <w:rPr>
                      <w:b/>
                      <w:bCs/>
                      <w:caps/>
                      <w:szCs w:val="24"/>
                      <w:lang w:eastAsia="ar-SA"/>
                    </w:rPr>
                  </w:pPr>
                  <w:r>
                    <w:rPr>
                      <w:b/>
                      <w:bCs/>
                      <w:caps/>
                      <w:szCs w:val="24"/>
                      <w:lang w:eastAsia="ar-SA"/>
                    </w:rPr>
                    <w:t xml:space="preserve">radviliškio rajono Savivaldybės tarybos 2025-04-24 sprendimo projekto </w:t>
                  </w:r>
                  <w:r>
                    <w:rPr>
                      <w:b/>
                      <w:caps/>
                      <w:szCs w:val="24"/>
                      <w:lang w:eastAsia="ar-SA"/>
                    </w:rPr>
                    <w:t>„</w:t>
                  </w:r>
                  <w:r>
                    <w:rPr>
                      <w:b/>
                      <w:bCs/>
                      <w:szCs w:val="24"/>
                      <w:lang w:eastAsia="ar-SA"/>
                    </w:rPr>
                    <w:t xml:space="preserve">DĖL 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w:t>
                  </w:r>
                </w:p>
                <w:p>
                  <w:pPr>
                    <w:suppressAutoHyphens/>
                    <w:jc w:val="center"/>
                    <w:rPr>
                      <w:b/>
                      <w:bCs/>
                      <w:szCs w:val="24"/>
                      <w:lang w:eastAsia="ar-SA"/>
                    </w:rPr>
                  </w:pPr>
                  <w:r>
                    <w:rPr>
                      <w:b/>
                      <w:bCs/>
                      <w:szCs w:val="24"/>
                      <w:lang w:eastAsia="ar-SA"/>
                    </w:rPr>
                    <w:t>AIŠKINAMASIS RAŠTAS</w:t>
                  </w:r>
                </w:p>
              </w:sdtContent>
            </w:sdt>
            <w:p>
              <w:pPr>
                <w:suppressAutoHyphens/>
                <w:jc w:val="center"/>
                <w:rPr>
                  <w:bCs/>
                  <w:szCs w:val="24"/>
                  <w:lang w:eastAsia="ar-SA"/>
                </w:rPr>
              </w:pPr>
            </w:p>
            <w:p>
              <w:pPr>
                <w:suppressAutoHyphens/>
                <w:jc w:val="center"/>
                <w:rPr>
                  <w:bCs/>
                  <w:szCs w:val="24"/>
                  <w:lang w:eastAsia="ar-SA"/>
                </w:rPr>
              </w:pPr>
              <w:r>
                <w:rPr>
                  <w:bCs/>
                  <w:szCs w:val="24"/>
                  <w:lang w:eastAsia="ar-SA"/>
                </w:rPr>
                <w:t>2025-04-02</w:t>
              </w:r>
            </w:p>
            <w:p>
              <w:pPr>
                <w:suppressAutoHyphens/>
                <w:jc w:val="center"/>
                <w:rPr>
                  <w:bCs/>
                  <w:szCs w:val="24"/>
                  <w:lang w:eastAsia="ar-SA"/>
                </w:rPr>
              </w:pPr>
              <w:r>
                <w:rPr>
                  <w:bCs/>
                  <w:szCs w:val="24"/>
                  <w:lang w:eastAsia="ar-SA"/>
                </w:rPr>
                <w:t>Radviliškis</w:t>
              </w:r>
            </w:p>
            <w:p>
              <w:pPr>
                <w:suppressAutoHyphens/>
                <w:spacing w:line="300" w:lineRule="exact"/>
                <w:jc w:val="center"/>
                <w:rPr>
                  <w:bCs/>
                  <w:szCs w:val="24"/>
                  <w:lang w:eastAsia="ar-SA"/>
                </w:rPr>
              </w:pPr>
            </w:p>
            <w:sdt>
              <w:sdtPr>
                <w:alias w:val="1 p."/>
                <w:tag w:val="part_68614f1fe040483aa64b4e40e03321d1"/>
                <w:lock w:val="sdtLocked"/>
                <w:richText/>
              </w:sdtPr>
              <w:sdtContent>
                <w:p>
                  <w:pPr>
                    <w:tabs>
                      <w:tab w:val="left" w:pos="1077"/>
                    </w:tabs>
                    <w:spacing w:line="300" w:lineRule="exact"/>
                    <w:ind w:firstLine="720"/>
                    <w:jc w:val="both"/>
                    <w:rPr>
                      <w:b/>
                      <w:szCs w:val="24"/>
                      <w:lang w:eastAsia="ar-SA"/>
                    </w:rPr>
                  </w:pPr>
                  <w:sdt>
                    <w:sdtPr>
                      <w:alias w:val="Numeris"/>
                      <w:tag w:val="nr_68614f1fe040483aa64b4e40e03321d1"/>
                      <w:lock w:val="sdtLocked"/>
                      <w:richText/>
                    </w:sdtPr>
                    <w:sdtContent>
                      <w:r>
                        <w:rPr>
                          <w:b/>
                          <w:szCs w:val="24"/>
                          <w:lang w:eastAsia="ar-SA"/>
                        </w:rPr>
                        <w:t>1</w:t>
                      </w:r>
                    </w:sdtContent>
                  </w:sdt>
                  <w:r>
                    <w:rPr>
                      <w:b/>
                      <w:szCs w:val="24"/>
                      <w:lang w:eastAsia="ar-SA"/>
                    </w:rPr>
                    <w:t>.</w:t>
                    <w:tab/>
                    <w:t>Projekto rengimą paskatinusios priežastys, parengto sprendimo projekto tikslai ir uždaviniai.</w:t>
                  </w:r>
                </w:p>
                <w:p>
                  <w:pPr>
                    <w:suppressAutoHyphens/>
                    <w:spacing w:line="300" w:lineRule="exact"/>
                    <w:ind w:firstLine="720"/>
                    <w:jc w:val="both"/>
                    <w:rPr>
                      <w:szCs w:val="24"/>
                      <w:lang w:eastAsia="ar-SA"/>
                    </w:rPr>
                  </w:pPr>
                  <w:r>
                    <w:rPr>
                      <w:szCs w:val="24"/>
                      <w:lang w:eastAsia="ar-SA"/>
                    </w:rPr>
                    <w:t xml:space="preserve">Projektas parengtas, siekiant nurašyti ir likviduoti </w:t>
                  </w:r>
                  <w:r>
                    <w:rPr>
                      <w:spacing w:val="-2"/>
                      <w:szCs w:val="24"/>
                      <w:lang w:eastAsia="ar-SA"/>
                    </w:rPr>
                    <w:t>Radviliškio rajono s</w:t>
                  </w:r>
                  <w:r>
                    <w:rPr>
                      <w:szCs w:val="24"/>
                      <w:lang w:eastAsia="ar-SA"/>
                    </w:rPr>
                    <w:t>avivaldybės administracijos direktoriaus 2025-04-01 įsakymu Nr. A-158 (8.</w:t>
                  </w:r>
                  <w:r>
                    <w:rPr>
                      <w:spacing w:val="60"/>
                      <w:szCs w:val="24"/>
                      <w:lang w:eastAsia="ar-SA"/>
                    </w:rPr>
                    <w:t>2</w:t>
                  </w:r>
                  <w:r>
                    <w:rPr>
                      <w:szCs w:val="24"/>
                      <w:lang w:eastAsia="ar-SA"/>
                    </w:rPr>
                    <w:t xml:space="preserve">E) netinkamu (negalimu) naudoti pripažintą </w:t>
                  </w:r>
                  <w:r>
                    <w:rPr>
                      <w:spacing w:val="-2"/>
                      <w:szCs w:val="24"/>
                      <w:lang w:eastAsia="ar-SA"/>
                    </w:rPr>
                    <w:t xml:space="preserve">Savivaldybės administracijos apskaitoje tvarkomą </w:t>
                  </w:r>
                  <w:r>
                    <w:rPr>
                      <w:szCs w:val="24"/>
                      <w:lang w:eastAsia="ar-SA"/>
                    </w:rPr>
                    <w:t xml:space="preserve">nekilnojamąjį turtą: teismo sprendimu bešeimininkiu pripažintą ir </w:t>
                  </w:r>
                  <w:r>
                    <w:rPr>
                      <w:spacing w:val="-2"/>
                      <w:szCs w:val="24"/>
                      <w:lang w:eastAsia="ar-SA"/>
                    </w:rPr>
                    <w:t>Radviliškio rajono s</w:t>
                  </w:r>
                  <w:r>
                    <w:rPr>
                      <w:szCs w:val="24"/>
                      <w:lang w:eastAsia="ar-SA"/>
                    </w:rPr>
                    <w:t xml:space="preserve">avivaldybės nuosavybėn perduotą mazuto saugyklą (rezervuarą) su pamatais ir betonine aptarnavimo aikštele, esančius Ropokalnio g., Vėriškių k., Šeduvos miesto sen., Radviliškio r. sav. (toliau – mazuto saugykla, statinys). Nekilnojamojo turto registre neregistruotas statinys apgriuvęs, neprižiūrimas, keliantis grėsmę aplinkai (rezervuare yra mazuto), aplinka netvarkoma. </w:t>
                  </w:r>
                </w:p>
              </w:sdtContent>
            </w:sdt>
            <w:sdt>
              <w:sdtPr>
                <w:alias w:val="2 p."/>
                <w:tag w:val="part_a953124922914b6689e9faa5401be3ad"/>
                <w:lock w:val="sdtLocked"/>
                <w:richText/>
              </w:sdtPr>
              <w:sdtContent>
                <w:p>
                  <w:pPr>
                    <w:tabs>
                      <w:tab w:val="left" w:pos="1077"/>
                    </w:tabs>
                    <w:spacing w:line="300" w:lineRule="exact"/>
                    <w:ind w:firstLine="720"/>
                    <w:jc w:val="both"/>
                    <w:rPr>
                      <w:b/>
                      <w:szCs w:val="24"/>
                      <w:lang w:eastAsia="ar-SA"/>
                    </w:rPr>
                  </w:pPr>
                  <w:sdt>
                    <w:sdtPr>
                      <w:alias w:val="Numeris"/>
                      <w:tag w:val="nr_a953124922914b6689e9faa5401be3ad"/>
                      <w:lock w:val="sdtLocked"/>
                      <w:richText/>
                    </w:sdtPr>
                    <w:sdtContent>
                      <w:r>
                        <w:rPr>
                          <w:b/>
                          <w:szCs w:val="24"/>
                          <w:lang w:eastAsia="ar-SA"/>
                        </w:rPr>
                        <w:t>2</w:t>
                      </w:r>
                    </w:sdtContent>
                  </w:sdt>
                  <w:r>
                    <w:rPr>
                      <w:b/>
                      <w:szCs w:val="24"/>
                      <w:lang w:eastAsia="ar-SA"/>
                    </w:rPr>
                    <w:t>.</w:t>
                    <w:tab/>
                    <w:t>Projekto iniciatoriai (institucija, asmenys ar piliečių atstovai) ir rengėjai.</w:t>
                  </w:r>
                </w:p>
                <w:p>
                  <w:pPr>
                    <w:suppressAutoHyphens/>
                    <w:spacing w:line="300" w:lineRule="exact"/>
                    <w:ind w:firstLine="720"/>
                    <w:jc w:val="both"/>
                    <w:rPr>
                      <w:iCs/>
                      <w:spacing w:val="-2"/>
                      <w:szCs w:val="24"/>
                      <w:lang w:eastAsia="ar-SA"/>
                    </w:rPr>
                  </w:pPr>
                  <w:r>
                    <w:rPr>
                      <w:iCs/>
                      <w:szCs w:val="24"/>
                      <w:lang w:eastAsia="ar-SA"/>
                    </w:rPr>
                    <w:t xml:space="preserve">Projekto iniciatorius – </w:t>
                  </w:r>
                  <w:r>
                    <w:rPr>
                      <w:iCs/>
                      <w:spacing w:val="-2"/>
                      <w:szCs w:val="24"/>
                      <w:lang w:eastAsia="ar-SA"/>
                    </w:rPr>
                    <w:t>Radviliškio rajono savivaldybės administracija.</w:t>
                  </w:r>
                </w:p>
                <w:p>
                  <w:pPr>
                    <w:suppressAutoHyphens/>
                    <w:spacing w:line="300" w:lineRule="exact"/>
                    <w:ind w:firstLine="720"/>
                    <w:jc w:val="both"/>
                    <w:rPr>
                      <w:iCs/>
                      <w:szCs w:val="24"/>
                      <w:lang w:eastAsia="ar-SA"/>
                    </w:rPr>
                  </w:pPr>
                  <w:r>
                    <w:rPr>
                      <w:iCs/>
                      <w:szCs w:val="24"/>
                      <w:lang w:eastAsia="ar-SA"/>
                    </w:rPr>
                    <w:t>Projekto rengėjas – Savivaldybės administracijos Investicijų ir turto valdymo skyriaus vyriausioji specialistė Diana Skaburskienė.</w:t>
                  </w:r>
                </w:p>
              </w:sdtContent>
            </w:sdt>
            <w:sdt>
              <w:sdtPr>
                <w:alias w:val="3 p."/>
                <w:tag w:val="part_5d6e94e406f240cca1bd5b1c05552d16"/>
                <w:lock w:val="sdtLocked"/>
                <w:richText/>
              </w:sdtPr>
              <w:sdtContent>
                <w:p>
                  <w:pPr>
                    <w:tabs>
                      <w:tab w:val="left" w:pos="1077"/>
                    </w:tabs>
                    <w:spacing w:line="300" w:lineRule="exact"/>
                    <w:ind w:firstLine="720"/>
                    <w:jc w:val="both"/>
                    <w:rPr>
                      <w:b/>
                      <w:szCs w:val="24"/>
                      <w:lang w:eastAsia="ar-SA"/>
                    </w:rPr>
                  </w:pPr>
                  <w:sdt>
                    <w:sdtPr>
                      <w:alias w:val="Numeris"/>
                      <w:tag w:val="nr_5d6e94e406f240cca1bd5b1c05552d16"/>
                      <w:lock w:val="sdtLocked"/>
                      <w:richText/>
                    </w:sdtPr>
                    <w:sdtContent>
                      <w:r>
                        <w:rPr>
                          <w:b/>
                          <w:szCs w:val="24"/>
                          <w:lang w:eastAsia="ar-SA"/>
                        </w:rPr>
                        <w:t>3</w:t>
                      </w:r>
                    </w:sdtContent>
                  </w:sdt>
                  <w:r>
                    <w:rPr>
                      <w:b/>
                      <w:szCs w:val="24"/>
                      <w:lang w:eastAsia="ar-SA"/>
                    </w:rPr>
                    <w:t>.</w:t>
                    <w:tab/>
                    <w:t>Kaip šiuo metu yra reguliuojami sprendimo projekte aptarti teisiniai santykiai.</w:t>
                  </w:r>
                </w:p>
                <w:p>
                  <w:pPr>
                    <w:spacing w:line="300" w:lineRule="exact"/>
                    <w:ind w:firstLine="720"/>
                    <w:jc w:val="both"/>
                    <w:rPr>
                      <w:szCs w:val="24"/>
                      <w:lang w:eastAsia="lt-LT"/>
                    </w:rPr>
                  </w:pPr>
                  <w:r>
                    <w:rPr>
                      <w:szCs w:val="24"/>
                      <w:lang w:eastAsia="lt-LT"/>
                    </w:rPr>
                    <w:t xml:space="preserve">Savivaldybės taryba, vadovaudamasi </w:t>
                  </w:r>
                  <w:hyperlink r:id="rId4" w:history="1">
                    <w:r>
                      <w:rPr>
                        <w:rFonts w:eastAsia="Calibri"/>
                        <w:szCs w:val="24"/>
                        <w:lang w:eastAsia="lt-LT"/>
                      </w:rPr>
                      <w:t>LR Vietos savivaldos įstatymo</w:t>
                    </w:r>
                  </w:hyperlink>
                  <w:r>
                    <w:rPr>
                      <w:szCs w:val="24"/>
                      <w:lang w:eastAsia="lt-LT"/>
                    </w:rPr>
                    <w:t xml:space="preserve"> </w:t>
                  </w:r>
                  <w:r>
                    <w:rPr>
                      <w:spacing w:val="-4"/>
                      <w:szCs w:val="24"/>
                      <w:lang w:eastAsia="lt-LT"/>
                    </w:rPr>
                    <w:t>15 straipsnio 2 dalies 19 punktu</w:t>
                  </w:r>
                  <w:r>
                    <w:rPr>
                      <w:szCs w:val="24"/>
                      <w:lang w:eastAsia="lt-LT"/>
                    </w:rPr>
                    <w:t>, įgyvendina Savivaldybei nuosavybės teise priklausančio turto savininko funkcijas ir, vadovaudamasi teisės aktais, ir priima sprendimus dėl disponavimo šiuo turtu.</w:t>
                  </w:r>
                </w:p>
                <w:p>
                  <w:pPr>
                    <w:spacing w:line="300" w:lineRule="exact"/>
                    <w:ind w:firstLine="720"/>
                    <w:jc w:val="both"/>
                    <w:rPr>
                      <w:szCs w:val="24"/>
                      <w:lang w:eastAsia="lt-LT"/>
                    </w:rPr>
                  </w:pPr>
                  <w:r>
                    <w:rPr>
                      <w:szCs w:val="24"/>
                      <w:lang w:eastAsia="lt-LT"/>
                    </w:rPr>
                    <w:t>LR Valstybės ir savivaldybių turto valdymo, naudojimo ir disponavimo juo įstatymo:</w:t>
                  </w:r>
                </w:p>
              </w:sdtContent>
            </w:sdt>
            <w:sdt>
              <w:sdtPr>
                <w:alias w:val="1 p."/>
                <w:tag w:val="part_8531e1275f534075b1816ca3769ae88a"/>
                <w:lock w:val="sdtLocked"/>
                <w:richText/>
              </w:sdtPr>
              <w:sdtContent>
                <w:p>
                  <w:pPr>
                    <w:spacing w:line="300" w:lineRule="exact"/>
                    <w:ind w:firstLine="720"/>
                    <w:jc w:val="both"/>
                    <w:rPr>
                      <w:rFonts w:eastAsia="Arial Unicode MS"/>
                      <w:szCs w:val="24"/>
                    </w:rPr>
                  </w:pPr>
                  <w:sdt>
                    <w:sdtPr>
                      <w:alias w:val="Numeris"/>
                      <w:tag w:val="nr_8531e1275f534075b1816ca3769ae88a"/>
                      <w:lock w:val="sdtLocked"/>
                      <w:richText/>
                    </w:sdtPr>
                    <w:sdtContent>
                      <w:r>
                        <w:rPr>
                          <w:rFonts w:eastAsia="Arial Unicode MS"/>
                          <w:szCs w:val="24"/>
                        </w:rPr>
                        <w:t>1</w:t>
                      </w:r>
                    </w:sdtContent>
                  </w:sdt>
                  <w:r>
                    <w:rPr>
                      <w:rFonts w:eastAsia="Arial Unicode MS"/>
                      <w:szCs w:val="24"/>
                    </w:rPr>
                    <w:t xml:space="preserve">. 27 straipsnio 2 dalyje nustatyta, kad jeigu nereikalingo arba netinkamo (negalimo) naudoti  savivaldybių ilgalaikio materialiojo turto negalima panaudoti nė vienu iš šio straipsnio 1 dalies 1–7 punktuose nurodytų būdų (perduodant patikėjimo teise arba pagal panaudos sutartį; investuojant; parduodant viešuose aukcionuose; perduodant valstybės ar kitų savivaldybių nuosavybėn), jis turi būti nurašomas ir išardomas, o liekamosios medžiagos įtraukiamos į apskaitą. Likusį turtą, taip pat turtą, kurio išardymo išlaidos viršija laukiamą liekamųjų medžiagų vertę, galima likviduoti pašalinus kenksmingumą, jeigu reikia;</w:t>
                  </w:r>
                </w:p>
              </w:sdtContent>
            </w:sdt>
            <w:sdt>
              <w:sdtPr>
                <w:alias w:val="2 p."/>
                <w:tag w:val="part_78cad239e901470e98d2d87acab0f1d3"/>
                <w:lock w:val="sdtLocked"/>
                <w:richText/>
              </w:sdtPr>
              <w:sdtContent>
                <w:p>
                  <w:pPr>
                    <w:spacing w:line="300" w:lineRule="exact"/>
                    <w:ind w:firstLine="720"/>
                    <w:jc w:val="both"/>
                    <w:rPr>
                      <w:rFonts w:eastAsia="Arial Unicode MS"/>
                      <w:szCs w:val="24"/>
                    </w:rPr>
                  </w:pPr>
                  <w:sdt>
                    <w:sdtPr>
                      <w:alias w:val="Numeris"/>
                      <w:tag w:val="nr_78cad239e901470e98d2d87acab0f1d3"/>
                      <w:lock w:val="sdtLocked"/>
                      <w:richText/>
                    </w:sdtPr>
                    <w:sdtContent>
                      <w:r>
                        <w:rPr>
                          <w:rFonts w:eastAsia="Arial Unicode MS"/>
                          <w:szCs w:val="24"/>
                        </w:rPr>
                        <w:t>2</w:t>
                      </w:r>
                    </w:sdtContent>
                  </w:sdt>
                  <w:r>
                    <w:rPr>
                      <w:rFonts w:eastAsia="Arial Unicode MS"/>
                      <w:szCs w:val="24"/>
                    </w:rPr>
                    <w:t>. 27 straipsnio 6 dalyje nustatyta, kad savivaldybių turtas, pripažinus jį nereikalingu arba netinkamu (negalimu) naudoti, nurašomas, išardomas ir likviduojamas Vyriausybės nustatyta tvarka.</w:t>
                  </w:r>
                </w:p>
                <w:p>
                  <w:pPr>
                    <w:suppressAutoHyphens/>
                    <w:spacing w:line="300" w:lineRule="exact"/>
                    <w:ind w:firstLine="720"/>
                    <w:jc w:val="both"/>
                    <w:rPr>
                      <w:szCs w:val="24"/>
                      <w:lang w:eastAsia="ar-SA"/>
                    </w:rPr>
                  </w:pPr>
                  <w:r>
                    <w:rPr>
                      <w:szCs w:val="24"/>
                      <w:lang w:eastAsia="ar-SA"/>
                    </w:rPr>
                    <w:t>LR Vyriausybės 2001-10-19 nutarimu Nr. 1250 patvirtinto Pripažinto nereikalingu arba netinkamu (negalimu) naudoti valstybės ir savivaldybių turto nurašymo, išardymo ir likvidavimo tvarkos aprašo:</w:t>
                  </w:r>
                </w:p>
              </w:sdtContent>
            </w:sdt>
            <w:sdt>
              <w:sdtPr>
                <w:alias w:val="1 p."/>
                <w:tag w:val="part_832520df8f1d44259020224a4a638af8"/>
                <w:lock w:val="sdtLocked"/>
                <w:richText/>
              </w:sdtPr>
              <w:sdtContent>
                <w:p>
                  <w:pPr>
                    <w:tabs>
                      <w:tab w:val="left" w:pos="993"/>
                    </w:tabs>
                    <w:suppressAutoHyphens/>
                    <w:spacing w:line="300" w:lineRule="exact"/>
                    <w:ind w:firstLine="720"/>
                    <w:jc w:val="both"/>
                    <w:rPr>
                      <w:szCs w:val="24"/>
                      <w:lang w:eastAsia="ar-SA"/>
                    </w:rPr>
                  </w:pPr>
                  <w:sdt>
                    <w:sdtPr>
                      <w:alias w:val="Numeris"/>
                      <w:tag w:val="nr_832520df8f1d44259020224a4a638af8"/>
                      <w:lock w:val="sdtLocked"/>
                      <w:richText/>
                    </w:sdtPr>
                    <w:sdtContent>
                      <w:r>
                        <w:rPr>
                          <w:szCs w:val="24"/>
                          <w:lang w:eastAsia="ar-SA"/>
                        </w:rPr>
                        <w:t>1</w:t>
                      </w:r>
                    </w:sdtContent>
                  </w:sdt>
                  <w:r>
                    <w:rPr>
                      <w:szCs w:val="24"/>
                      <w:lang w:eastAsia="ar-SA"/>
                    </w:rPr>
                    <w:t xml:space="preserve">.  9.4 papunktyje nustatyta, kad pripažintas nereikalingu arba netinkamu (negalimu) naudoti savivaldybės nekilnojamasis turtas nurašomas, kai jis neparduotinas nelikus kur jį pritaikyti arba neparduotinas dėl fizinio ir funkcinio (technologinio) jų nusidėvėjimo;</w:t>
                  </w:r>
                </w:p>
              </w:sdtContent>
            </w:sdt>
            <w:sdt>
              <w:sdtPr>
                <w:alias w:val="2 p."/>
                <w:tag w:val="part_fc6f1a4252bf47ea93daaeb7774473d7"/>
                <w:lock w:val="sdtLocked"/>
                <w:richText/>
              </w:sdtPr>
              <w:sdtContent>
                <w:p>
                  <w:pPr>
                    <w:tabs>
                      <w:tab w:val="left" w:pos="993"/>
                    </w:tabs>
                    <w:suppressAutoHyphens/>
                    <w:spacing w:line="300" w:lineRule="exact"/>
                    <w:ind w:firstLine="720"/>
                    <w:jc w:val="both"/>
                    <w:rPr>
                      <w:szCs w:val="24"/>
                      <w:lang w:eastAsia="ar-SA"/>
                    </w:rPr>
                  </w:pPr>
                  <w:sdt>
                    <w:sdtPr>
                      <w:alias w:val="Numeris"/>
                      <w:tag w:val="nr_fc6f1a4252bf47ea93daaeb7774473d7"/>
                      <w:lock w:val="sdtLocked"/>
                      <w:richText/>
                    </w:sdtPr>
                    <w:sdtContent>
                      <w:r>
                        <w:rPr>
                          <w:szCs w:val="24"/>
                          <w:lang w:eastAsia="ar-SA"/>
                        </w:rPr>
                        <w:t>2</w:t>
                      </w:r>
                    </w:sdtContent>
                  </w:sdt>
                  <w:r>
                    <w:rPr>
                      <w:szCs w:val="24"/>
                      <w:lang w:eastAsia="ar-SA"/>
                    </w:rPr>
                    <w:t xml:space="preserve">. </w:t>
                    <w:tab/>
                    <w:t xml:space="preserve">13.1.1 papunktyje nustatyta, kad sprendimus </w:t>
                  </w:r>
                  <w:r>
                    <w:rPr>
                      <w:bCs/>
                      <w:szCs w:val="24"/>
                      <w:lang w:eastAsia="ar-SA"/>
                    </w:rPr>
                    <w:t>dėl pripažinto nereikalingu arba netinkamu naudoti Savivaldybės</w:t>
                  </w:r>
                  <w:r>
                    <w:rPr>
                      <w:szCs w:val="24"/>
                      <w:lang w:eastAsia="ar-SA"/>
                    </w:rPr>
                    <w:t xml:space="preserve"> nekilnojamojo turto tolimesnio panaudojimo priima Savivaldybės taryba.</w:t>
                  </w:r>
                </w:p>
                <w:p>
                  <w:pPr>
                    <w:tabs>
                      <w:tab w:val="left" w:pos="993"/>
                    </w:tabs>
                    <w:suppressAutoHyphens/>
                    <w:spacing w:line="300" w:lineRule="exact"/>
                    <w:ind w:firstLine="720"/>
                    <w:jc w:val="both"/>
                    <w:rPr>
                      <w:szCs w:val="24"/>
                      <w:lang w:eastAsia="ar-SA"/>
                    </w:rPr>
                  </w:pPr>
                  <w:r>
                    <w:rPr>
                      <w:szCs w:val="24"/>
                      <w:lang w:eastAsia="ar-SA"/>
                    </w:rPr>
                    <w:t>LR Vyriausybės 2004-05-26 nutarimu Nr. 634 patvirtintų Bešeimininkio, konfiskuoto, valstybės paveldėto, valstybei perduoto turto, daiktinių įrodymų, lobių ir radinių perdavimo, apskaitymo, saugojimo, realizavimo, grąžinimo ir pripažinimo atliekomis taisyklių 35 punkte nustatyta, kad nerealizuotini statiniai Nekilnojamojo turto registre neregistruojami.</w:t>
                  </w:r>
                </w:p>
              </w:sdtContent>
            </w:sdt>
            <w:sdt>
              <w:sdtPr>
                <w:alias w:val="4 p."/>
                <w:tag w:val="part_ca0e2b3691c34c5aa5673f27ec9d727e"/>
                <w:lock w:val="sdtLocked"/>
                <w:richText/>
              </w:sdtPr>
              <w:sdtContent>
                <w:p>
                  <w:pPr>
                    <w:tabs>
                      <w:tab w:val="left" w:pos="1077"/>
                    </w:tabs>
                    <w:spacing w:line="300" w:lineRule="exact"/>
                    <w:ind w:firstLine="720"/>
                    <w:jc w:val="both"/>
                    <w:rPr>
                      <w:b/>
                      <w:szCs w:val="24"/>
                      <w:lang w:eastAsia="ar-SA"/>
                    </w:rPr>
                  </w:pPr>
                  <w:sdt>
                    <w:sdtPr>
                      <w:alias w:val="Numeris"/>
                      <w:tag w:val="nr_ca0e2b3691c34c5aa5673f27ec9d727e"/>
                      <w:lock w:val="sdtLocked"/>
                      <w:richText/>
                    </w:sdtPr>
                    <w:sdtContent>
                      <w:r>
                        <w:rPr>
                          <w:b/>
                          <w:szCs w:val="24"/>
                          <w:lang w:eastAsia="ar-SA"/>
                        </w:rPr>
                        <w:t>4</w:t>
                      </w:r>
                    </w:sdtContent>
                  </w:sdt>
                  <w:r>
                    <w:rPr>
                      <w:b/>
                      <w:szCs w:val="24"/>
                      <w:lang w:eastAsia="ar-SA"/>
                    </w:rPr>
                    <w:t>.</w:t>
                    <w:tab/>
                    <w:t xml:space="preserve">Kokios siūlomos naujos teisinio reguliavimo nuostatos, kokių teigiamų rezultatų laukiama. </w:t>
                  </w:r>
                </w:p>
                <w:p>
                  <w:pPr>
                    <w:suppressAutoHyphens/>
                    <w:spacing w:line="300" w:lineRule="exact"/>
                    <w:ind w:firstLine="720"/>
                    <w:jc w:val="both"/>
                    <w:rPr>
                      <w:szCs w:val="24"/>
                      <w:lang w:eastAsia="ar-SA"/>
                    </w:rPr>
                  </w:pPr>
                  <w:r>
                    <w:rPr>
                      <w:szCs w:val="24"/>
                      <w:lang w:eastAsia="ar-SA"/>
                    </w:rPr>
                    <w:t>Bus likviduotas ir nurašytas netinkamu naudoti pripažintas nekilnojamas turtas – teismo sprendimu bešeimininke pripažinta ir Savivaldybės nuosavybėn perduota fiziškai nusidėvėjusi Vėriškių k. mazuto saugykla.</w:t>
                  </w:r>
                </w:p>
              </w:sdtContent>
            </w:sdt>
            <w:sdt>
              <w:sdtPr>
                <w:alias w:val="5 p."/>
                <w:tag w:val="part_601023e234a64c9185fa9d00c97eb53e"/>
                <w:lock w:val="sdtLocked"/>
                <w:richText/>
              </w:sdtPr>
              <w:sdtContent>
                <w:p>
                  <w:pPr>
                    <w:tabs>
                      <w:tab w:val="left" w:pos="1077"/>
                    </w:tabs>
                    <w:spacing w:line="300" w:lineRule="exact"/>
                    <w:ind w:firstLine="720"/>
                    <w:jc w:val="both"/>
                    <w:rPr>
                      <w:b/>
                      <w:szCs w:val="24"/>
                      <w:lang w:eastAsia="ar-SA"/>
                    </w:rPr>
                  </w:pPr>
                  <w:sdt>
                    <w:sdtPr>
                      <w:alias w:val="Numeris"/>
                      <w:tag w:val="nr_601023e234a64c9185fa9d00c97eb53e"/>
                      <w:lock w:val="sdtLocked"/>
                      <w:richText/>
                    </w:sdtPr>
                    <w:sdtContent>
                      <w:r>
                        <w:rPr>
                          <w:b/>
                          <w:szCs w:val="24"/>
                          <w:lang w:eastAsia="ar-SA"/>
                        </w:rPr>
                        <w:t>5</w:t>
                      </w:r>
                    </w:sdtContent>
                  </w:sdt>
                  <w:r>
                    <w:rPr>
                      <w:b/>
                      <w:szCs w:val="24"/>
                      <w:lang w:eastAsia="ar-SA"/>
                    </w:rPr>
                    <w:t>.</w:t>
                    <w:tab/>
                    <w:t>Galimos neigiamos priimto sprendimo projekto pasekmės ir kokių priemonių reikėtų imtis, kad tokių pasekmių būtų išvengta.</w:t>
                  </w:r>
                </w:p>
                <w:p>
                  <w:pPr>
                    <w:suppressAutoHyphens/>
                    <w:spacing w:line="300" w:lineRule="exact"/>
                    <w:ind w:firstLine="720"/>
                    <w:jc w:val="both"/>
                    <w:rPr>
                      <w:szCs w:val="24"/>
                      <w:lang w:eastAsia="ar-SA"/>
                    </w:rPr>
                  </w:pPr>
                  <w:r>
                    <w:rPr>
                      <w:szCs w:val="24"/>
                      <w:lang w:eastAsia="ar-SA"/>
                    </w:rPr>
                    <w:t>Priėmus sprendimo projektą, neigiamų pasekmių nenumatoma.</w:t>
                  </w:r>
                </w:p>
              </w:sdtContent>
            </w:sdt>
            <w:sdt>
              <w:sdtPr>
                <w:alias w:val="6 p."/>
                <w:tag w:val="part_72193773d0754867a78352a6ecb507ed"/>
                <w:lock w:val="sdtLocked"/>
                <w:richText/>
              </w:sdtPr>
              <w:sdtContent>
                <w:p>
                  <w:pPr>
                    <w:tabs>
                      <w:tab w:val="left" w:pos="1077"/>
                    </w:tabs>
                    <w:spacing w:line="300" w:lineRule="exact"/>
                    <w:ind w:firstLine="720"/>
                    <w:jc w:val="both"/>
                    <w:rPr>
                      <w:b/>
                      <w:szCs w:val="24"/>
                      <w:lang w:eastAsia="ar-SA"/>
                    </w:rPr>
                  </w:pPr>
                  <w:sdt>
                    <w:sdtPr>
                      <w:alias w:val="Numeris"/>
                      <w:tag w:val="nr_72193773d0754867a78352a6ecb507ed"/>
                      <w:lock w:val="sdtLocked"/>
                      <w:richText/>
                    </w:sdtPr>
                    <w:sdtContent>
                      <w:r>
                        <w:rPr>
                          <w:b/>
                          <w:szCs w:val="24"/>
                          <w:lang w:eastAsia="ar-SA"/>
                        </w:rPr>
                        <w:t>6</w:t>
                      </w:r>
                    </w:sdtContent>
                  </w:sdt>
                  <w:r>
                    <w:rPr>
                      <w:b/>
                      <w:szCs w:val="24"/>
                      <w:lang w:eastAsia="ar-SA"/>
                    </w:rPr>
                    <w:t>.</w:t>
                    <w:tab/>
                    <w:t>Kokius teisės aktus būtina priimti, kokius galiojančius teisės aktus būtina pakeisti ar pripažinti netekusiais galios priėmus sprendimo projektą.</w:t>
                  </w:r>
                </w:p>
                <w:p>
                  <w:pPr>
                    <w:suppressAutoHyphens/>
                    <w:spacing w:line="300" w:lineRule="exact"/>
                    <w:ind w:firstLine="720"/>
                    <w:jc w:val="both"/>
                    <w:rPr>
                      <w:szCs w:val="24"/>
                      <w:lang w:eastAsia="ar-SA"/>
                    </w:rPr>
                  </w:pPr>
                  <w:r>
                    <w:rPr>
                      <w:szCs w:val="24"/>
                      <w:lang w:eastAsia="ar-SA"/>
                    </w:rPr>
                    <w:t>Priėmus sprendimą galiojančių teisės aktų keisti nereikės.</w:t>
                  </w:r>
                </w:p>
              </w:sdtContent>
            </w:sdt>
            <w:sdt>
              <w:sdtPr>
                <w:alias w:val="7 p."/>
                <w:tag w:val="part_2fbd99206d974ecfa0d49fe324627bfa"/>
                <w:lock w:val="sdtLocked"/>
                <w:richText/>
              </w:sdtPr>
              <w:sdtContent>
                <w:p>
                  <w:pPr>
                    <w:tabs>
                      <w:tab w:val="left" w:pos="1077"/>
                    </w:tabs>
                    <w:spacing w:line="300" w:lineRule="exact"/>
                    <w:ind w:firstLine="720"/>
                    <w:jc w:val="both"/>
                    <w:rPr>
                      <w:b/>
                      <w:szCs w:val="24"/>
                      <w:lang w:eastAsia="ar-SA"/>
                    </w:rPr>
                  </w:pPr>
                  <w:sdt>
                    <w:sdtPr>
                      <w:alias w:val="Numeris"/>
                      <w:tag w:val="nr_2fbd99206d974ecfa0d49fe324627bfa"/>
                      <w:lock w:val="sdtLocked"/>
                      <w:richText/>
                    </w:sdtPr>
                    <w:sdtContent>
                      <w:r>
                        <w:rPr>
                          <w:b/>
                          <w:szCs w:val="24"/>
                          <w:lang w:eastAsia="ar-SA"/>
                        </w:rPr>
                        <w:t>7</w:t>
                      </w:r>
                    </w:sdtContent>
                  </w:sdt>
                  <w:r>
                    <w:rPr>
                      <w:b/>
                      <w:szCs w:val="24"/>
                      <w:lang w:eastAsia="ar-SA"/>
                    </w:rPr>
                    <w:t>.</w:t>
                    <w:tab/>
                    <w:t xml:space="preserve">Sprendimo projektui įgyvendinti reikalingos lėšos, finansavimo šaltiniai. </w:t>
                  </w:r>
                </w:p>
                <w:p>
                  <w:pPr>
                    <w:suppressAutoHyphens/>
                    <w:spacing w:line="300" w:lineRule="exact"/>
                    <w:ind w:firstLine="720"/>
                    <w:jc w:val="both"/>
                    <w:rPr>
                      <w:szCs w:val="24"/>
                      <w:lang w:eastAsia="ar-SA"/>
                    </w:rPr>
                  </w:pPr>
                  <w:r>
                    <w:rPr>
                      <w:szCs w:val="24"/>
                      <w:lang w:eastAsia="ar-SA"/>
                    </w:rPr>
                    <w:t>Savivaldybės biudžeto lėšų (apie 20 tūkst. eurų) reikės mazuto utilizavimui, statinio nugriovimui ir teritorijos sutvarkymui.</w:t>
                  </w:r>
                </w:p>
              </w:sdtContent>
            </w:sdt>
            <w:sdt>
              <w:sdtPr>
                <w:alias w:val="8 p."/>
                <w:tag w:val="part_74b5772c3bdd4182bfe6be79f205b110"/>
                <w:lock w:val="sdtLocked"/>
                <w:richText/>
              </w:sdtPr>
              <w:sdtContent>
                <w:p>
                  <w:pPr>
                    <w:tabs>
                      <w:tab w:val="left" w:pos="1077"/>
                    </w:tabs>
                    <w:spacing w:line="300" w:lineRule="exact"/>
                    <w:ind w:firstLine="720"/>
                    <w:jc w:val="both"/>
                    <w:rPr>
                      <w:b/>
                      <w:szCs w:val="24"/>
                      <w:lang w:eastAsia="ar-SA"/>
                    </w:rPr>
                  </w:pPr>
                  <w:sdt>
                    <w:sdtPr>
                      <w:alias w:val="Numeris"/>
                      <w:tag w:val="nr_74b5772c3bdd4182bfe6be79f205b110"/>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00" w:lineRule="exact"/>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 xml:space="preserve">suderintas su </w:t>
                  </w:r>
                  <w:r>
                    <w:rPr>
                      <w:szCs w:val="24"/>
                      <w:lang w:eastAsia="ar-SA"/>
                    </w:rPr>
                    <w:t>Radviliškio rajono savivaldybės administracijos direktoriumi,</w:t>
                  </w:r>
                  <w:r>
                    <w:rPr>
                      <w:bCs/>
                      <w:szCs w:val="24"/>
                      <w:lang w:eastAsia="ar-SA"/>
                    </w:rPr>
                    <w:t xml:space="preserve"> juristu, kalbininku, </w:t>
                  </w:r>
                  <w:r>
                    <w:rPr>
                      <w:szCs w:val="24"/>
                      <w:lang w:eastAsia="ar-SA"/>
                    </w:rPr>
                    <w:t>Investicijų ir turto valdymo skyriaus vedėju, Statybos ir viešosios tvarkos skyriaus vedėju</w:t>
                  </w:r>
                  <w:r>
                    <w:rPr>
                      <w:bCs/>
                      <w:szCs w:val="24"/>
                      <w:lang w:eastAsia="ar-SA"/>
                    </w:rPr>
                    <w:t>.</w:t>
                  </w:r>
                </w:p>
              </w:sdtContent>
            </w:sdt>
            <w:sdt>
              <w:sdtPr>
                <w:alias w:val="9 p."/>
                <w:tag w:val="part_b07e01e008c8485f89dbac3d3646933e"/>
                <w:lock w:val="sdtLocked"/>
                <w:richText/>
              </w:sdtPr>
              <w:sdtContent>
                <w:p>
                  <w:pPr>
                    <w:tabs>
                      <w:tab w:val="left" w:pos="1077"/>
                    </w:tabs>
                    <w:spacing w:line="300" w:lineRule="exact"/>
                    <w:ind w:firstLine="720"/>
                    <w:jc w:val="both"/>
                    <w:rPr>
                      <w:b/>
                      <w:szCs w:val="24"/>
                      <w:lang w:eastAsia="ar-SA"/>
                    </w:rPr>
                  </w:pPr>
                  <w:sdt>
                    <w:sdtPr>
                      <w:alias w:val="Numeris"/>
                      <w:tag w:val="nr_b07e01e008c8485f89dbac3d3646933e"/>
                      <w:lock w:val="sdtLocked"/>
                      <w:richText/>
                    </w:sdtPr>
                    <w:sdtContent>
                      <w:r>
                        <w:rPr>
                          <w:b/>
                          <w:szCs w:val="24"/>
                          <w:lang w:eastAsia="ar-SA"/>
                        </w:rPr>
                        <w:t>9</w:t>
                      </w:r>
                    </w:sdtContent>
                  </w:sdt>
                  <w:r>
                    <w:rPr>
                      <w:b/>
                      <w:szCs w:val="24"/>
                      <w:lang w:eastAsia="ar-SA"/>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00" w:lineRule="exact"/>
                    <w:ind w:firstLine="709"/>
                    <w:jc w:val="both"/>
                    <w:rPr>
                      <w:bCs/>
                      <w:szCs w:val="24"/>
                      <w:lang w:eastAsia="ar-SA"/>
                    </w:rPr>
                  </w:pPr>
                  <w:r>
                    <w:rPr>
                      <w:bCs/>
                      <w:szCs w:val="24"/>
                      <w:lang w:eastAsia="ar-SA"/>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16554524a40142518698f2c3fecde5ae"/>
                <w:lock w:val="sdtLocked"/>
                <w:richText/>
              </w:sdtPr>
              <w:sdtContent>
                <w:p>
                  <w:pPr>
                    <w:tabs>
                      <w:tab w:val="left" w:pos="1077"/>
                    </w:tabs>
                    <w:spacing w:line="300" w:lineRule="exact"/>
                    <w:ind w:firstLine="720"/>
                    <w:jc w:val="both"/>
                    <w:rPr>
                      <w:b/>
                      <w:szCs w:val="24"/>
                      <w:lang w:eastAsia="ar-SA"/>
                    </w:rPr>
                  </w:pPr>
                  <w:sdt>
                    <w:sdtPr>
                      <w:alias w:val="Numeris"/>
                      <w:tag w:val="nr_16554524a40142518698f2c3fecde5ae"/>
                      <w:lock w:val="sdtLocked"/>
                      <w:richText/>
                    </w:sdtPr>
                    <w:sdtContent>
                      <w:r>
                        <w:rPr>
                          <w:b/>
                          <w:szCs w:val="24"/>
                          <w:lang w:eastAsia="ar-SA"/>
                        </w:rPr>
                        <w:t>10</w:t>
                      </w:r>
                    </w:sdtContent>
                  </w:sdt>
                  <w:r>
                    <w:rPr>
                      <w:b/>
                      <w:szCs w:val="24"/>
                      <w:lang w:eastAsia="ar-SA"/>
                    </w:rPr>
                    <w:t>.</w:t>
                    <w:tab/>
                    <w:t>Sprendimo projekto antikorupcinis vertinimas.</w:t>
                  </w:r>
                </w:p>
                <w:p>
                  <w:pPr>
                    <w:tabs>
                      <w:tab w:val="left" w:pos="1134"/>
                    </w:tabs>
                    <w:suppressAutoHyphens/>
                    <w:spacing w:line="300" w:lineRule="exact"/>
                    <w:ind w:firstLine="709"/>
                    <w:rPr>
                      <w:rFonts w:eastAsia="Calibri"/>
                      <w:szCs w:val="24"/>
                      <w:lang w:eastAsia="ar-SA"/>
                    </w:rPr>
                  </w:pPr>
                  <w:r>
                    <w:rPr>
                      <w:rFonts w:eastAsia="Calibri"/>
                      <w:szCs w:val="24"/>
                      <w:lang w:eastAsia="ar-SA"/>
                    </w:rPr>
                    <w:t>Teisės akto projektas antikorupciniam vertinimui neteikiamas.</w:t>
                  </w:r>
                </w:p>
              </w:sdtContent>
            </w:sdt>
            <w:sdt>
              <w:sdtPr>
                <w:alias w:val="11 p."/>
                <w:tag w:val="part_2e3cfe2f25f24639909343118cc2a516"/>
                <w:lock w:val="sdtLocked"/>
                <w:richText/>
              </w:sdtPr>
              <w:sdtContent>
                <w:p>
                  <w:pPr>
                    <w:tabs>
                      <w:tab w:val="left" w:pos="1077"/>
                    </w:tabs>
                    <w:spacing w:line="300" w:lineRule="exact"/>
                    <w:ind w:firstLine="720"/>
                    <w:jc w:val="both"/>
                    <w:rPr>
                      <w:b/>
                      <w:szCs w:val="24"/>
                      <w:lang w:eastAsia="ar-SA"/>
                    </w:rPr>
                  </w:pPr>
                  <w:sdt>
                    <w:sdtPr>
                      <w:alias w:val="Numeris"/>
                      <w:tag w:val="nr_2e3cfe2f25f24639909343118cc2a516"/>
                      <w:lock w:val="sdtLocked"/>
                      <w:richText/>
                    </w:sdtPr>
                    <w:sdtContent>
                      <w:r>
                        <w:rPr>
                          <w:b/>
                          <w:szCs w:val="24"/>
                          <w:lang w:eastAsia="ar-SA"/>
                        </w:rPr>
                        <w:t>11</w:t>
                      </w:r>
                    </w:sdtContent>
                  </w:sdt>
                  <w:r>
                    <w:rPr>
                      <w:b/>
                      <w:szCs w:val="24"/>
                      <w:lang w:eastAsia="ar-SA"/>
                    </w:rPr>
                    <w:t>.</w:t>
                    <w:tab/>
                    <w:t xml:space="preserve">Kiti, iniciatoriaus nuomone, reikalingi pagrindimai ir paaiškinimai. </w:t>
                  </w:r>
                </w:p>
                <w:p>
                  <w:pPr>
                    <w:tabs>
                      <w:tab w:val="left" w:pos="1134"/>
                    </w:tabs>
                    <w:suppressAutoHyphens/>
                    <w:spacing w:line="300" w:lineRule="exact"/>
                    <w:ind w:firstLine="709"/>
                    <w:rPr>
                      <w:rFonts w:eastAsia="Calibri"/>
                      <w:szCs w:val="24"/>
                      <w:lang w:eastAsia="ar-SA"/>
                    </w:rPr>
                  </w:pPr>
                  <w:r>
                    <w:rPr>
                      <w:rFonts w:eastAsia="Calibri"/>
                      <w:szCs w:val="24"/>
                      <w:lang w:eastAsia="ar-SA"/>
                    </w:rPr>
                    <w:t xml:space="preserve">Papildomų paaiškinimų nėra. </w:t>
                  </w:r>
                </w:p>
              </w:sdtContent>
            </w:sdt>
            <w:sdt>
              <w:sdtPr>
                <w:alias w:val="12 p."/>
                <w:tag w:val="part_e9e421d3c0cc4bc19ca8bae34a1b6271"/>
                <w:lock w:val="sdtLocked"/>
                <w:richText/>
              </w:sdtPr>
              <w:sdtContent>
                <w:p>
                  <w:pPr>
                    <w:tabs>
                      <w:tab w:val="left" w:pos="1077"/>
                    </w:tabs>
                    <w:spacing w:line="300" w:lineRule="exact"/>
                    <w:ind w:firstLine="720"/>
                    <w:jc w:val="both"/>
                    <w:rPr>
                      <w:b/>
                      <w:szCs w:val="24"/>
                      <w:lang w:eastAsia="ar-SA"/>
                    </w:rPr>
                  </w:pPr>
                  <w:sdt>
                    <w:sdtPr>
                      <w:alias w:val="Numeris"/>
                      <w:tag w:val="nr_e9e421d3c0cc4bc19ca8bae34a1b6271"/>
                      <w:lock w:val="sdtLocked"/>
                      <w:richText/>
                    </w:sdtPr>
                    <w:sdtContent>
                      <w:r>
                        <w:rPr>
                          <w:b/>
                          <w:szCs w:val="24"/>
                          <w:lang w:eastAsia="ar-SA"/>
                        </w:rPr>
                        <w:t>12</w:t>
                      </w:r>
                    </w:sdtContent>
                  </w:sdt>
                  <w:r>
                    <w:rPr>
                      <w:b/>
                      <w:szCs w:val="24"/>
                      <w:lang w:eastAsia="ar-SA"/>
                    </w:rPr>
                    <w:t>.</w:t>
                    <w:tab/>
                    <w:t xml:space="preserve">Pridedami dokumentai: </w:t>
                  </w:r>
                </w:p>
              </w:sdtContent>
            </w:sdt>
            <w:sdt>
              <w:sdtPr>
                <w:alias w:val="1 p."/>
                <w:tag w:val="part_ab4805bc49624c33bbf5f0a5f9509822"/>
                <w:lock w:val="sdtLocked"/>
                <w:richText/>
              </w:sdtPr>
              <w:sdtContent>
                <w:p>
                  <w:pPr>
                    <w:tabs>
                      <w:tab w:val="left" w:pos="998"/>
                    </w:tabs>
                    <w:suppressAutoHyphens/>
                    <w:spacing w:line="300" w:lineRule="exact"/>
                    <w:ind w:firstLine="720"/>
                    <w:jc w:val="both"/>
                    <w:rPr>
                      <w:szCs w:val="24"/>
                      <w:lang w:eastAsia="ar-SA"/>
                    </w:rPr>
                  </w:pPr>
                  <w:sdt>
                    <w:sdtPr>
                      <w:alias w:val="Numeris"/>
                      <w:tag w:val="nr_ab4805bc49624c33bbf5f0a5f9509822"/>
                      <w:lock w:val="sdtLocked"/>
                      <w:richText/>
                    </w:sdtPr>
                    <w:sdtContent>
                      <w:r>
                        <w:rPr>
                          <w:spacing w:val="-2"/>
                          <w:szCs w:val="24"/>
                          <w:lang w:eastAsia="ar-SA"/>
                        </w:rPr>
                        <w:t>1</w:t>
                      </w:r>
                    </w:sdtContent>
                  </w:sdt>
                  <w:r>
                    <w:rPr>
                      <w:spacing w:val="-2"/>
                      <w:szCs w:val="24"/>
                      <w:lang w:eastAsia="ar-SA"/>
                    </w:rPr>
                    <w:t xml:space="preserve">. </w:t>
                    <w:tab/>
                    <w:t>S</w:t>
                  </w:r>
                  <w:r>
                    <w:rPr>
                      <w:szCs w:val="24"/>
                      <w:lang w:eastAsia="ar-SA"/>
                    </w:rPr>
                    <w:t>avivaldybės administracijos direktoriaus 2025-04-01 įsakymas Nr. A-158 (8.</w:t>
                  </w:r>
                  <w:r>
                    <w:rPr>
                      <w:spacing w:val="60"/>
                      <w:szCs w:val="24"/>
                      <w:lang w:eastAsia="ar-SA"/>
                    </w:rPr>
                    <w:t>2</w:t>
                  </w:r>
                  <w:r>
                    <w:rPr>
                      <w:szCs w:val="24"/>
                      <w:lang w:eastAsia="ar-SA"/>
                    </w:rPr>
                    <w:t>E) „Dėl negyvenamųjų patalpų pripažinimo nereikalingomis arba netinkamomis (negalimomis) naudoti‘;</w:t>
                  </w:r>
                </w:p>
              </w:sdtContent>
            </w:sdt>
            <w:sdt>
              <w:sdtPr>
                <w:alias w:val="2 p."/>
                <w:tag w:val="part_2e5a9217cee345bbb415d2b76754ecd2"/>
                <w:lock w:val="sdtLocked"/>
                <w:richText/>
              </w:sdtPr>
              <w:sdtContent>
                <w:p>
                  <w:pPr>
                    <w:tabs>
                      <w:tab w:val="left" w:pos="1026"/>
                    </w:tabs>
                    <w:suppressAutoHyphens/>
                    <w:spacing w:line="300" w:lineRule="exact"/>
                    <w:ind w:firstLine="720"/>
                    <w:jc w:val="both"/>
                    <w:rPr>
                      <w:szCs w:val="24"/>
                      <w:lang w:eastAsia="ar-SA"/>
                    </w:rPr>
                  </w:pPr>
                  <w:sdt>
                    <w:sdtPr>
                      <w:alias w:val="Numeris"/>
                      <w:tag w:val="nr_2e5a9217cee345bbb415d2b76754ecd2"/>
                      <w:lock w:val="sdtLocked"/>
                      <w:richText/>
                    </w:sdtPr>
                    <w:sdtContent>
                      <w:r>
                        <w:rPr>
                          <w:szCs w:val="24"/>
                          <w:lang w:eastAsia="ar-SA"/>
                        </w:rPr>
                        <w:t>2</w:t>
                      </w:r>
                    </w:sdtContent>
                  </w:sdt>
                  <w:r>
                    <w:rPr>
                      <w:szCs w:val="24"/>
                      <w:lang w:eastAsia="ar-SA"/>
                    </w:rPr>
                    <w:t>. Nereikalingų arba netinkamų (negalimų) naudoti nekilnojamųjų daiktų (Vėriškių k. mazuto saugyklos) 2025-04-01 apžiūros pažyma Nr. 15-NT su statinio nuotraukomis ir Šiaulių apylinkės teismo 2024-06-19 sprendimu.</w:t>
                  </w:r>
                </w:p>
                <w:p>
                  <w:pPr>
                    <w:suppressAutoHyphens/>
                    <w:spacing w:line="290" w:lineRule="exact"/>
                    <w:ind w:firstLine="720"/>
                    <w:jc w:val="both"/>
                    <w:rPr>
                      <w:b/>
                      <w:bCs/>
                      <w:iCs/>
                      <w:szCs w:val="24"/>
                      <w:lang w:eastAsia="ar-SA"/>
                    </w:rPr>
                  </w:pPr>
                </w:p>
                <w:p>
                  <w:pPr>
                    <w:suppressAutoHyphens/>
                    <w:ind w:firstLine="720"/>
                    <w:jc w:val="both"/>
                    <w:rPr>
                      <w:b/>
                      <w:bCs/>
                      <w:iCs/>
                      <w:szCs w:val="24"/>
                      <w:lang w:eastAsia="ar-SA"/>
                    </w:rPr>
                  </w:pPr>
                </w:p>
                <w:p>
                  <w:pPr>
                    <w:suppressAutoHyphens/>
                    <w:ind w:firstLine="720"/>
                    <w:jc w:val="both"/>
                    <w:rPr>
                      <w:b/>
                      <w:bCs/>
                      <w:iCs/>
                      <w:szCs w:val="24"/>
                      <w:lang w:eastAsia="ar-SA"/>
                    </w:rPr>
                  </w:pPr>
                </w:p>
              </w:sdtContent>
            </w:sdt>
          </w:sdtContent>
        </w:sdt>
        <w:sdt>
          <w:sdtPr>
            <w:alias w:val="signatura"/>
            <w:tag w:val="part_e56efdac20e14e0483385be7751a7afd"/>
            <w:lock w:val="sdtLocked"/>
            <w:richText/>
          </w:sdtPr>
          <w:sdtContent>
            <w:p>
              <w:pPr>
                <w:suppressAutoHyphens/>
                <w:jc w:val="both"/>
                <w:rPr>
                  <w:szCs w:val="24"/>
                  <w:lang w:eastAsia="ar-SA"/>
                </w:rPr>
              </w:pPr>
              <w:r>
                <w:rPr>
                  <w:szCs w:val="24"/>
                  <w:lang w:eastAsia="ar-SA"/>
                </w:rPr>
                <w:t>Investicijų ir turto valdymo skyriaus vyriausioji specialistė</w:t>
                <w:tab/>
                <w:tab/>
                <w:tab/>
                <w:t xml:space="preserve">        Diana Skaburskienė</w:t>
              </w: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C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64085D2-4DCC-4DF0-A5F2-B5FABBE2193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aba36e3a3d4e1aa70958746c584281" PartId="b0e095b17c644f15bd9b85213a407686">
    <Part Type="preambule" DocPartId="9b96b7cc264d44e3a0890af3d093fc4b" PartId="15a223a1e466496dbe7f929b0137938a"/>
    <Part Type="punktas" Nr="1" Abbr="1 p." DocPartId="46dae6a6f9424e328a47fb1a4c586da6" PartId="d122f5b37faa442e8e661e5ce129a7d5"/>
    <Part Type="punktas" Nr="2" Abbr="2 p." DocPartId="8494ba72fa154ab1821e2d13390f8450" PartId="8070d636c1c14fb991ad61db4426ecf9"/>
    <Part Type="punktas" Nr="3" Abbr="3 p." DocPartId="a6f70276db1148418f8320924de565db" PartId="d4d2884ebfd74f2e8894a1db32310559"/>
    <Part Type="skirsnis" Title="RADVILIŠKIO RAJONO SAVIVALDYBĖS TARYBOS 2025-04-24 SPRENDIMO PROJEKTO „DĖL NEKILNOJAMOJO TURTO, PRIPAŽINTO NETINKAMU (NEGALIMU) NAUDOTI, NURAŠYMO BEI LIKVIDAVIMO“ AIŠKINAMASIS RAŠTAS" DocPartId="826e7728875441b3aa9d240608780538" PartId="78f4a36fa21f4d129c8e5f03f2ecde71">
      <Part Type="punktas" Nr="1" Abbr="1 p." DocPartId="4e73ef149a5248a2882172232035800c" PartId="68614f1fe040483aa64b4e40e03321d1"/>
      <Part Type="punktas" Nr="2" Abbr="2 p." DocPartId="d5221487ab074b8da7697ec94473cae7" PartId="a953124922914b6689e9faa5401be3ad"/>
      <Part Type="punktas" Nr="3" Abbr="3 p." DocPartId="579db8ffc60e41b5b92c343dc3c02626" PartId="5d6e94e406f240cca1bd5b1c05552d16"/>
      <Part Type="punktas" Nr="1" Abbr="1 p." Notes="Numeris ne iš eilės. Trūksta dalių? [DocDalys]" DocPartId="4f35ed85062e48ca89660f246c6770f5" PartId="8531e1275f534075b1816ca3769ae88a"/>
      <Part Type="punktas" Nr="2" Abbr="2 p." DocPartId="fe1d3d0cc5394d55afb08bc0805ec3fc" PartId="78cad239e901470e98d2d87acab0f1d3"/>
      <Part Type="punktas" Nr="1" Abbr="1 p." Notes="Numeris ne iš eilės. Trūksta dalių? [DocDalys]" DocPartId="40ae1b9790a04e8ea3df9eecd5963137" PartId="832520df8f1d44259020224a4a638af8"/>
      <Part Type="punktas" Nr="2" Abbr="2 p." DocPartId="95eddfd3edd54a88b8c2ec908eaa1e7f" PartId="fc6f1a4252bf47ea93daaeb7774473d7"/>
      <Part Type="punktas" Nr="4" Abbr="4 p." Notes="Numeris ne iš eilės. Trūksta dalių? [DocDalys]" DocPartId="1f7edbae644049e7a88af72931eb5cd7" PartId="ca0e2b3691c34c5aa5673f27ec9d727e"/>
      <Part Type="punktas" Nr="5" Abbr="5 p." DocPartId="02c2d6f952a2400bbb144eaac92b78bc" PartId="601023e234a64c9185fa9d00c97eb53e"/>
      <Part Type="punktas" Nr="6" Abbr="6 p." DocPartId="e51d79e971b440ddb47edaa25832919c" PartId="72193773d0754867a78352a6ecb507ed"/>
      <Part Type="punktas" Nr="7" Abbr="7 p." DocPartId="47a3a811d2aa4804a891678b68793c99" PartId="2fbd99206d974ecfa0d49fe324627bfa"/>
      <Part Type="punktas" Nr="8" Abbr="8 p." DocPartId="eece78398d074b049886e6ff8b5f10c7" PartId="74b5772c3bdd4182bfe6be79f205b110"/>
      <Part Type="punktas" Nr="9" Abbr="9 p." DocPartId="809d460c6a1f4a8f9e19b5f5564df7ec" PartId="b07e01e008c8485f89dbac3d3646933e"/>
      <Part Type="punktas" Nr="10" Abbr="10 p." DocPartId="46405936f425424d8ddc3af425157105" PartId="16554524a40142518698f2c3fecde5ae"/>
      <Part Type="punktas" Nr="11" Abbr="11 p." DocPartId="844e817945f84c54a3494cdb96687cf8" PartId="2e3cfe2f25f24639909343118cc2a516"/>
      <Part Type="punktas" Nr="12" Abbr="12 p." DocPartId="27a60a19fe6042ada51bf1bffbe016f3" PartId="e9e421d3c0cc4bc19ca8bae34a1b6271"/>
      <Part Type="punktas" Nr="1" Abbr="1 p." Notes="Numeris ne iš eilės. Trūksta dalių? [DocDalys]" DocPartId="aae573e318b8453ab0e7e6ead9326022" PartId="ab4805bc49624c33bbf5f0a5f9509822"/>
      <Part Type="punktas" Nr="2" Abbr="2 p." DocPartId="f71f67b1bab1443f8a5cd09bf99222bd" PartId="2e5a9217cee345bbb415d2b76754ecd2"/>
    </Part>
    <Part Type="signatura" DocPartId="abc5d582a0464519bf8f9199f2b7a35d" PartId="e56efdac20e14e0483385be7751a7afd"/>
  </Part>
</Parts>
</file>

<file path=customXml/itemProps1.xml><?xml version="1.0" encoding="utf-8"?>
<ds:datastoreItem xmlns:ds="http://schemas.openxmlformats.org/officeDocument/2006/customXml" ds:itemID="{834D8F6B-C831-4E15-A6A7-9A39F3CE67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981</Words>
  <Characters>7390</Characters>
  <Application>Microsoft Office Word</Application>
  <DocSecurity>4</DocSecurity>
  <Lines>129</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8314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2025-04-11T09:54:00Z</dcterms:created>
  <dc:creator>Diana Skaburskienė</dc:creator>
  <lastModifiedBy>adlibuser</lastModifiedBy>
  <dcterms:modified xsi:type="dcterms:W3CDTF">2025-04-11T09:54:00Z</dcterms:modified>
  <revision>2</revision>
</coreProperties>
</file>