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d30d100403641499b03275ac90a7c22"/>
        <w:lock w:val="sdtLocked"/>
        <w:richText/>
      </w:sdtPr>
      <w:sdtContent>
        <w:p w14:paraId="5CB13101" w14:textId="77777777">
          <w:pPr>
            <w:suppressAutoHyphens/>
            <w:rPr>
              <w:b/>
              <w:bCs/>
              <w:szCs w:val="24"/>
              <w:lang w:eastAsia="ar-SA"/>
            </w:rPr>
          </w:pPr>
        </w:p>
        <w:p w14:paraId="14B1D1DA" w14:textId="77777777">
          <w:pPr>
            <w:suppressAutoHyphens/>
            <w:jc w:val="center"/>
            <w:rPr>
              <w:b/>
              <w:bCs/>
              <w:szCs w:val="24"/>
              <w:lang w:eastAsia="ar-SA"/>
            </w:rPr>
          </w:pPr>
          <w:r>
            <w:rPr>
              <w:b/>
              <w:bCs/>
              <w:szCs w:val="24"/>
              <w:lang w:eastAsia="ar-SA"/>
            </w:rPr>
            <w:t>ŠIAULIŲ MIESTO SAVIVALDYBĖS TARYBA</w:t>
          </w:r>
        </w:p>
        <w:p w14:paraId="04CC4D8C" w14:textId="77777777">
          <w:pPr>
            <w:suppressAutoHyphens/>
            <w:jc w:val="center"/>
            <w:rPr>
              <w:b/>
              <w:bCs/>
              <w:szCs w:val="24"/>
              <w:lang w:eastAsia="ar-SA"/>
            </w:rPr>
          </w:pPr>
        </w:p>
        <w:p w14:paraId="2CC7B3ED" w14:textId="77777777">
          <w:pPr>
            <w:suppressAutoHyphens/>
            <w:jc w:val="center"/>
            <w:rPr>
              <w:b/>
              <w:bCs/>
              <w:szCs w:val="24"/>
              <w:lang w:eastAsia="ar-SA"/>
            </w:rPr>
          </w:pPr>
          <w:r>
            <w:rPr>
              <w:b/>
              <w:bCs/>
              <w:szCs w:val="24"/>
              <w:lang w:eastAsia="ar-SA"/>
            </w:rPr>
            <w:t>SPRENDIMAS</w:t>
          </w:r>
        </w:p>
        <w:p w14:paraId="044E4A31" w14:textId="77777777">
          <w:pPr>
            <w:suppressAutoHyphens/>
            <w:jc w:val="center"/>
            <w:rPr>
              <w:b/>
              <w:bCs/>
              <w:szCs w:val="24"/>
              <w:lang w:eastAsia="ar-SA"/>
            </w:rPr>
          </w:pPr>
          <w:r>
            <w:rPr>
              <w:b/>
              <w:bCs/>
              <w:szCs w:val="24"/>
              <w:lang w:eastAsia="ar-SA"/>
            </w:rPr>
            <w:t xml:space="preserve">DĖL ŠIAULIŲ MIESTO SAVIVALDYBĖS TARYBOS 2015 M. GRUODŽIO 28 D. SPRENDIMO NR. T-362 „DĖL VIETINĖS RINKLIAVOS UŽ LEIDIMO ĮRENGTI IŠORINĘ REKLAMĄ ŠIAULIŲ MIESTO SAVIVALDYBĖS TERITORIJOJE IŠDAVIMĄ NUOSTATŲ PATVIRTINIMO“ PAKEITIMO </w:t>
          </w:r>
        </w:p>
        <w:p w14:paraId="4A80EB07" w14:textId="77777777">
          <w:pPr>
            <w:suppressAutoHyphens/>
            <w:jc w:val="center"/>
            <w:rPr>
              <w:b/>
              <w:bCs/>
              <w:szCs w:val="24"/>
              <w:lang w:eastAsia="ar-SA"/>
            </w:rPr>
          </w:pPr>
        </w:p>
        <w:p w14:paraId="4EC55258" w14:textId="0E059DDE">
          <w:pPr>
            <w:suppressAutoHyphens/>
            <w:jc w:val="center"/>
            <w:rPr>
              <w:szCs w:val="24"/>
              <w:lang w:eastAsia="ar-SA"/>
            </w:rPr>
          </w:pPr>
          <w:r>
            <w:rPr>
              <w:szCs w:val="24"/>
              <w:lang w:eastAsia="ar-SA"/>
            </w:rPr>
            <w:t xml:space="preserve">2024 m.               d. Nr. T-</w:t>
          </w:r>
        </w:p>
        <w:p w14:paraId="02F4DBE7" w14:textId="77777777">
          <w:pPr>
            <w:suppressAutoHyphens/>
            <w:jc w:val="center"/>
            <w:rPr>
              <w:szCs w:val="24"/>
              <w:lang w:eastAsia="ar-SA"/>
            </w:rPr>
          </w:pPr>
          <w:r>
            <w:rPr>
              <w:szCs w:val="24"/>
              <w:lang w:eastAsia="ar-SA"/>
            </w:rPr>
            <w:t>Šiauliai</w:t>
          </w:r>
        </w:p>
        <w:p w14:paraId="00945999" w14:textId="77777777">
          <w:pPr>
            <w:suppressAutoHyphens/>
            <w:jc w:val="both"/>
            <w:rPr>
              <w:szCs w:val="24"/>
              <w:lang w:eastAsia="ar-SA"/>
            </w:rPr>
          </w:pPr>
        </w:p>
        <w:p w14:paraId="55F1289E" w14:textId="0885FFDB">
          <w:pPr>
            <w:suppressAutoHyphens/>
            <w:ind w:firstLine="1247"/>
            <w:jc w:val="both"/>
            <w:rPr>
              <w:spacing w:val="40"/>
              <w:szCs w:val="24"/>
              <w:lang w:eastAsia="ar-SA"/>
            </w:rPr>
          </w:pPr>
          <w:r>
            <w:rPr>
              <w:szCs w:val="24"/>
              <w:lang w:eastAsia="ar-SA"/>
            </w:rPr>
            <w:t xml:space="preserve">Vadovaudamasi Lietuvos Respublikos vietos savivaldos įstatymo 15 straipsnio 2 dalies 29 punktu, Lietuvos Respublikos reklamos įstatymo 12 straipsnio 7 dalimi, įgyvendindama Šiaulių miesto savivaldybės tarybos 2023 m. lapkričio 9 d. sprendimą Nr. T-436 „Dėl Šiaulių miesto savivaldybės administracijos struktūros patvirtinimo“, Šiaulių miesto savivaldybės taryba </w:t>
          </w:r>
          <w:r>
            <w:rPr>
              <w:spacing w:val="40"/>
              <w:szCs w:val="24"/>
              <w:lang w:eastAsia="ar-SA"/>
            </w:rPr>
            <w:t>nusprendžia:</w:t>
          </w:r>
        </w:p>
        <w:p w14:paraId="2CD135C3" w14:textId="285E4F3D">
          <w:pPr>
            <w:suppressAutoHyphens/>
            <w:ind w:firstLine="1247"/>
            <w:jc w:val="both"/>
            <w:rPr>
              <w:rFonts w:eastAsia="HG Mincho Light J"/>
              <w:szCs w:val="24"/>
              <w:lang w:eastAsia="ar-SA"/>
            </w:rPr>
          </w:pPr>
          <w:r>
            <w:rPr>
              <w:rFonts w:eastAsia="HG Mincho Light J"/>
              <w:szCs w:val="24"/>
              <w:lang w:eastAsia="ar-SA"/>
            </w:rPr>
            <w:t>Pakeisti Vietinės rinkliavos už leidimo įrengti išorinę reklamą Šiaulių miesto savivaldybės teritorijoje išdavimą nuostatus, patvirtintus Šiaulių miesto savivaldybės tarybos 2015 m. gruodžio 28 d. sprendimu Nr. T-362 „Dėl Vietinės rinkliavos už leidimo įrengti išorinę reklamą Šiaulių miesto savivaldybės teritorijoje išdavimą nuostatų patvirtinimo“ (toliau – Nuostatai):</w:t>
          </w:r>
        </w:p>
        <w:sdt>
          <w:sdtPr>
            <w:alias w:val="1 p."/>
            <w:tag w:val="part_b50e42dbb85d4889805aa332b5e2d1e4"/>
            <w:lock w:val="sdtLocked"/>
            <w:richText/>
          </w:sdtPr>
          <w:sdtContent>
            <w:p w14:paraId="2750EDCB" w14:textId="013936FE">
              <w:pPr>
                <w:suppressAutoHyphens/>
                <w:ind w:firstLine="1247"/>
                <w:jc w:val="both"/>
                <w:rPr>
                  <w:rFonts w:eastAsia="HG Mincho Light J"/>
                  <w:szCs w:val="24"/>
                  <w:lang w:eastAsia="ar-SA"/>
                </w:rPr>
              </w:pPr>
              <w:sdt>
                <w:sdtPr>
                  <w:alias w:val="Numeris"/>
                  <w:tag w:val="nr_b50e42dbb85d4889805aa332b5e2d1e4"/>
                  <w:lock w:val="sdtLocked"/>
                  <w:richText/>
                </w:sdtPr>
                <w:sdtContent>
                  <w:r>
                    <w:rPr>
                      <w:rFonts w:eastAsia="HG Mincho Light J"/>
                      <w:szCs w:val="24"/>
                      <w:lang w:eastAsia="ar-SA"/>
                    </w:rPr>
                    <w:t>1</w:t>
                  </w:r>
                </w:sdtContent>
              </w:sdt>
              <w:r>
                <w:rPr>
                  <w:rFonts w:eastAsia="HG Mincho Light J"/>
                  <w:szCs w:val="24"/>
                  <w:lang w:eastAsia="ar-SA"/>
                </w:rPr>
                <w:t>. Pakeisti 4.4 papunktį ir jį išdėstyti taip:</w:t>
              </w:r>
            </w:p>
            <w:sdt>
              <w:sdtPr>
                <w:alias w:val="citata"/>
                <w:tag w:val="part_40f15c57324f480fb77ea29c46c92928"/>
                <w:lock w:val="sdtLocked"/>
                <w:richText/>
              </w:sdtPr>
              <w:sdtContent>
                <w:sdt>
                  <w:sdtPr>
                    <w:alias w:val="4.4 pp."/>
                    <w:tag w:val="part_ce48cf93bfc44b1186789098f776441b"/>
                    <w:lock w:val="sdtLocked"/>
                    <w:richText/>
                  </w:sdtPr>
                  <w:sdtContent>
                    <w:p w14:paraId="57BACCF4" w14:textId="7A3DA75D">
                      <w:pPr>
                        <w:suppressAutoHyphens/>
                        <w:ind w:firstLine="1247"/>
                        <w:jc w:val="both"/>
                        <w:rPr>
                          <w:color w:val="000000"/>
                          <w:szCs w:val="24"/>
                          <w:shd w:val="clear" w:color="auto" w:fill="FFFFFF"/>
                          <w:lang w:eastAsia="ar-SA"/>
                        </w:rPr>
                      </w:pPr>
                      <w:r>
                        <w:rPr>
                          <w:rFonts w:eastAsia="HG Mincho Light J"/>
                          <w:szCs w:val="24"/>
                          <w:lang w:eastAsia="ar-SA"/>
                        </w:rPr>
                        <w:t>„</w:t>
                      </w:r>
                      <w:sdt>
                        <w:sdtPr>
                          <w:alias w:val="Numeris"/>
                          <w:tag w:val="nr_ce48cf93bfc44b1186789098f776441b"/>
                          <w:lock w:val="sdtLocked"/>
                          <w:richText/>
                        </w:sdtPr>
                        <w:sdtContent>
                          <w:r>
                            <w:rPr>
                              <w:rFonts w:eastAsia="HG Mincho Light J"/>
                              <w:szCs w:val="24"/>
                              <w:lang w:eastAsia="ar-SA"/>
                            </w:rPr>
                            <w:t>4.4</w:t>
                          </w:r>
                        </w:sdtContent>
                      </w:sdt>
                      <w:r>
                        <w:rPr>
                          <w:rFonts w:eastAsia="HG Mincho Light J"/>
                          <w:szCs w:val="24"/>
                          <w:lang w:eastAsia="ar-SA"/>
                        </w:rPr>
                        <w:t xml:space="preserve">. </w:t>
                      </w:r>
                      <w:r>
                        <w:rPr>
                          <w:bCs/>
                          <w:color w:val="000000"/>
                          <w:szCs w:val="24"/>
                          <w:shd w:val="clear" w:color="auto" w:fill="FFFFFF"/>
                          <w:lang w:eastAsia="ar-SA"/>
                        </w:rPr>
                        <w:t>Leidimas įrengti išorinę reklamą</w:t>
                      </w:r>
                      <w:r>
                        <w:rPr>
                          <w:b/>
                          <w:bCs/>
                          <w:color w:val="000000"/>
                          <w:szCs w:val="24"/>
                          <w:shd w:val="clear" w:color="auto" w:fill="FFFFFF"/>
                          <w:lang w:eastAsia="ar-SA"/>
                        </w:rPr>
                        <w:t> </w:t>
                      </w:r>
                      <w:r>
                        <w:rPr>
                          <w:color w:val="000000"/>
                          <w:szCs w:val="24"/>
                          <w:shd w:val="clear" w:color="auto" w:fill="FFFFFF"/>
                          <w:lang w:eastAsia="ar-SA"/>
                        </w:rPr>
                        <w:t>(toliau – Leidimas) – Savivaldybės mero arba jo atskiru potvarkiu įgaliotos Savivaldybės administracijos išduotas Leidimas, kuris galioja Šiaulių miesto savivaldybės teritorijoje ir kuriame nurodomas Leidimo turėtojo pavadinimas, teisinė forma, kodas, buveinė, išorinės reklamos įrengimo adresas (vieta), Leidimo galiojimo terminas ir kita Savivaldybės mero nustatyta informacija. Leidimų išdavimo tvarka ir forma yra tvirtinama Savivaldybės mero potvarkiu;“.</w:t>
                      </w:r>
                    </w:p>
                  </w:sdtContent>
                </w:sdt>
              </w:sdtContent>
            </w:sdt>
          </w:sdtContent>
        </w:sdt>
        <w:sdt>
          <w:sdtPr>
            <w:alias w:val="2 p."/>
            <w:tag w:val="part_dc3c0b1fb7d14f598ab53b9cbd1e8bdf"/>
            <w:lock w:val="sdtLocked"/>
            <w:richText/>
          </w:sdtPr>
          <w:sdtContent>
            <w:p w14:paraId="77829A61" w14:textId="2A4A8D5A">
              <w:pPr>
                <w:suppressAutoHyphens/>
                <w:ind w:firstLine="1247"/>
                <w:jc w:val="both"/>
                <w:rPr>
                  <w:color w:val="000000"/>
                  <w:szCs w:val="24"/>
                  <w:shd w:val="clear" w:color="auto" w:fill="FFFFFF"/>
                  <w:lang w:eastAsia="ar-SA"/>
                </w:rPr>
              </w:pPr>
              <w:sdt>
                <w:sdtPr>
                  <w:alias w:val="Numeris"/>
                  <w:tag w:val="nr_dc3c0b1fb7d14f598ab53b9cbd1e8bdf"/>
                  <w:lock w:val="sdtLocked"/>
                  <w:richText/>
                </w:sdtPr>
                <w:sdtContent>
                  <w:r>
                    <w:rPr>
                      <w:color w:val="000000"/>
                      <w:szCs w:val="24"/>
                      <w:shd w:val="clear" w:color="auto" w:fill="FFFFFF"/>
                      <w:lang w:eastAsia="ar-SA"/>
                    </w:rPr>
                    <w:t>2</w:t>
                  </w:r>
                </w:sdtContent>
              </w:sdt>
              <w:r>
                <w:rPr>
                  <w:color w:val="000000"/>
                  <w:szCs w:val="24"/>
                  <w:shd w:val="clear" w:color="auto" w:fill="FFFFFF"/>
                  <w:lang w:eastAsia="ar-SA"/>
                </w:rPr>
                <w:t>. Pakeisti 10 punktą ir jį išdėstyti taip:</w:t>
              </w:r>
            </w:p>
            <w:sdt>
              <w:sdtPr>
                <w:alias w:val="citata"/>
                <w:tag w:val="part_7666173fa80e41dc9306f63bdfb54576"/>
                <w:lock w:val="sdtLocked"/>
                <w:richText/>
              </w:sdtPr>
              <w:sdtContent>
                <w:sdt>
                  <w:sdtPr>
                    <w:alias w:val="10 p."/>
                    <w:tag w:val="part_8c71ef6c2fa947808d285c1e7a8d81e1"/>
                    <w:lock w:val="sdtLocked"/>
                    <w:richText/>
                  </w:sdtPr>
                  <w:sdtContent>
                    <w:p w14:paraId="5608D6A0" w14:textId="23444F88">
                      <w:pPr>
                        <w:suppressAutoHyphens/>
                        <w:ind w:firstLine="1247"/>
                        <w:jc w:val="both"/>
                        <w:rPr>
                          <w:color w:val="000000"/>
                          <w:szCs w:val="24"/>
                          <w:shd w:val="clear" w:color="auto" w:fill="FFFFFF"/>
                          <w:lang w:eastAsia="ar-SA"/>
                        </w:rPr>
                      </w:pPr>
                      <w:r>
                        <w:rPr>
                          <w:color w:val="000000"/>
                          <w:szCs w:val="24"/>
                          <w:shd w:val="clear" w:color="auto" w:fill="FFFFFF"/>
                          <w:lang w:eastAsia="ar-SA"/>
                        </w:rPr>
                        <w:t>„</w:t>
                      </w:r>
                      <w:sdt>
                        <w:sdtPr>
                          <w:alias w:val="Numeris"/>
                          <w:tag w:val="nr_8c71ef6c2fa947808d285c1e7a8d81e1"/>
                          <w:lock w:val="sdtLocked"/>
                          <w:richText/>
                        </w:sdtPr>
                        <w:sdtContent>
                          <w:r>
                            <w:rPr>
                              <w:color w:val="000000"/>
                              <w:szCs w:val="24"/>
                              <w:shd w:val="clear" w:color="auto" w:fill="FFFFFF"/>
                              <w:lang w:eastAsia="ar-SA"/>
                            </w:rPr>
                            <w:t>10</w:t>
                          </w:r>
                        </w:sdtContent>
                      </w:sdt>
                      <w:r>
                        <w:rPr>
                          <w:color w:val="000000"/>
                          <w:szCs w:val="24"/>
                          <w:shd w:val="clear" w:color="auto" w:fill="FFFFFF"/>
                          <w:lang w:eastAsia="ar-SA"/>
                        </w:rPr>
                        <w:t>. Savivaldybės merui arba jo atskiru potvarkiu įgaliotai Savivaldybės administracijai per teisės aktuose nustatytą laiką neišdavus pareiškėjui Leidimo ar nepateikus jam motyvuoto rašytinio atsisakymo išduoti Leidimą ir tokiu atveju pagal teisės aktų nuostatas laikant, kad Leidimas yra išduotas, visa rinkliava už visą Leidimo galiojimo terminą turi būti sumokama po Leidimo išdavimo.“</w:t>
                      </w:r>
                    </w:p>
                  </w:sdtContent>
                </w:sdt>
              </w:sdtContent>
            </w:sdt>
          </w:sdtContent>
        </w:sdt>
        <w:sdt>
          <w:sdtPr>
            <w:alias w:val="3 p."/>
            <w:tag w:val="part_55aaba447e4346dca6cd3ce2aec32c82"/>
            <w:lock w:val="sdtLocked"/>
            <w:richText/>
          </w:sdtPr>
          <w:sdtContent>
            <w:p w14:paraId="75D8BC2F" w14:textId="77B50341">
              <w:pPr>
                <w:suppressAutoHyphens/>
                <w:ind w:firstLine="1247"/>
                <w:jc w:val="both"/>
                <w:rPr>
                  <w:color w:val="000000"/>
                  <w:szCs w:val="24"/>
                  <w:shd w:val="clear" w:color="auto" w:fill="FFFFFF"/>
                  <w:lang w:eastAsia="ar-SA"/>
                </w:rPr>
              </w:pPr>
              <w:sdt>
                <w:sdtPr>
                  <w:alias w:val="Numeris"/>
                  <w:tag w:val="nr_55aaba447e4346dca6cd3ce2aec32c82"/>
                  <w:lock w:val="sdtLocked"/>
                  <w:richText/>
                </w:sdtPr>
                <w:sdtContent>
                  <w:r>
                    <w:rPr>
                      <w:color w:val="000000"/>
                      <w:szCs w:val="24"/>
                      <w:shd w:val="clear" w:color="auto" w:fill="FFFFFF"/>
                      <w:lang w:eastAsia="ar-SA"/>
                    </w:rPr>
                    <w:t>3</w:t>
                  </w:r>
                </w:sdtContent>
              </w:sdt>
              <w:r>
                <w:rPr>
                  <w:color w:val="000000"/>
                  <w:szCs w:val="24"/>
                  <w:shd w:val="clear" w:color="auto" w:fill="FFFFFF"/>
                  <w:lang w:eastAsia="ar-SA"/>
                </w:rPr>
                <w:t>. Pakeisti 11 punktą ir jį išdėstyti taip:</w:t>
              </w:r>
            </w:p>
            <w:sdt>
              <w:sdtPr>
                <w:alias w:val="citata"/>
                <w:tag w:val="part_be0c08ccf2384b698928b3b5ebb3ee1c"/>
                <w:lock w:val="sdtLocked"/>
                <w:richText/>
              </w:sdtPr>
              <w:sdtContent>
                <w:sdt>
                  <w:sdtPr>
                    <w:alias w:val="11 p."/>
                    <w:tag w:val="part_70e61a856b354dfebcf4c9f9d3b7f125"/>
                    <w:lock w:val="sdtLocked"/>
                    <w:richText/>
                  </w:sdtPr>
                  <w:sdtContent>
                    <w:p w14:paraId="48536865" w14:textId="3800471D">
                      <w:pPr>
                        <w:suppressAutoHyphens/>
                        <w:ind w:firstLine="1247"/>
                        <w:jc w:val="both"/>
                        <w:rPr>
                          <w:color w:val="000000"/>
                          <w:szCs w:val="24"/>
                          <w:shd w:val="clear" w:color="auto" w:fill="FFFFFF"/>
                          <w:lang w:eastAsia="ar-SA"/>
                        </w:rPr>
                      </w:pPr>
                      <w:r>
                        <w:rPr>
                          <w:color w:val="000000"/>
                          <w:szCs w:val="24"/>
                          <w:shd w:val="clear" w:color="auto" w:fill="FFFFFF"/>
                          <w:lang w:eastAsia="ar-SA"/>
                        </w:rPr>
                        <w:t>„</w:t>
                      </w:r>
                      <w:sdt>
                        <w:sdtPr>
                          <w:alias w:val="Numeris"/>
                          <w:tag w:val="nr_70e61a856b354dfebcf4c9f9d3b7f125"/>
                          <w:lock w:val="sdtLocked"/>
                          <w:richText/>
                        </w:sdtPr>
                        <w:sdtContent>
                          <w:r>
                            <w:rPr>
                              <w:color w:val="000000"/>
                              <w:szCs w:val="24"/>
                              <w:shd w:val="clear" w:color="auto" w:fill="FFFFFF"/>
                              <w:lang w:eastAsia="ar-SA"/>
                            </w:rPr>
                            <w:t>11</w:t>
                          </w:r>
                        </w:sdtContent>
                      </w:sdt>
                      <w:r>
                        <w:rPr>
                          <w:color w:val="000000"/>
                          <w:szCs w:val="24"/>
                          <w:shd w:val="clear" w:color="auto" w:fill="FFFFFF"/>
                          <w:lang w:eastAsia="ar-SA"/>
                        </w:rPr>
                        <w:t>. Rinkliava turi būti sumokama per 3 darbo dienas Savivaldybės mero potvarkiu nustatyta tvarka pervedant pinigus į Savivaldybės administracijos atsiskaitomąją sąskaitą.“</w:t>
                      </w:r>
                    </w:p>
                  </w:sdtContent>
                </w:sdt>
              </w:sdtContent>
            </w:sdt>
          </w:sdtContent>
        </w:sdt>
        <w:sdt>
          <w:sdtPr>
            <w:alias w:val="4 p."/>
            <w:tag w:val="part_838d697a000448e880a29e00df292005"/>
            <w:lock w:val="sdtLocked"/>
            <w:richText/>
          </w:sdtPr>
          <w:sdtContent>
            <w:p w14:paraId="5BE09FE9" w14:textId="3A677FF5">
              <w:pPr>
                <w:suppressAutoHyphens/>
                <w:ind w:firstLine="1247"/>
                <w:jc w:val="both"/>
                <w:rPr>
                  <w:color w:val="000000"/>
                  <w:szCs w:val="24"/>
                  <w:shd w:val="clear" w:color="auto" w:fill="FFFFFF"/>
                  <w:lang w:eastAsia="ar-SA"/>
                </w:rPr>
              </w:pPr>
              <w:sdt>
                <w:sdtPr>
                  <w:alias w:val="Numeris"/>
                  <w:tag w:val="nr_838d697a000448e880a29e00df292005"/>
                  <w:lock w:val="sdtLocked"/>
                  <w:richText/>
                </w:sdtPr>
                <w:sdtContent>
                  <w:r>
                    <w:rPr>
                      <w:color w:val="000000"/>
                      <w:szCs w:val="24"/>
                      <w:shd w:val="clear" w:color="auto" w:fill="FFFFFF"/>
                      <w:lang w:eastAsia="ar-SA"/>
                    </w:rPr>
                    <w:t>4</w:t>
                  </w:r>
                </w:sdtContent>
              </w:sdt>
              <w:r>
                <w:rPr>
                  <w:color w:val="000000"/>
                  <w:szCs w:val="24"/>
                  <w:shd w:val="clear" w:color="auto" w:fill="FFFFFF"/>
                  <w:lang w:eastAsia="ar-SA"/>
                </w:rPr>
                <w:t>. Pakeisti</w:t>
              </w:r>
              <w:r>
                <w:rPr>
                  <w:color w:val="FF0000"/>
                  <w:szCs w:val="24"/>
                  <w:shd w:val="clear" w:color="auto" w:fill="FFFFFF"/>
                  <w:lang w:eastAsia="ar-SA"/>
                </w:rPr>
                <w:t xml:space="preserve"> </w:t>
              </w:r>
              <w:r>
                <w:rPr>
                  <w:color w:val="000000"/>
                  <w:szCs w:val="24"/>
                  <w:shd w:val="clear" w:color="auto" w:fill="FFFFFF"/>
                  <w:lang w:eastAsia="ar-SA"/>
                </w:rPr>
                <w:t>12 punktą ir jį išdėstyti taip:</w:t>
              </w:r>
            </w:p>
            <w:sdt>
              <w:sdtPr>
                <w:alias w:val="citata"/>
                <w:tag w:val="part_18828c69ef7144d4b5d26c607d1dba87"/>
                <w:lock w:val="sdtLocked"/>
                <w:richText/>
              </w:sdtPr>
              <w:sdtContent>
                <w:sdt>
                  <w:sdtPr>
                    <w:alias w:val="12 p."/>
                    <w:tag w:val="part_1b7eedaf4e6d450182c3dea28ca96b18"/>
                    <w:lock w:val="sdtLocked"/>
                    <w:richText/>
                  </w:sdtPr>
                  <w:sdtContent>
                    <w:p w14:paraId="30A67967" w14:textId="7DB4EB2A">
                      <w:pPr>
                        <w:suppressAutoHyphens/>
                        <w:ind w:firstLine="1247"/>
                        <w:jc w:val="both"/>
                        <w:rPr>
                          <w:rFonts w:eastAsia="HG Mincho Light J"/>
                          <w:szCs w:val="24"/>
                          <w:lang w:eastAsia="ar-SA"/>
                        </w:rPr>
                      </w:pPr>
                      <w:r>
                        <w:rPr>
                          <w:color w:val="000000"/>
                          <w:szCs w:val="24"/>
                          <w:shd w:val="clear" w:color="auto" w:fill="FFFFFF"/>
                          <w:lang w:eastAsia="ar-SA"/>
                        </w:rPr>
                        <w:t>„</w:t>
                      </w:r>
                      <w:sdt>
                        <w:sdtPr>
                          <w:alias w:val="Numeris"/>
                          <w:tag w:val="nr_1b7eedaf4e6d450182c3dea28ca96b18"/>
                          <w:lock w:val="sdtLocked"/>
                          <w:richText/>
                        </w:sdtPr>
                        <w:sdtContent>
                          <w:r>
                            <w:rPr>
                              <w:color w:val="000000"/>
                              <w:szCs w:val="24"/>
                              <w:shd w:val="clear" w:color="auto" w:fill="FFFFFF"/>
                              <w:lang w:eastAsia="ar-SA"/>
                            </w:rPr>
                            <w:t>12</w:t>
                          </w:r>
                        </w:sdtContent>
                      </w:sdt>
                      <w:r>
                        <w:rPr>
                          <w:color w:val="000000"/>
                          <w:szCs w:val="24"/>
                          <w:shd w:val="clear" w:color="auto" w:fill="FFFFFF"/>
                          <w:lang w:eastAsia="ar-SA"/>
                        </w:rPr>
                        <w:t>. Jeigu rinkliavos mokėtojas nesumoka rinkliavos iki nustatyto termino, Savivaldybės meras arba jo atskiru potvarkiu įgaliota Savivaldybės administracija atsisako suteikti paslaugą, išskyrus atvejį, numatytą Nuostatų 10 punkte.“</w:t>
                      </w:r>
                    </w:p>
                  </w:sdtContent>
                </w:sdt>
              </w:sdtContent>
            </w:sdt>
          </w:sdtContent>
        </w:sdt>
        <w:sdt>
          <w:sdtPr>
            <w:alias w:val="5 p."/>
            <w:tag w:val="part_488afd9c3750468792ff9642f5157281"/>
            <w:lock w:val="sdtLocked"/>
            <w:richText/>
          </w:sdtPr>
          <w:sdtContent>
            <w:p w14:paraId="1687495C" w14:textId="20AE9CFA">
              <w:pPr>
                <w:suppressAutoHyphens/>
                <w:ind w:firstLine="1247"/>
                <w:jc w:val="both"/>
                <w:rPr>
                  <w:szCs w:val="24"/>
                  <w:lang w:eastAsia="ar-SA"/>
                </w:rPr>
              </w:pPr>
              <w:sdt>
                <w:sdtPr>
                  <w:alias w:val="Numeris"/>
                  <w:tag w:val="nr_488afd9c3750468792ff9642f5157281"/>
                  <w:lock w:val="sdtLocked"/>
                  <w:richText/>
                </w:sdtPr>
                <w:sdtContent>
                  <w:r>
                    <w:rPr>
                      <w:szCs w:val="24"/>
                      <w:lang w:eastAsia="ar-SA"/>
                    </w:rPr>
                    <w:t>5</w:t>
                  </w:r>
                </w:sdtContent>
              </w:sdt>
              <w:r>
                <w:rPr>
                  <w:szCs w:val="24"/>
                  <w:lang w:eastAsia="ar-SA"/>
                </w:rPr>
                <w:t>. Pakeisti 19.1 papunktį ir jį išdėstyti taip:</w:t>
              </w:r>
            </w:p>
            <w:sdt>
              <w:sdtPr>
                <w:alias w:val="citata"/>
                <w:tag w:val="part_a844081554984df6aa1bf36f705a29c0"/>
                <w:lock w:val="sdtLocked"/>
                <w:richText/>
              </w:sdtPr>
              <w:sdtContent>
                <w:sdt>
                  <w:sdtPr>
                    <w:alias w:val="19.1 pp."/>
                    <w:tag w:val="part_a46521b04088413bb7988520b9274193"/>
                    <w:lock w:val="sdtLocked"/>
                    <w:richText/>
                  </w:sdtPr>
                  <w:sdtContent>
                    <w:p w14:paraId="4281E147" w14:textId="65C8D9E4">
                      <w:pPr>
                        <w:suppressAutoHyphens/>
                        <w:ind w:firstLine="1247"/>
                        <w:jc w:val="both"/>
                        <w:rPr>
                          <w:szCs w:val="24"/>
                          <w:lang w:eastAsia="ar-SA"/>
                        </w:rPr>
                      </w:pPr>
                      <w:r>
                        <w:rPr>
                          <w:szCs w:val="24"/>
                          <w:lang w:eastAsia="ar-SA"/>
                        </w:rPr>
                        <w:t>„</w:t>
                      </w:r>
                      <w:sdt>
                        <w:sdtPr>
                          <w:alias w:val="Numeris"/>
                          <w:tag w:val="nr_a46521b04088413bb7988520b9274193"/>
                          <w:lock w:val="sdtLocked"/>
                          <w:richText/>
                        </w:sdtPr>
                        <w:sdtContent>
                          <w:r>
                            <w:rPr>
                              <w:szCs w:val="24"/>
                              <w:lang w:eastAsia="ar-SA"/>
                            </w:rPr>
                            <w:t>19.1</w:t>
                          </w:r>
                        </w:sdtContent>
                      </w:sdt>
                      <w:r>
                        <w:rPr>
                          <w:szCs w:val="24"/>
                          <w:lang w:eastAsia="ar-SA"/>
                        </w:rPr>
                        <w:t>. Miesto plėtros ir paveldosaugos skyrius atsako už tai, kad Leidimai būtų išduodami vadovaujantis Nuostatais ir kitais teisės aktais, reglamentuojančiais Leidimų įrengti išorinę reklamą išdavimą.“</w:t>
                      </w:r>
                    </w:p>
                  </w:sdtContent>
                </w:sdt>
              </w:sdtContent>
            </w:sdt>
          </w:sdtContent>
        </w:sdt>
        <w:sdt>
          <w:sdtPr>
            <w:alias w:val="6 p."/>
            <w:tag w:val="part_e1544fe837124b3e924c8c6d91f810da"/>
            <w:lock w:val="sdtLocked"/>
            <w:richText/>
          </w:sdtPr>
          <w:sdtContent>
            <w:p w14:paraId="069F8AA0" w14:textId="2C00C085">
              <w:pPr>
                <w:suppressAutoHyphens/>
                <w:ind w:firstLine="1247"/>
                <w:jc w:val="both"/>
                <w:rPr>
                  <w:szCs w:val="24"/>
                  <w:lang w:eastAsia="ar-SA"/>
                </w:rPr>
              </w:pPr>
              <w:sdt>
                <w:sdtPr>
                  <w:alias w:val="Numeris"/>
                  <w:tag w:val="nr_e1544fe837124b3e924c8c6d91f810da"/>
                  <w:lock w:val="sdtLocked"/>
                  <w:richText/>
                </w:sdtPr>
                <w:sdtContent>
                  <w:r>
                    <w:rPr>
                      <w:szCs w:val="24"/>
                      <w:lang w:eastAsia="ar-SA"/>
                    </w:rPr>
                    <w:t>6</w:t>
                  </w:r>
                </w:sdtContent>
              </w:sdt>
              <w:r>
                <w:rPr>
                  <w:szCs w:val="24"/>
                  <w:lang w:eastAsia="ar-SA"/>
                </w:rPr>
                <w:t>. Pakeisti 19.3 papunktį ir jį išdėstyti taip:</w:t>
              </w:r>
            </w:p>
            <w:sdt>
              <w:sdtPr>
                <w:alias w:val="citata"/>
                <w:tag w:val="part_91608ef894474028932a9da3b40cb794"/>
                <w:lock w:val="sdtLocked"/>
                <w:richText/>
              </w:sdtPr>
              <w:sdtContent>
                <w:sdt>
                  <w:sdtPr>
                    <w:alias w:val="19.3 pp."/>
                    <w:tag w:val="part_67a56f114d7840d1a1c61d03aeb45f8a"/>
                    <w:lock w:val="sdtLocked"/>
                    <w:richText/>
                  </w:sdtPr>
                  <w:sdtContent>
                    <w:p w14:paraId="6522FC71" w14:textId="0A3B794F">
                      <w:pPr>
                        <w:suppressAutoHyphens/>
                        <w:ind w:firstLine="1247"/>
                        <w:jc w:val="both"/>
                        <w:rPr>
                          <w:szCs w:val="24"/>
                          <w:lang w:eastAsia="ar-SA"/>
                        </w:rPr>
                      </w:pPr>
                      <w:r>
                        <w:rPr>
                          <w:szCs w:val="24"/>
                          <w:lang w:eastAsia="ar-SA"/>
                        </w:rPr>
                        <w:t>„</w:t>
                      </w:r>
                      <w:sdt>
                        <w:sdtPr>
                          <w:alias w:val="Numeris"/>
                          <w:tag w:val="nr_67a56f114d7840d1a1c61d03aeb45f8a"/>
                          <w:lock w:val="sdtLocked"/>
                          <w:richText/>
                        </w:sdtPr>
                        <w:sdtContent>
                          <w:r>
                            <w:rPr>
                              <w:szCs w:val="24"/>
                              <w:lang w:eastAsia="ar-SA"/>
                            </w:rPr>
                            <w:t>19.3</w:t>
                          </w:r>
                        </w:sdtContent>
                      </w:sdt>
                      <w:r>
                        <w:rPr>
                          <w:szCs w:val="24"/>
                          <w:lang w:eastAsia="ar-SA"/>
                        </w:rPr>
                        <w:t>. Apskaitos skyrius vykdo rinkliavos apskaitą, kontroliuoja rinkliavos mokėjimus.“</w:t>
                      </w:r>
                    </w:p>
                    <w:p w14:paraId="3EAEB48E" w14:textId="77777777">
                      <w:pPr>
                        <w:suppressAutoHyphens/>
                        <w:ind w:firstLine="1247"/>
                        <w:jc w:val="both"/>
                        <w:rPr>
                          <w:szCs w:val="24"/>
                          <w:lang w:eastAsia="ar-SA"/>
                        </w:rPr>
                      </w:pPr>
                    </w:p>
                  </w:sdtContent>
                </w:sdt>
              </w:sdtContent>
            </w:sdt>
          </w:sdtContent>
        </w:sdt>
        <w:sdt>
          <w:sdtPr>
            <w:alias w:val="signatura"/>
            <w:tag w:val="part_c8d29bed9c404282b42df41c9864bd83"/>
            <w:lock w:val="sdtLocked"/>
            <w:richText/>
          </w:sdtPr>
          <w:sdtContent>
            <w:p w14:paraId="5CB21CCD" w14:textId="6C5E1E30">
              <w:pPr>
                <w:suppressAutoHyphens/>
                <w:jc w:val="both"/>
                <w:rPr>
                  <w:szCs w:val="24"/>
                  <w:lang w:eastAsia="ar-SA"/>
                </w:rPr>
              </w:pPr>
              <w:r>
                <w:rPr>
                  <w:szCs w:val="24"/>
                  <w:lang w:eastAsia="ar-SA"/>
                </w:rPr>
                <w:t>Savivaldybės meras</w:t>
                <w:tab/>
                <w:tab/>
                <w:tab/>
                <w:tab/>
                <w:tab/>
              </w:r>
            </w:p>
            <w:p w14:paraId="7D2E979A" w14:textId="77777777"/>
          </w:sdtContent>
        </w:sdt>
      </w:sdtContent>
    </w:sdt>
    <w:sectPr>
      <w:headerReference w:type="defaul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A45425" w14:textId="77777777">
      <w:pPr>
        <w:suppressAutoHyphens/>
        <w:rPr>
          <w:szCs w:val="24"/>
          <w:lang w:eastAsia="ar-SA"/>
        </w:rPr>
      </w:pPr>
      <w:r>
        <w:rPr>
          <w:szCs w:val="24"/>
          <w:lang w:eastAsia="ar-SA"/>
        </w:rPr>
        <w:separator/>
      </w:r>
    </w:p>
  </w:endnote>
  <w:endnote w:type="continuationSeparator" w:id="0">
    <w:p w14:paraId="6EFA0CED" w14:textId="77777777">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34D850" w14:textId="77777777">
      <w:pPr>
        <w:suppressAutoHyphens/>
        <w:rPr>
          <w:szCs w:val="24"/>
          <w:lang w:eastAsia="ar-SA"/>
        </w:rPr>
      </w:pPr>
      <w:r>
        <w:rPr>
          <w:szCs w:val="24"/>
          <w:lang w:eastAsia="ar-SA"/>
        </w:rPr>
        <w:separator/>
      </w:r>
    </w:p>
  </w:footnote>
  <w:footnote w:type="continuationSeparator" w:id="0">
    <w:p w14:paraId="714221D6" w14:textId="77777777">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0B0320" w14:textId="7DFD7AA1">
    <w:pPr>
      <w:suppressAutoHyphens/>
      <w:jc w:val="right"/>
      <w:rPr>
        <w:b/>
        <w:bCs/>
        <w:szCs w:val="24"/>
        <w:lang w:eastAsia="ar-SA"/>
      </w:rPr>
    </w:pPr>
    <w:r>
      <w:rPr>
        <w:b/>
        <w:bCs/>
        <w:szCs w:val="24"/>
        <w:lang w:eastAsia="ar-SA"/>
      </w:rPr>
      <w:t>Projektas</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2AA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6A9896"/>
  <w15:chartTrackingRefBased/>
  <w15:docId w15:val="{ED85C6F8-67C1-4F4D-96B2-7DEC95ECD8A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8c4f3f78c5340ceb62e996facb9662e" PartId="0d30d100403641499b03275ac90a7c22">
    <Part Type="punktas" Nr="1" Abbr="1 p." DocPartId="aa40ce9d613248ed920438a04c5919ad" PartId="b50e42dbb85d4889805aa332b5e2d1e4">
      <Part Type="citata" DocPartId="15970a0eeef54739ac978577eed46337" PartId="40f15c57324f480fb77ea29c46c92928">
        <Part Type="papunktis" Nr="4.4" Abbr="4.4 pp." DocPartId="76aec0a7703440c2a3ff3985fec465dc" PartId="ce48cf93bfc44b1186789098f776441b"/>
      </Part>
    </Part>
    <Part Type="punktas" Nr="2" Abbr="2 p." DocPartId="482a86fff8c44f51bf813217b2dbe91f" PartId="dc3c0b1fb7d14f598ab53b9cbd1e8bdf">
      <Part Type="citata" DocPartId="8af5a42266444cd9a4e733a4d41f93cb" PartId="7666173fa80e41dc9306f63bdfb54576">
        <Part Type="punktas" Nr="10" Abbr="10 p." DocPartId="6d927846e1ea4063b135da4f668d53d7" PartId="8c71ef6c2fa947808d285c1e7a8d81e1"/>
      </Part>
    </Part>
    <Part Type="punktas" Nr="3" Abbr="3 p." DocPartId="6b0f96a689a04ac58063da5710c90d42" PartId="55aaba447e4346dca6cd3ce2aec32c82">
      <Part Type="citata" DocPartId="3efba369d5f746a5b98b7d2bdb6a2e05" PartId="be0c08ccf2384b698928b3b5ebb3ee1c">
        <Part Type="punktas" Nr="11" Abbr="11 p." DocPartId="8ef55ea121fc42e1827ebf0103c68d3f" PartId="70e61a856b354dfebcf4c9f9d3b7f125"/>
      </Part>
    </Part>
    <Part Type="punktas" Nr="4" Abbr="4 p." DocPartId="0479152b110244e09bb194b8be2a590b" PartId="838d697a000448e880a29e00df292005">
      <Part Type="citata" DocPartId="f8dd9e7ba0ec4691b930492ffe1ac86f" PartId="18828c69ef7144d4b5d26c607d1dba87">
        <Part Type="punktas" Nr="12" Abbr="12 p." DocPartId="6951c5d33a7e48fe81b0a75381e3e56a" PartId="1b7eedaf4e6d450182c3dea28ca96b18"/>
      </Part>
    </Part>
    <Part Type="punktas" Nr="5" Abbr="5 p." DocPartId="b453586916b54779b016f603e8091bf8" PartId="488afd9c3750468792ff9642f5157281">
      <Part Type="citata" DocPartId="141de802b1b94c7f9e4e5537847ec5f9" PartId="a844081554984df6aa1bf36f705a29c0">
        <Part Type="papunktis" Nr="19.1" Abbr="19.1 pp." DocPartId="724f2219058c455dbf3211df303f6d17" PartId="a46521b04088413bb7988520b9274193"/>
      </Part>
    </Part>
    <Part Type="punktas" Nr="6" Abbr="6 p." DocPartId="0ec3a618daf3448c92b84a2f49f4b80c" PartId="e1544fe837124b3e924c8c6d91f810da">
      <Part Type="citata" DocPartId="abf7888dc8ee4431a4f82e2899ce3aac" PartId="91608ef894474028932a9da3b40cb794">
        <Part Type="papunktis" Nr="19.3" Abbr="19.3 pp." DocPartId="faafa0deacac45d8a4630829c5bbd02c" PartId="67a56f114d7840d1a1c61d03aeb45f8a"/>
      </Part>
    </Part>
    <Part Type="signatura" DocPartId="7d0ebdb49521405c8c0e69410c381e32" PartId="c8d29bed9c404282b42df41c9864bd83"/>
  </Part>
</Parts>
</file>

<file path=customXml/itemProps1.xml><?xml version="1.0" encoding="utf-8"?>
<ds:datastoreItem xmlns:ds="http://schemas.openxmlformats.org/officeDocument/2006/customXml" ds:itemID="{8FEC4AEE-88E8-4DCC-AE47-CAE8D0C193D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373</Words>
  <Characters>2577</Characters>
  <Application>Microsoft Office Word</Application>
  <DocSecurity>4</DocSecurity>
  <Lines>49</Lines>
  <Paragraphs>23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2927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2024-02-21T14:46:00Z</dcterms:created>
  <dc:creator>Toma Kvietkauskaitė</dc:creator>
  <lastModifiedBy>adlibuser</lastModifiedBy>
  <dcterms:modified xsi:type="dcterms:W3CDTF">2024-02-21T14:46:00Z</dcterms:modified>
  <revision>2</revision>
</coreProperties>
</file>