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752d49463104489abe1ee9b6d3fd52e"/>
        <w:lock w:val="sdtLocked"/>
        <w:richText/>
      </w:sdtPr>
      <w:sdtContent>
        <w:p>
          <w:pPr>
            <w:widowControl w:val="0"/>
            <w:suppressLineNumbers/>
            <w:tabs>
              <w:tab w:val="center" w:pos="4986"/>
              <w:tab w:val="right" w:pos="9972"/>
            </w:tabs>
            <w:suppressAutoHyphens/>
            <w:ind w:firstLine="8080"/>
            <w:jc w:val="both"/>
            <w:rPr>
              <w:rFonts w:ascii="Thorndale" w:eastAsia="HG Mincho Light J" w:hAnsi="Thorndale"/>
              <w:b/>
              <w:bCs/>
              <w:color w:val="000000"/>
              <w:szCs w:val="24"/>
              <w:lang w:eastAsia="ar-SA"/>
            </w:rPr>
          </w:pPr>
          <w:r>
            <w:rPr>
              <w:rFonts w:ascii="Thorndale" w:eastAsia="HG Mincho Light J" w:hAnsi="Thorndale"/>
              <w:b/>
              <w:bCs/>
              <w:color w:val="000000"/>
              <w:szCs w:val="24"/>
              <w:lang w:eastAsia="ar-SA"/>
            </w:rPr>
            <w:t>Projektas</w:t>
          </w:r>
        </w:p>
        <w:p>
          <w:pPr>
            <w:suppressAutoHyphens/>
            <w:jc w:val="center"/>
            <w:rPr>
              <w:b/>
              <w:color w:val="EE0000"/>
              <w:szCs w:val="24"/>
              <w:shd w:val="clear" w:color="auto" w:fill="FFFFFF"/>
              <w:lang w:eastAsia="ar-SA"/>
            </w:rPr>
          </w:pPr>
        </w:p>
        <w:p>
          <w:pPr>
            <w:suppressAutoHyphens/>
            <w:jc w:val="center"/>
            <w:rPr>
              <w:b/>
              <w:color w:val="000000"/>
              <w:szCs w:val="24"/>
              <w:shd w:val="clear" w:color="auto" w:fill="FFFFFF"/>
              <w:lang w:eastAsia="ar-SA"/>
            </w:rPr>
          </w:pPr>
          <w:r>
            <w:rPr>
              <w:b/>
              <w:color w:val="000000"/>
              <w:szCs w:val="24"/>
              <w:shd w:val="clear" w:color="auto" w:fill="FFFFFF"/>
              <w:lang w:eastAsia="ar-SA"/>
            </w:rPr>
            <w:t>ŠIAULIŲ MIESTO SAVIVALDYBĖS TARYBA</w:t>
          </w:r>
        </w:p>
        <w:p>
          <w:pPr>
            <w:suppressAutoHyphens/>
            <w:rPr>
              <w:b/>
              <w:color w:val="000000"/>
              <w:sz w:val="20"/>
              <w:shd w:val="clear" w:color="auto" w:fill="FFFFFF"/>
              <w:lang w:eastAsia="ar-SA"/>
            </w:rPr>
          </w:pPr>
        </w:p>
        <w:p>
          <w:pPr>
            <w:suppressAutoHyphens/>
            <w:jc w:val="center"/>
            <w:rPr>
              <w:b/>
              <w:color w:val="000000"/>
              <w:szCs w:val="24"/>
              <w:shd w:val="clear" w:color="auto" w:fill="FFFFFF"/>
              <w:lang w:eastAsia="ar-SA"/>
            </w:rPr>
          </w:pPr>
          <w:r>
            <w:rPr>
              <w:b/>
              <w:color w:val="000000"/>
              <w:szCs w:val="24"/>
              <w:shd w:val="clear" w:color="auto" w:fill="FFFFFF"/>
              <w:lang w:eastAsia="ar-SA"/>
            </w:rPr>
            <w:t>SPRENDIMAS</w:t>
          </w:r>
        </w:p>
        <w:p>
          <w:pPr>
            <w:tabs>
              <w:tab w:val="center" w:pos="4819"/>
              <w:tab w:val="right" w:pos="9638"/>
            </w:tabs>
            <w:suppressAutoHyphens/>
            <w:jc w:val="center"/>
            <w:rPr>
              <w:color w:val="000000"/>
              <w:sz w:val="27"/>
              <w:szCs w:val="27"/>
              <w:shd w:val="clear" w:color="auto" w:fill="FFFFFF"/>
              <w:lang w:eastAsia="lt-LT"/>
            </w:rPr>
          </w:pPr>
          <w:r>
            <w:rPr>
              <w:rFonts w:eastAsia="Lucida Sans Unicode"/>
              <w:b/>
              <w:bCs/>
              <w:szCs w:val="24"/>
              <w:shd w:val="clear" w:color="auto" w:fill="FFFFFF"/>
              <w:lang w:eastAsia="ar-SA"/>
            </w:rPr>
            <w:t xml:space="preserve">DĖL ŠIAULIŲ MIESTO SAVIVALDYBĖS </w:t>
          </w:r>
          <w:r>
            <w:rPr>
              <w:b/>
              <w:lang w:eastAsia="ar-SA"/>
            </w:rPr>
            <w:t>GLOBOS NAMUOSE TAIKOMŲ NORMATYVŲ PATVIRTINIMO</w:t>
          </w:r>
        </w:p>
        <w:p>
          <w:pPr>
            <w:tabs>
              <w:tab w:val="center" w:pos="4819"/>
              <w:tab w:val="right" w:pos="9638"/>
            </w:tabs>
            <w:suppressAutoHyphens/>
            <w:jc w:val="center"/>
            <w:rPr>
              <w:color w:val="000000"/>
              <w:sz w:val="27"/>
              <w:szCs w:val="27"/>
              <w:shd w:val="clear" w:color="auto" w:fill="FFFFFF"/>
              <w:lang w:eastAsia="lt-LT"/>
            </w:rPr>
          </w:pPr>
        </w:p>
        <w:p>
          <w:pPr>
            <w:widowControl w:val="0"/>
            <w:suppressAutoHyphens/>
            <w:jc w:val="center"/>
            <w:rPr>
              <w:color w:val="000000"/>
              <w:szCs w:val="24"/>
              <w:lang w:eastAsia="lt-LT"/>
            </w:rPr>
          </w:pPr>
          <w:r>
            <w:rPr>
              <w:color w:val="000000"/>
              <w:szCs w:val="24"/>
              <w:lang w:eastAsia="lt-LT"/>
            </w:rPr>
            <w:t xml:space="preserve">2025 m.         Nr. T-</w:t>
          </w:r>
        </w:p>
        <w:p>
          <w:pPr>
            <w:widowControl w:val="0"/>
            <w:suppressAutoHyphens/>
            <w:jc w:val="center"/>
            <w:rPr>
              <w:color w:val="000000"/>
              <w:szCs w:val="24"/>
              <w:lang w:eastAsia="lt-LT"/>
            </w:rPr>
          </w:pPr>
          <w:r>
            <w:rPr>
              <w:color w:val="000000"/>
              <w:szCs w:val="24"/>
              <w:lang w:eastAsia="lt-LT"/>
            </w:rPr>
            <w:t>Šiauliai</w:t>
          </w:r>
        </w:p>
        <w:p>
          <w:pPr>
            <w:ind w:firstLine="493"/>
            <w:jc w:val="both"/>
            <w:rPr>
              <w:color w:val="000000"/>
              <w:sz w:val="27"/>
              <w:szCs w:val="27"/>
              <w:shd w:val="clear" w:color="auto" w:fill="FFFFFF"/>
              <w:lang w:eastAsia="lt-LT"/>
            </w:rPr>
          </w:pPr>
        </w:p>
        <w:p>
          <w:pPr>
            <w:ind w:firstLine="426"/>
            <w:jc w:val="both"/>
            <w:rPr>
              <w:color w:val="000000"/>
              <w:szCs w:val="24"/>
              <w:lang w:eastAsia="lt-LT"/>
            </w:rPr>
          </w:pPr>
        </w:p>
        <w:sdt>
          <w:sdtPr>
            <w:alias w:val="preambule"/>
            <w:tag w:val="part_ceabd34474b84d74a208a650890347ec"/>
            <w:lock w:val="sdtLocked"/>
            <w:richText/>
          </w:sdtPr>
          <w:sdtContent>
            <w:p>
              <w:pPr>
                <w:ind w:firstLine="720"/>
                <w:jc w:val="both"/>
                <w:rPr>
                  <w:color w:val="000000"/>
                  <w:szCs w:val="24"/>
                  <w:lang w:eastAsia="lt-LT"/>
                </w:rPr>
              </w:pPr>
              <w:r>
                <w:rPr>
                  <w:color w:val="000000"/>
                  <w:szCs w:val="24"/>
                  <w:lang w:eastAsia="lt-LT"/>
                </w:rPr>
                <w:t xml:space="preserve">Vadovaudamasi Lietuvos Respublikos vietos savivaldos įstatymo </w:t>
              </w:r>
              <w:r>
                <w:rPr>
                  <w:color w:val="000000"/>
                </w:rPr>
                <w:t xml:space="preserve">6 straipsnio 12 punktu, </w:t>
              </w:r>
              <w:r>
                <w:rPr>
                  <w:szCs w:val="24"/>
                </w:rPr>
                <w:t>Socialinių paslaugų finansavimo ir lėšų apskaičiavimo metodikos, patvirtintos</w:t>
              </w:r>
              <w:r>
                <w:rPr>
                  <w:bCs/>
                  <w:szCs w:val="24"/>
                  <w:shd w:val="clear" w:color="auto" w:fill="FFFFFF"/>
                </w:rPr>
                <w:t xml:space="preserve"> Lietuvos Respublikos socialinės apaugos ir darbo ministro 2024 m. birželio 25 d. įsakymu Nr. A1-426 „Dėl Socialinių paslaugų finansavimo ir lėšų apskaičiavimo metodikos patvirtinimo“, 27 punktu</w:t>
              </w:r>
              <w:r>
                <w:rPr>
                  <w:color w:val="000000"/>
                </w:rPr>
                <w:t>, Rekomenduojamomis maisto produktų paros normomis socialinę globą gaunantiems asmenims, patvirtintomis Lietuvos Respublikos sveikatos apsaugos ministro 2007 m. gruodžio 29 d. įsakymu Nr. V-1090 „Dėl Rekomenduojamų maisto produktų paros normų socialinę globą gaunantiems asmenims patvirtinimo“, Rekomenduojamomis paros maistinių medžiagų ir energijos normomis, patvirtintomis Lietuvos Respublikos sveikatos apsaugos ministro 1999 m. lapkričio 25 d. įsakymu Nr. 510 „Dėl Rekomenduojamų paros maistinių medžiagų ir energijos normų tvirtinimo“ ir atsižvelgdama į Šiaulių miesto savivaldybės globos namų 2025-04-28 raštą Nr. 209-SD „Dėl Šiaulių miesto savivaldybės globos namų finansinių normatyvų“</w:t>
              </w:r>
              <w:r>
                <w:rPr>
                  <w:color w:val="000000"/>
                  <w:szCs w:val="24"/>
                  <w:lang w:eastAsia="lt-LT"/>
                </w:rPr>
                <w:t xml:space="preserve">, Šiaulių miesto savivaldybės taryba </w:t>
              </w:r>
              <w:r>
                <w:rPr>
                  <w:color w:val="000000"/>
                  <w:spacing w:val="60"/>
                  <w:szCs w:val="24"/>
                  <w:lang w:eastAsia="lt-LT"/>
                </w:rPr>
                <w:t>nusprendži</w:t>
              </w:r>
              <w:r>
                <w:rPr>
                  <w:color w:val="000000"/>
                  <w:szCs w:val="24"/>
                  <w:lang w:eastAsia="lt-LT"/>
                </w:rPr>
                <w:t>a:</w:t>
              </w:r>
            </w:p>
          </w:sdtContent>
        </w:sdt>
        <w:sdt>
          <w:sdtPr>
            <w:alias w:val="1 p."/>
            <w:tag w:val="part_1aa40c4ff6924c06a98fdc6cae0ebd89"/>
            <w:lock w:val="sdtLocked"/>
            <w:richText/>
          </w:sdtPr>
          <w:sdtContent>
            <w:p>
              <w:pPr>
                <w:ind w:firstLine="720"/>
                <w:jc w:val="both"/>
                <w:rPr>
                  <w:color w:val="000000"/>
                  <w:szCs w:val="24"/>
                  <w:lang w:eastAsia="lt-LT"/>
                </w:rPr>
              </w:pPr>
              <w:sdt>
                <w:sdtPr>
                  <w:alias w:val="Numeris"/>
                  <w:tag w:val="nr_1aa40c4ff6924c06a98fdc6cae0ebd89"/>
                  <w:lock w:val="sdtLocked"/>
                  <w:richText/>
                </w:sdtPr>
                <w:sdtContent>
                  <w:r>
                    <w:rPr>
                      <w:color w:val="000000"/>
                      <w:szCs w:val="24"/>
                      <w:lang w:eastAsia="lt-LT"/>
                    </w:rPr>
                    <w:t>1</w:t>
                  </w:r>
                </w:sdtContent>
              </w:sdt>
              <w:r>
                <w:rPr>
                  <w:color w:val="000000"/>
                  <w:szCs w:val="24"/>
                  <w:lang w:eastAsia="lt-LT"/>
                </w:rPr>
                <w:t>. Patvirtinti Šiaulių miesto savivaldybės globos namuose tokius taikomus normatyvus:</w:t>
              </w:r>
            </w:p>
            <w:sdt>
              <w:sdtPr>
                <w:alias w:val="1.1 pp."/>
                <w:tag w:val="part_0a13bafcab914ddb84e7b7c5d6903101"/>
                <w:lock w:val="sdtLocked"/>
                <w:richText/>
              </w:sdtPr>
              <w:sdtContent>
                <w:p>
                  <w:pPr>
                    <w:ind w:firstLine="720"/>
                    <w:jc w:val="both"/>
                    <w:rPr>
                      <w:color w:val="000000"/>
                      <w:szCs w:val="24"/>
                      <w:lang w:eastAsia="lt-LT"/>
                    </w:rPr>
                  </w:pPr>
                  <w:sdt>
                    <w:sdtPr>
                      <w:alias w:val="Numeris"/>
                      <w:tag w:val="nr_0a13bafcab914ddb84e7b7c5d6903101"/>
                      <w:lock w:val="sdtLocked"/>
                      <w:richText/>
                    </w:sdtPr>
                    <w:sdtContent>
                      <w:r>
                        <w:rPr>
                          <w:color w:val="000000"/>
                          <w:szCs w:val="24"/>
                          <w:lang w:eastAsia="lt-LT"/>
                        </w:rPr>
                        <w:t>1.1</w:t>
                      </w:r>
                    </w:sdtContent>
                  </w:sdt>
                  <w:r>
                    <w:rPr>
                      <w:color w:val="000000"/>
                      <w:szCs w:val="24"/>
                      <w:lang w:eastAsia="lt-LT"/>
                    </w:rPr>
                    <w:t>. mitybos paros norma vienam asmeniui – 6,50 Eur;</w:t>
                  </w:r>
                </w:p>
              </w:sdtContent>
            </w:sdt>
            <w:sdt>
              <w:sdtPr>
                <w:alias w:val="1.2 pp."/>
                <w:tag w:val="part_99220c1e678c40ccae0e29c29e62fcf4"/>
                <w:lock w:val="sdtLocked"/>
                <w:richText/>
              </w:sdtPr>
              <w:sdtContent>
                <w:p>
                  <w:pPr>
                    <w:ind w:firstLine="720"/>
                    <w:jc w:val="both"/>
                    <w:rPr>
                      <w:color w:val="000000"/>
                      <w:szCs w:val="24"/>
                      <w:lang w:eastAsia="lt-LT"/>
                    </w:rPr>
                  </w:pPr>
                  <w:sdt>
                    <w:sdtPr>
                      <w:alias w:val="Numeris"/>
                      <w:tag w:val="nr_99220c1e678c40ccae0e29c29e62fcf4"/>
                      <w:lock w:val="sdtLocked"/>
                      <w:richText/>
                    </w:sdtPr>
                    <w:sdtContent>
                      <w:r>
                        <w:rPr>
                          <w:color w:val="000000"/>
                          <w:szCs w:val="24"/>
                          <w:lang w:eastAsia="lt-LT"/>
                        </w:rPr>
                        <w:t>1.2</w:t>
                      </w:r>
                    </w:sdtContent>
                  </w:sdt>
                  <w:r>
                    <w:rPr>
                      <w:color w:val="000000"/>
                      <w:szCs w:val="24"/>
                      <w:lang w:eastAsia="lt-LT"/>
                    </w:rPr>
                    <w:t>. medikamentų paros norma vienam asmeniui – 3,50 Eur;</w:t>
                  </w:r>
                </w:p>
              </w:sdtContent>
            </w:sdt>
            <w:sdt>
              <w:sdtPr>
                <w:alias w:val="1.3 pp."/>
                <w:tag w:val="part_fa2f7f6df2c846d682f82dd48c109220"/>
                <w:lock w:val="sdtLocked"/>
                <w:richText/>
              </w:sdtPr>
              <w:sdtContent>
                <w:p>
                  <w:pPr>
                    <w:ind w:firstLine="720"/>
                    <w:jc w:val="both"/>
                    <w:rPr>
                      <w:color w:val="000000"/>
                      <w:szCs w:val="24"/>
                      <w:lang w:eastAsia="lt-LT"/>
                    </w:rPr>
                  </w:pPr>
                  <w:sdt>
                    <w:sdtPr>
                      <w:alias w:val="Numeris"/>
                      <w:tag w:val="nr_fa2f7f6df2c846d682f82dd48c109220"/>
                      <w:lock w:val="sdtLocked"/>
                      <w:richText/>
                    </w:sdtPr>
                    <w:sdtContent>
                      <w:r>
                        <w:rPr>
                          <w:color w:val="000000"/>
                          <w:szCs w:val="24"/>
                          <w:lang w:eastAsia="lt-LT"/>
                        </w:rPr>
                        <w:t>1.3</w:t>
                      </w:r>
                    </w:sdtContent>
                  </w:sdt>
                  <w:r>
                    <w:rPr>
                      <w:color w:val="000000"/>
                      <w:szCs w:val="24"/>
                      <w:lang w:eastAsia="lt-LT"/>
                    </w:rPr>
                    <w:t>. aprangos ir patalynės norma per mėnesį vienam asmeniui – 43,00 Eur.</w:t>
                  </w:r>
                </w:p>
              </w:sdtContent>
            </w:sdt>
          </w:sdtContent>
        </w:sdt>
        <w:sdt>
          <w:sdtPr>
            <w:alias w:val="2 p."/>
            <w:tag w:val="part_da0ec1dd342f4bd08dd4cac81169d5bc"/>
            <w:lock w:val="sdtLocked"/>
            <w:richText/>
          </w:sdtPr>
          <w:sdtContent>
            <w:p>
              <w:pPr>
                <w:ind w:firstLine="720"/>
                <w:jc w:val="both"/>
                <w:rPr>
                  <w:color w:val="000000"/>
                  <w:szCs w:val="24"/>
                  <w:lang w:eastAsia="lt-LT"/>
                </w:rPr>
              </w:pPr>
              <w:sdt>
                <w:sdtPr>
                  <w:alias w:val="Numeris"/>
                  <w:tag w:val="nr_da0ec1dd342f4bd08dd4cac81169d5bc"/>
                  <w:lock w:val="sdtLocked"/>
                  <w:richText/>
                </w:sdtPr>
                <w:sdtContent>
                  <w:r>
                    <w:rPr>
                      <w:color w:val="000000"/>
                      <w:szCs w:val="24"/>
                      <w:lang w:eastAsia="lt-LT"/>
                    </w:rPr>
                    <w:t>2</w:t>
                  </w:r>
                </w:sdtContent>
              </w:sdt>
              <w:r>
                <w:rPr>
                  <w:color w:val="000000"/>
                  <w:szCs w:val="24"/>
                  <w:lang w:eastAsia="lt-LT"/>
                </w:rPr>
                <w:t xml:space="preserve">. Pripažinti netekusiu galios </w:t>
              </w:r>
              <w:r>
                <w:rPr>
                  <w:color w:val="000000"/>
                </w:rPr>
                <w:t>Šiaulių miesto savivaldybės tarybos 2022 m. rugsėjo 1 d. sprendimą Nr. T-332 „Dėl Šiaulių miesto savivaldybės globos namuose taikomų normatyvų patvirtinimo“.</w:t>
              </w:r>
            </w:p>
            <w:p>
              <w:pPr>
                <w:ind w:firstLine="782"/>
                <w:jc w:val="both"/>
                <w:rPr>
                  <w:color w:val="000000"/>
                  <w:szCs w:val="24"/>
                  <w:lang w:eastAsia="lt-LT"/>
                </w:rPr>
              </w:pPr>
            </w:p>
            <w:p>
              <w:pPr>
                <w:keepNext/>
                <w:suppressAutoHyphens/>
                <w:jc w:val="both"/>
              </w:pPr>
            </w:p>
            <w:p>
              <w:pPr>
                <w:keepNext/>
                <w:suppressAutoHyphens/>
                <w:jc w:val="both"/>
              </w:pPr>
            </w:p>
          </w:sdtContent>
        </w:sdt>
        <w:sdt>
          <w:sdtPr>
            <w:alias w:val="signatura"/>
            <w:tag w:val="part_e7b16c9b27574dde9894e6899c4a7e94"/>
            <w:lock w:val="sdtLocked"/>
            <w:richText/>
          </w:sdtPr>
          <w:sdtContent>
            <w:p>
              <w:pPr>
                <w:keepNext/>
                <w:suppressAutoHyphens/>
                <w:jc w:val="both"/>
                <w:rPr>
                  <w:bCs/>
                  <w:color w:val="00000A"/>
                  <w:szCs w:val="24"/>
                  <w:lang w:eastAsia="ar-SA"/>
                </w:rPr>
              </w:pPr>
              <w:r>
                <w:rPr>
                  <w:bCs/>
                  <w:color w:val="00000A"/>
                  <w:szCs w:val="24"/>
                  <w:lang w:eastAsia="ar-SA"/>
                </w:rPr>
                <w:t>Savivaldybės meras</w:t>
                <w:tab/>
                <w:tab/>
                <w:tab/>
                <w:tab/>
                <w:tab/>
                <w:tab/>
                <w:tab/>
                <w:tab/>
                <w:tab/>
                <w:t xml:space="preserve">   </w:t>
              </w:r>
            </w:p>
            <w:p>
              <w:pPr>
                <w:keepNext/>
                <w:suppressAutoHyphens/>
                <w:jc w:val="both"/>
                <w:rPr>
                  <w:b/>
                  <w:bCs/>
                  <w:caps/>
                  <w:color w:val="00000A"/>
                  <w:szCs w:val="24"/>
                  <w:lang w:eastAsia="ar-SA"/>
                </w:rPr>
              </w:pP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code="9"/>
      <w:pgMar w:top="1134" w:right="567" w:bottom="1134" w:left="1701" w:header="567" w:footer="697" w:gutter="0"/>
      <w:cols w:space="1296"/>
      <w:titlePg/>
      <w:docGrid w:linePitch="360" w:charSpace="-6145"/>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widowControl w:val="0"/>
        <w:suppressAutoHyphens/>
        <w:rPr>
          <w:rFonts w:ascii="Thorndale" w:eastAsia="HG Mincho Light J" w:hAnsi="Thorndale"/>
          <w:color w:val="000000"/>
          <w:szCs w:val="24"/>
          <w:lang w:eastAsia="ar-SA"/>
        </w:rPr>
      </w:pPr>
      <w:r>
        <w:rPr>
          <w:rFonts w:ascii="Thorndale" w:eastAsia="HG Mincho Light J" w:hAnsi="Thorndale"/>
          <w:color w:val="000000"/>
          <w:szCs w:val="24"/>
          <w:lang w:eastAsia="ar-SA"/>
        </w:rPr>
        <w:separator/>
      </w:r>
    </w:p>
  </w:endnote>
  <w:endnote w:type="continuationSeparator" w:id="0">
    <w:p>
      <w:pPr>
        <w:widowControl w:val="0"/>
        <w:suppressAutoHyphens/>
        <w:rPr>
          <w:rFonts w:ascii="Thorndale" w:eastAsia="HG Mincho Light J" w:hAnsi="Thorndale"/>
          <w:color w:val="000000"/>
          <w:szCs w:val="24"/>
          <w:lang w:eastAsia="ar-SA"/>
        </w:rPr>
      </w:pPr>
      <w:r>
        <w:rPr>
          <w:rFonts w:ascii="Thorndale" w:eastAsia="HG Mincho Light J" w:hAnsi="Thorndale"/>
          <w:color w:val="000000"/>
          <w:szCs w:val="24"/>
          <w:lang w:eastAsia="ar-SA"/>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horndale">
    <w:altName w:val="Times New Roman"/>
    <w:charset w:val="00"/>
    <w:family w:val="roman"/>
    <w:pitch w:val="variable"/>
  </w:font>
  <w:font w:name="HG Mincho Light J">
    <w:altName w:val="Times New Roman"/>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Malgun Gothic">
    <w:panose1 w:val="020B0503020000020004"/>
    <w:charset w:val="81"/>
    <w:family w:val="swiss"/>
    <w:pitch w:val="variable"/>
    <w:sig w:usb0="900002AF" w:usb1="0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986"/>
        <w:tab w:val="right" w:pos="9972"/>
      </w:tabs>
      <w:suppressAutoHyphens/>
      <w:rPr>
        <w:rFonts w:ascii="Thorndale" w:eastAsia="HG Mincho Light J" w:hAnsi="Thorndale"/>
        <w:color w:val="000000"/>
        <w:szCs w:val="24"/>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left" w:pos="3705"/>
        <w:tab w:val="left" w:pos="7560"/>
      </w:tabs>
      <w:suppressAutoHyphens/>
      <w:spacing w:before="6" w:after="6"/>
      <w:rPr>
        <w:rFonts w:eastAsia="HG Mincho Light J"/>
        <w:i/>
        <w:color w:val="000000"/>
        <w:sz w:val="20"/>
        <w:szCs w:val="24"/>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986"/>
        <w:tab w:val="right" w:pos="9972"/>
      </w:tabs>
      <w:suppressAutoHyphens/>
      <w:rPr>
        <w:rFonts w:ascii="Thorndale" w:eastAsia="HG Mincho Light J" w:hAnsi="Thorndale"/>
        <w:color w:val="000000"/>
        <w:szCs w:val="24"/>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widowControl w:val="0"/>
        <w:suppressAutoHyphens/>
        <w:rPr>
          <w:rFonts w:ascii="Thorndale" w:eastAsia="HG Mincho Light J" w:hAnsi="Thorndale"/>
          <w:color w:val="000000"/>
          <w:szCs w:val="24"/>
          <w:lang w:eastAsia="ar-SA"/>
        </w:rPr>
      </w:pPr>
      <w:r>
        <w:rPr>
          <w:rFonts w:ascii="Thorndale" w:eastAsia="HG Mincho Light J" w:hAnsi="Thorndale"/>
          <w:color w:val="000000"/>
          <w:szCs w:val="24"/>
          <w:lang w:eastAsia="ar-SA"/>
        </w:rPr>
        <w:separator/>
      </w:r>
    </w:p>
  </w:footnote>
  <w:footnote w:type="continuationSeparator" w:id="0">
    <w:p>
      <w:pPr>
        <w:widowControl w:val="0"/>
        <w:suppressAutoHyphens/>
        <w:rPr>
          <w:rFonts w:ascii="Thorndale" w:eastAsia="HG Mincho Light J" w:hAnsi="Thorndale"/>
          <w:color w:val="000000"/>
          <w:szCs w:val="24"/>
          <w:lang w:eastAsia="ar-SA"/>
        </w:rPr>
      </w:pPr>
      <w:r>
        <w:rPr>
          <w:rFonts w:ascii="Thorndale" w:eastAsia="HG Mincho Light J" w:hAnsi="Thorndale"/>
          <w:color w:val="000000"/>
          <w:szCs w:val="24"/>
          <w:lang w:eastAsia="ar-SA"/>
        </w:rP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986"/>
        <w:tab w:val="right" w:pos="9972"/>
      </w:tabs>
      <w:suppressAutoHyphens/>
      <w:rPr>
        <w:rFonts w:ascii="Thorndale" w:eastAsia="HG Mincho Light J" w:hAnsi="Thorndale"/>
        <w:color w:val="000000"/>
        <w:szCs w:val="24"/>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986"/>
        <w:tab w:val="right" w:pos="9972"/>
      </w:tabs>
      <w:suppressAutoHyphens/>
      <w:jc w:val="center"/>
      <w:rPr>
        <w:rFonts w:ascii="Thorndale" w:eastAsia="HG Mincho Light J" w:hAnsi="Thorndale"/>
        <w:color w:val="000000"/>
        <w:szCs w:val="24"/>
        <w:lang w:eastAsia="ar-SA"/>
      </w:rPr>
    </w:pPr>
    <w:r>
      <w:rPr>
        <w:rFonts w:ascii="Thorndale" w:eastAsia="HG Mincho Light J" w:hAnsi="Thorndale"/>
        <w:color w:val="000000"/>
        <w:szCs w:val="24"/>
        <w:lang w:eastAsia="ar-SA"/>
      </w:rPr>
      <w:fldChar w:fldCharType="begin"/>
    </w:r>
    <w:r>
      <w:rPr>
        <w:rFonts w:ascii="Thorndale" w:eastAsia="HG Mincho Light J" w:hAnsi="Thorndale"/>
        <w:color w:val="000000"/>
        <w:szCs w:val="24"/>
        <w:lang w:eastAsia="ar-SA"/>
      </w:rPr>
      <w:instrText>PAGE   \* MERGEFORMAT</w:instrText>
    </w:r>
    <w:r>
      <w:rPr>
        <w:rFonts w:ascii="Thorndale" w:eastAsia="HG Mincho Light J" w:hAnsi="Thorndale"/>
        <w:color w:val="000000"/>
        <w:szCs w:val="24"/>
        <w:lang w:eastAsia="ar-SA"/>
      </w:rPr>
      <w:fldChar w:fldCharType="separate"/>
    </w:r>
    <w:r>
      <w:rPr>
        <w:rFonts w:ascii="Thorndale" w:eastAsia="HG Mincho Light J" w:hAnsi="Thorndale"/>
        <w:color w:val="000000"/>
        <w:szCs w:val="24"/>
        <w:lang w:eastAsia="ar-SA"/>
      </w:rPr>
      <w:t>2</w:t>
    </w:r>
    <w:r>
      <w:rPr>
        <w:rFonts w:ascii="Thorndale" w:eastAsia="HG Mincho Light J" w:hAnsi="Thorndale"/>
        <w:color w:val="000000"/>
        <w:szCs w:val="24"/>
        <w:lang w:eastAsia="ar-SA"/>
      </w:rPr>
      <w:fldChar w:fldCharType="end"/>
    </w:r>
  </w:p>
  <w:p>
    <w:pPr>
      <w:widowControl w:val="0"/>
      <w:suppressLineNumbers/>
      <w:tabs>
        <w:tab w:val="center" w:pos="4986"/>
        <w:tab w:val="right" w:pos="9972"/>
      </w:tabs>
      <w:suppressAutoHyphens/>
      <w:rPr>
        <w:rFonts w:ascii="Thorndale" w:eastAsia="HG Mincho Light J" w:hAnsi="Thorndale"/>
        <w:color w:val="000000"/>
        <w:szCs w:val="24"/>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eastAsia="HG Mincho Light J"/>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1296"/>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1"/>
    <w:footnote w:id="0"/>
    <w:footnote w:id="1"/>
  </w:footnotePr>
  <w:endnotePr>
    <w:endnote w:id="-1"/>
    <w:endnote w:id="0"/>
    <w:endnote w:id="1"/>
  </w:endnotePr>
  <w:compat>
    <w:spaceForUL/>
    <w:balanceSingleByteDoubleByteWidth/>
    <w:doNotLeaveBackslashAlone/>
    <w:ulTrailSpace/>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2F36"/>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5:chartTrackingRefBased/>
  <w15:docId w15:val="{A7D08DA7-1377-4227-88B6-941A694780E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004894221">
      <w:bodyDiv w:val="1"/>
      <w:marLeft w:val="0"/>
      <w:marRight w:val="0"/>
      <w:marTop w:val="0"/>
      <w:marBottom w:val="0"/>
      <w:divBdr>
        <w:top w:val="none" w:sz="0" w:space="0" w:color="auto"/>
        <w:left w:val="none" w:sz="0" w:space="0" w:color="auto"/>
        <w:bottom w:val="none" w:sz="0" w:space="0" w:color="auto"/>
        <w:right w:val="none" w:sz="0" w:space="0" w:color="auto"/>
      </w:divBdr>
    </w:div>
    <w:div w:id="1161001633">
      <w:bodyDiv w:val="1"/>
      <w:marLeft w:val="0"/>
      <w:marRight w:val="0"/>
      <w:marTop w:val="0"/>
      <w:marBottom w:val="0"/>
      <w:divBdr>
        <w:top w:val="none" w:sz="0" w:space="0" w:color="auto"/>
        <w:left w:val="none" w:sz="0" w:space="0" w:color="auto"/>
        <w:bottom w:val="none" w:sz="0" w:space="0" w:color="auto"/>
        <w:right w:val="none" w:sz="0" w:space="0" w:color="auto"/>
      </w:divBdr>
    </w:div>
    <w:div w:id="1955288239">
      <w:bodyDiv w:val="1"/>
      <w:marLeft w:val="0"/>
      <w:marRight w:val="0"/>
      <w:marTop w:val="0"/>
      <w:marBottom w:val="0"/>
      <w:divBdr>
        <w:top w:val="none" w:sz="0" w:space="0" w:color="auto"/>
        <w:left w:val="none" w:sz="0" w:space="0" w:color="auto"/>
        <w:bottom w:val="none" w:sz="0" w:space="0" w:color="auto"/>
        <w:right w:val="none" w:sz="0" w:space="0" w:color="auto"/>
      </w:divBdr>
      <w:divsChild>
        <w:div w:id="16279935">
          <w:marLeft w:val="0"/>
          <w:marRight w:val="0"/>
          <w:marTop w:val="0"/>
          <w:marBottom w:val="0"/>
          <w:divBdr>
            <w:top w:val="none" w:sz="0" w:space="0" w:color="auto"/>
            <w:left w:val="none" w:sz="0" w:space="0" w:color="auto"/>
            <w:bottom w:val="none" w:sz="0" w:space="0" w:color="auto"/>
            <w:right w:val="none" w:sz="0" w:space="0" w:color="auto"/>
          </w:divBdr>
        </w:div>
        <w:div w:id="1189369008">
          <w:marLeft w:val="0"/>
          <w:marRight w:val="0"/>
          <w:marTop w:val="0"/>
          <w:marBottom w:val="0"/>
          <w:divBdr>
            <w:top w:val="none" w:sz="0" w:space="0" w:color="auto"/>
            <w:left w:val="none" w:sz="0" w:space="0" w:color="auto"/>
            <w:bottom w:val="none" w:sz="0" w:space="0" w:color="auto"/>
            <w:right w:val="none" w:sz="0" w:space="0" w:color="auto"/>
          </w:divBdr>
          <w:divsChild>
            <w:div w:id="1236404342">
              <w:marLeft w:val="0"/>
              <w:marRight w:val="0"/>
              <w:marTop w:val="0"/>
              <w:marBottom w:val="0"/>
              <w:divBdr>
                <w:top w:val="none" w:sz="0" w:space="0" w:color="auto"/>
                <w:left w:val="none" w:sz="0" w:space="0" w:color="auto"/>
                <w:bottom w:val="none" w:sz="0" w:space="0" w:color="auto"/>
                <w:right w:val="none" w:sz="0" w:space="0" w:color="auto"/>
              </w:divBdr>
            </w:div>
            <w:div w:id="8280628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e1855e72821479ab35edb7021e68875" PartId="5752d49463104489abe1ee9b6d3fd52e">
    <Part Type="preambule" DocPartId="d312fef93c9b4f42be2df40e14dd5087" PartId="ceabd34474b84d74a208a650890347ec"/>
    <Part Type="punktas" Nr="1" Abbr="1 p." DocPartId="1fdb5516ed6547e9a3d58e277afd2b4e" PartId="1aa40c4ff6924c06a98fdc6cae0ebd89">
      <Part Type="papunktis" Nr="1.1" Abbr="1.1 pp." DocPartId="18cd242f83744cc6bd36e30ba749bdc0" PartId="0a13bafcab914ddb84e7b7c5d6903101"/>
      <Part Type="papunktis" Nr="1.2" Abbr="1.2 pp." DocPartId="968fbc3f01e944ffa589809ab7a81d46" PartId="99220c1e678c40ccae0e29c29e62fcf4"/>
      <Part Type="papunktis" Nr="1.3" Abbr="1.3 pp." DocPartId="69d146b31745402cb6637435881afc25" PartId="fa2f7f6df2c846d682f82dd48c109220"/>
    </Part>
    <Part Type="punktas" Nr="2" Abbr="2 p." DocPartId="de60a4cdfac740a3836d4c55b7d612a1" PartId="da0ec1dd342f4bd08dd4cac81169d5bc"/>
    <Part Type="signatura" DocPartId="c60940a69c5f4da599fc27d8a1775a25" PartId="e7b16c9b27574dde9894e6899c4a7e94"/>
  </Part>
</Parts>
</file>

<file path=customXml/itemProps1.xml><?xml version="1.0" encoding="utf-8"?>
<ds:datastoreItem xmlns:ds="http://schemas.openxmlformats.org/officeDocument/2006/customXml" ds:itemID="{744D499D-50E9-41E5-8C9C-543572C50D7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221</Words>
  <Characters>1544</Characters>
  <Application>Microsoft Office Word</Application>
  <DocSecurity>4</DocSecurity>
  <Lines>37</Lines>
  <Paragraphs>14</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1751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2025-05-12T03:34:00Z</dcterms:created>
  <dc:creator>Violeta Valančienė</dc:creator>
  <lastModifiedBy>adlibuser</lastModifiedBy>
  <lastPrinted>2020-09-01T06:56:00Z</lastPrinted>
  <dcterms:modified xsi:type="dcterms:W3CDTF">2025-05-12T03:34:00Z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